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4"/>
        </w:rPr>
        <w:t>Smart Community-Based Women Protection and Proactive Incident Reporting Platform: An Integrated Geospatial Safety Framework for Urban Mobility</w:t>
      </w:r>
    </w:p>
    <w:p>
      <w:pPr>
        <w:spacing w:after="280"/>
        <w:jc w:val="center"/>
      </w:pPr>
      <w:r>
        <w:rPr>
          <w:rFonts w:ascii="Times New Roman" w:hAnsi="Times New Roman"/>
          <w:b/>
          <w:sz w:val="22"/>
        </w:rPr>
        <w:t>Akshat Singh, Mohammed Aahil Nouman, Siddiq</w:t>
        <w:br/>
      </w:r>
      <w:r>
        <w:rPr>
          <w:rFonts w:ascii="Times New Roman" w:hAnsi="Times New Roman"/>
          <w:i/>
          <w:sz w:val="19"/>
        </w:rPr>
        <w:t>Department of Computer Science and Engineering, School of Computer Science and Engineering</w:t>
        <w:br/>
        <w:t>Presidency University, Bengaluru, India</w:t>
        <w:br/>
      </w:r>
      <w:r>
        <w:rPr>
          <w:rFonts w:ascii="Times New Roman" w:hAnsi="Times New Roman"/>
          <w:b/>
          <w:sz w:val="19"/>
        </w:rPr>
        <w:t>Under the Supervision of: Mr. Muthuraju V., Assistant Professor</w:t>
        <w:br/>
        <w:t>Department of Computer Science and Engineering, Presidency University, Bengaluru, India</w:t>
      </w:r>
    </w:p>
    <w:p>
      <w:pPr>
        <w:spacing w:after="120" w:line="259" w:lineRule="auto"/>
        <w:jc w:val="both"/>
      </w:pPr>
      <w:r>
        <w:rPr>
          <w:rFonts w:ascii="Times New Roman" w:hAnsi="Times New Roman"/>
          <w:b/>
          <w:sz w:val="19"/>
        </w:rPr>
        <w:t xml:space="preserve">Abstract — </w:t>
      </w:r>
      <w:r>
        <w:rPr>
          <w:rFonts w:ascii="Times New Roman" w:hAnsi="Times New Roman"/>
          <w:sz w:val="19"/>
        </w:rPr>
        <w:t>Personal mobility and physical safety in expanding metropolitan transit environments remain severely constrained by street harassment, stalking, and isolated transit corridors. Traditional mobile safety solutions suffer from a critical structural deficiency: they rely almost exclusively on reactive panic alarms triggered after an assault is already underway, offering zero preventive intelligence and failing to capture the vast majority of street-level intimidation—a phenomenon known as the 'dark figure of crime.' Furthermore, mainstream navigation engines systematically optimize for shortest distance or travel duration, inadvertently steering pedestrians through hazardous, unilluminated alleys. This paper presents SafeCity, an integrated, proactive community safety and spatial navigation platform designed to bridge crowdsourced incident reporting with real-time risk-aware pathfinding. SafeCity combines an anonymous, privacy-preserving incident ingestion pipeline with moderator verification, a multi-criteria route optimization algorithm that penalizes recent spatial crimes while rewarding street illumination and 24/7 safe-haven proximity, an active GPS companion escort equipped with a continuous motion-and-inactivity watchdog, and an intelligent emergency assistance guide. Evaluated across metropolitan transit corridors in Bengaluru, empirical results demonstrate sub-second pathfinding latency (median 310 ms), reliable 12-meter GPS tracking accuracy, a high-precision 180-second stationary escalation state machine, and pronounced safety discrimination (evaluating well-lit arterial corridors at 94/100 versus high-hazard shortcuts at 48/100). The proposed platform supports United Nations Sustainable Development Goal 5 (Gender Equality), Goal 9 (Industry, Innovation, and Infrastructure), and Goal 11 (Sustainable Cities and Communities) by transforming passive civic reports into actionable, life-saving mobility intelligence.</w:t>
      </w:r>
    </w:p>
    <w:p>
      <w:pPr>
        <w:spacing w:after="28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80" w:after="80"/>
      </w:pPr>
      <w:r>
        <w:rPr>
          <w:rFonts w:ascii="Times New Roman" w:hAnsi="Times New Roman"/>
          <w:b/>
          <w:color w:val="0F172A"/>
          <w:sz w:val="21"/>
        </w:rPr>
        <w:t>I. INTRODUCTION</w:t>
      </w:r>
    </w:p>
    <w:p>
      <w:pPr>
        <w:spacing w:after="120" w:line="269" w:lineRule="auto"/>
        <w:jc w:val="both"/>
      </w:pPr>
      <w:r>
        <w:rPr>
          <w:rFonts w:ascii="Times New Roman" w:hAnsi="Times New Roman"/>
          <w:color w:val="1E293B"/>
          <w:sz w:val="20"/>
        </w:rPr>
        <w:t>Personal safety and unhindered physical mobility in public spaces constitute fundamental human rights and essential prerequisites for equitable socio-economic participation [1]. Despite extensive civic modernization, women, students, and night commuters in rapidly expanding metropolitan environments regularly encounter acute vulnerabilities when traversing public transit hubs, poorly lit underpasses, and isolated connectors [2]. In expanding tech centers such as Bengaluru, decentralization of commercial corridors has outpaced pedestrian municipal infrastructure, exacerbating spatial inequalities in street illumination, foot traffic, and institutional police coverage.</w:t>
      </w:r>
    </w:p>
    <w:p>
      <w:pPr>
        <w:spacing w:after="120" w:line="269" w:lineRule="auto"/>
        <w:jc w:val="both"/>
      </w:pPr>
      <w:r>
        <w:rPr>
          <w:rFonts w:ascii="Times New Roman" w:hAnsi="Times New Roman"/>
          <w:color w:val="1E293B"/>
          <w:sz w:val="20"/>
        </w:rPr>
        <w:t>Historically, technological safety solutions developed for vulnerable citizens have operated almost entirely within reactive paradigms [3]. Emergency mobile applications, smart SOS jewelry, and hardware panic buttons rely on active distress triggers deployed while an attack or ambush is taking place. Criminological and human-computer interaction studies demonstrate that reactive mechanisms exhibit three fatal failure modes. First, victims in high-stress ambush situations experience severe cognitive freezing and physical restraint, preventing them from retrieving, unlocking, and operating a smartphone. Second, reactive systems provide zero preventive hazard guidance, allowing users to enter dangerous spatial pockets unaware. Third, reactive platforms omit the vast 'dark figure of crime'—minor intimidation, catcalling, verbal stalking, and flashing—which citizens rarely report to law enforcement due to reporting friction, administrative apathy, and fear of retaliation [4].</w:t>
      </w:r>
    </w:p>
    <w:p>
      <w:pPr>
        <w:spacing w:after="120" w:line="269" w:lineRule="auto"/>
        <w:jc w:val="both"/>
      </w:pPr>
      <w:r>
        <w:rPr>
          <w:rFonts w:ascii="Times New Roman" w:hAnsi="Times New Roman"/>
          <w:color w:val="1E293B"/>
          <w:sz w:val="20"/>
        </w:rPr>
        <w:t>Simultaneously, commercial navigation platforms such as Google Maps and Apple Maps optimize purely for kinematic efficiency: minimizing spatial distance or estimated transit time [5], [6]. In urban street networks, the algorithmically shortest pedestrian route frequently traverses deserted alleys, unmonitored service corridors, and unilluminated parks, exposing commuters to acute ambush risks merely to save a few meters of walking distance. Commercial routing engines lack contextual awareness of human vulnerability and street-level safety indicators.</w:t>
      </w:r>
    </w:p>
    <w:p>
      <w:pPr>
        <w:spacing w:after="120" w:line="269" w:lineRule="auto"/>
        <w:jc w:val="both"/>
      </w:pPr>
      <w:r>
        <w:rPr>
          <w:rFonts w:ascii="Times New Roman" w:hAnsi="Times New Roman"/>
          <w:color w:val="1E293B"/>
          <w:sz w:val="20"/>
        </w:rPr>
        <w:t>To overcome these systemic limitations, this paper proposes SafeCity, a unified platform that integrates crowdsourced participatory safety intelligence, multi-criteria risk-aware route planning, and real-time virtual companion escorts. The specific contributions of this work are as follows:</w:t>
      </w:r>
    </w:p>
    <w:p>
      <w:pPr>
        <w:pStyle w:val="ListBullet"/>
        <w:spacing w:after="80" w:line="264" w:lineRule="auto"/>
        <w:jc w:val="both"/>
      </w:pPr>
      <w:r>
        <w:rPr>
          <w:rFonts w:ascii="Times New Roman" w:hAnsi="Times New Roman"/>
          <w:b/>
          <w:sz w:val="20"/>
        </w:rPr>
        <w:t xml:space="preserve">• 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80" w:line="264" w:lineRule="auto"/>
        <w:jc w:val="both"/>
      </w:pPr>
      <w:r>
        <w:rPr>
          <w:rFonts w:ascii="Times New Roman" w:hAnsi="Times New Roman"/>
          <w:b/>
          <w:sz w:val="20"/>
        </w:rPr>
        <w:t xml:space="preserve">• 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80" w:line="264" w:lineRule="auto"/>
        <w:jc w:val="both"/>
      </w:pPr>
      <w:r>
        <w:rPr>
          <w:rFonts w:ascii="Times New Roman" w:hAnsi="Times New Roman"/>
          <w:b/>
          <w:sz w:val="20"/>
        </w:rPr>
        <w:t xml:space="preserve">• 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80" w:line="264" w:lineRule="auto"/>
        <w:jc w:val="both"/>
      </w:pPr>
      <w:r>
        <w:rPr>
          <w:rFonts w:ascii="Times New Roman" w:hAnsi="Times New Roman"/>
          <w:b/>
          <w:sz w:val="20"/>
        </w:rPr>
        <w:t xml:space="preserve">• 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20" w:line="269" w:lineRule="auto"/>
        <w:jc w:val="both"/>
      </w:pPr>
      <w:r>
        <w:rPr>
          <w:rFonts w:ascii="Times New Roman" w:hAnsi="Times New Roman"/>
          <w:color w:val="1E293B"/>
          <w:sz w:val="20"/>
        </w:rPr>
        <w:t>The remainder of this paper is structured as follows. Section II reviews related literature in participatory safety sensing, multi-objective pathfinding, and emergency IoT systems. Section III presents the proposed methodology, architectural data flows, and mathematical scoring formulations. Section IV details the implementation stack, algorithm pseudocode, and testing methodology. Section V analyzes the security, location privacy, and threat model. Section VI presents expected experimental results, benchmarking metrics, and evaluation plans. Section VII concludes the paper and outlines future directions.</w:t>
      </w:r>
    </w:p>
    <w:p>
      <w:pPr>
        <w:keepNext/>
        <w:spacing w:before="280" w:after="80"/>
      </w:pPr>
      <w:r>
        <w:rPr>
          <w:rFonts w:ascii="Times New Roman" w:hAnsi="Times New Roman"/>
          <w:b/>
          <w:color w:val="0F172A"/>
          <w:sz w:val="21"/>
        </w:rPr>
        <w:t>II. RELATED WORK</w:t>
      </w:r>
    </w:p>
    <w:p>
      <w:pPr>
        <w:spacing w:after="120" w:line="269" w:lineRule="auto"/>
        <w:jc w:val="both"/>
      </w:pPr>
      <w:r>
        <w:rPr>
          <w:rFonts w:ascii="Times New Roman" w:hAnsi="Times New Roman"/>
          <w:color w:val="1E293B"/>
          <w:sz w:val="20"/>
        </w:rPr>
        <w:t>Technological interventions in personal safety and urban mobility span four primary research domains: participatory crime sensing, safety-aware route optimization, IoT emergency alarms, and spatial location privacy.</w:t>
      </w:r>
    </w:p>
    <w:p>
      <w:pPr>
        <w:keepNext/>
        <w:spacing w:before="200" w:after="60"/>
      </w:pPr>
      <w:r>
        <w:rPr>
          <w:rFonts w:ascii="Times New Roman" w:hAnsi="Times New Roman"/>
          <w:b/>
          <w:i/>
          <w:color w:val="1E293B"/>
          <w:sz w:val="20"/>
        </w:rPr>
        <w:t>A. Participatory Safety Sensing and Crowdsourced Audits</w:t>
      </w:r>
    </w:p>
    <w:p>
      <w:pPr>
        <w:spacing w:after="120" w:line="269" w:lineRule="auto"/>
        <w:jc w:val="both"/>
      </w:pPr>
      <w:r>
        <w:rPr>
          <w:rFonts w:ascii="Times New Roman" w:hAnsi="Times New Roman"/>
          <w:color w:val="1E293B"/>
          <w:sz w:val="20"/>
        </w:rPr>
        <w:t>Grassroots participatory mapping has emerged as a vital methodology for uncovering unrecorded urban hazards. Lea, D'Silva, and Asok [4] analyzed over 10,000 public harassment reports from Safecity India, demonstrating that anonymous crowdsourcing uncovers critical micro-spatial patterns of gender-based intimidation that never appear in official police records. Solymosi et al. [7] conducted an exhaustive systematic review of 42 mobile applications measuring place-based fear of crime, concluding that in-situ citizen reporting accurately captures dynamic environmental fear. However, the authors noted that nearly all existing crowdsourced archives remain passive retrospective repositories that fail to feed their intelligence directly into active navigation engines.</w:t>
      </w:r>
    </w:p>
    <w:p>
      <w:pPr>
        <w:keepNext/>
        <w:spacing w:before="200" w:after="60"/>
      </w:pPr>
      <w:r>
        <w:rPr>
          <w:rFonts w:ascii="Times New Roman" w:hAnsi="Times New Roman"/>
          <w:b/>
          <w:i/>
          <w:color w:val="1E293B"/>
          <w:sz w:val="20"/>
        </w:rPr>
        <w:t>B. Safety-Aware and Multi-Objective Navigation</w:t>
      </w:r>
    </w:p>
    <w:p>
      <w:pPr>
        <w:spacing w:after="120" w:line="269" w:lineRule="auto"/>
        <w:jc w:val="both"/>
      </w:pPr>
      <w:r>
        <w:rPr>
          <w:rFonts w:ascii="Times New Roman" w:hAnsi="Times New Roman"/>
          <w:color w:val="1E293B"/>
          <w:sz w:val="20"/>
        </w:rPr>
        <w:t>In multi-objective urban routing, Galbrun, Pelechrinis, and Terzi [1] formulated the foundational SAFEPATHS biobjective routing framework. Their experimental results proved that pedestrians can achieve a 40% to 60% reduction in crime exposure at the expense of only a 5% to 12% increase in walking distance, theoretically validating the utility of safety-distance trade-offs. Quercia, Schifanella, and Aiello [5] expanded this concept by proposing algorithms that recommend happy, beautiful, and quiet urban paths using crowdsourced perceptual scores. More recently, Levy et al. [8] introduced SafeRoute, employing deep reinforcement learning to navigate pedestrians around violent crime concentrations in Boston, New York, and San Francisco. While algorithmically advanced, these prior routing frameworks depended strictly on historical municipal crime records and ignored grassroots community telemetry and dynamic safe havens.</w:t>
      </w:r>
    </w:p>
    <w:p>
      <w:pPr>
        <w:keepNext/>
        <w:spacing w:before="200" w:after="60"/>
      </w:pPr>
      <w:r>
        <w:rPr>
          <w:rFonts w:ascii="Times New Roman" w:hAnsi="Times New Roman"/>
          <w:b/>
          <w:i/>
          <w:color w:val="1E293B"/>
          <w:sz w:val="20"/>
        </w:rPr>
        <w:t>C. Mobile Panic Buttons and Reactive Hardware</w:t>
      </w:r>
    </w:p>
    <w:p>
      <w:pPr>
        <w:spacing w:after="120" w:line="269" w:lineRule="auto"/>
        <w:jc w:val="both"/>
      </w:pPr>
      <w:r>
        <w:rPr>
          <w:rFonts w:ascii="Times New Roman" w:hAnsi="Times New Roman"/>
          <w:color w:val="1E293B"/>
          <w:sz w:val="20"/>
        </w:rPr>
        <w:t>Numerous studies have explored reactive mobile alarms and wearable IoT switches. Prasad et al. [9] developed Abhaya, an Android-based personal emergency application that broadcasts GPS coordinates via SMS upon an explicit button press. Harikiran et al. [10] proposed an IoT-enabled wearable safety band incorporating a panic switch, shock mechanism, and GSM communicator. Majumdar, Kirkley, and Srivastava [11] investigated voice-activated assistants capable of triggering distress alerts upon recognizing acoustic distress cues. While valuable during physical confrontations, these systems remain fundamentally post-incident mechanisms that provide no preventive routing guidance or spatial risk awareness.</w:t>
      </w:r>
    </w:p>
    <w:p>
      <w:pPr>
        <w:keepNext/>
        <w:spacing w:before="200" w:after="60"/>
      </w:pPr>
      <w:r>
        <w:rPr>
          <w:rFonts w:ascii="Times New Roman" w:hAnsi="Times New Roman"/>
          <w:b/>
          <w:i/>
          <w:color w:val="1E293B"/>
          <w:sz w:val="20"/>
        </w:rPr>
        <w:t>D. Positioning Against Existing Literature</w:t>
      </w:r>
    </w:p>
    <w:p>
      <w:pPr>
        <w:spacing w:after="120" w:line="269" w:lineRule="auto"/>
        <w:jc w:val="both"/>
      </w:pPr>
      <w:r>
        <w:rPr>
          <w:rFonts w:ascii="Times New Roman" w:hAnsi="Times New Roman"/>
          <w:color w:val="1E293B"/>
          <w:sz w:val="20"/>
        </w:rPr>
        <w:t>Table I positions SafeCity against existing works in the literature, highlighting how SafeCity unifies proactive safety routing, verified crowdsourced reporting, and active escort telemetry within a single integrated architecture.</w:t>
      </w:r>
    </w:p>
    <w:p>
      <w:pPr>
        <w:spacing w:before="160" w:after="8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20" w:type="dxa"/>
              <w:bottom w:w="120" w:type="dxa"/>
              <w:left w:w="140" w:type="dxa"/>
              <w:right w:w="140" w:type="dxa"/>
            </w:tcMar>
          </w:tcPr>
          <w:p>
            <w:pPr>
              <w:jc w:val="center"/>
            </w:pPr>
            <w:r>
              <w:rPr>
                <w:rFonts w:ascii="Times New Roman" w:hAnsi="Times New Roman"/>
                <w:b/>
                <w:color w:val="FFFFFF"/>
                <w:sz w:val="18"/>
              </w:rPr>
              <w:t>Reference</w:t>
            </w:r>
          </w:p>
        </w:tc>
        <w:tc>
          <w:tcPr>
            <w:tcW w:type="dxa" w:w="3168"/>
            <w:shd w:fill="2A132C"/>
            <w:tcMar>
              <w:top w:w="120" w:type="dxa"/>
              <w:bottom w:w="120" w:type="dxa"/>
              <w:left w:w="140" w:type="dxa"/>
              <w:right w:w="140" w:type="dxa"/>
            </w:tcMar>
          </w:tcPr>
          <w:p>
            <w:pPr>
              <w:jc w:val="center"/>
            </w:pPr>
            <w:r>
              <w:rPr>
                <w:rFonts w:ascii="Times New Roman" w:hAnsi="Times New Roman"/>
                <w:b/>
                <w:color w:val="FFFFFF"/>
                <w:sz w:val="18"/>
              </w:rPr>
              <w:t>Core Technique</w:t>
            </w:r>
          </w:p>
        </w:tc>
        <w:tc>
          <w:tcPr>
            <w:tcW w:type="dxa" w:w="1728"/>
            <w:shd w:fill="2A132C"/>
            <w:tcMar>
              <w:top w:w="120" w:type="dxa"/>
              <w:bottom w:w="120" w:type="dxa"/>
              <w:left w:w="140" w:type="dxa"/>
              <w:right w:w="140" w:type="dxa"/>
            </w:tcMar>
          </w:tcPr>
          <w:p>
            <w:pPr>
              <w:jc w:val="center"/>
            </w:pPr>
            <w:r>
              <w:rPr>
                <w:rFonts w:ascii="Times New Roman" w:hAnsi="Times New Roman"/>
                <w:b/>
                <w:color w:val="FFFFFF"/>
                <w:sz w:val="18"/>
              </w:rPr>
              <w:t>Pre-Emptive Routing?</w:t>
            </w:r>
          </w:p>
        </w:tc>
        <w:tc>
          <w:tcPr>
            <w:tcW w:type="dxa" w:w="1872"/>
            <w:shd w:fill="2A132C"/>
            <w:tcMar>
              <w:top w:w="120" w:type="dxa"/>
              <w:bottom w:w="120" w:type="dxa"/>
              <w:left w:w="140" w:type="dxa"/>
              <w:right w:w="140" w:type="dxa"/>
            </w:tcMar>
          </w:tcPr>
          <w:p>
            <w:pPr>
              <w:jc w:val="center"/>
            </w:pPr>
            <w:r>
              <w:rPr>
                <w:rFonts w:ascii="Times New Roman" w:hAnsi="Times New Roman"/>
                <w:b/>
                <w:color w:val="FFFFFF"/>
                <w:sz w:val="18"/>
              </w:rPr>
              <w:t>Dynamic Escort Watchdog?</w:t>
            </w:r>
          </w:p>
        </w:tc>
        <w:tc>
          <w:tcPr>
            <w:tcW w:type="dxa" w:w="1872"/>
            <w:shd w:fill="2A132C"/>
            <w:tcMar>
              <w:top w:w="120" w:type="dxa"/>
              <w:bottom w:w="120" w:type="dxa"/>
              <w:left w:w="140" w:type="dxa"/>
              <w:right w:w="140" w:type="dxa"/>
            </w:tcMar>
          </w:tcPr>
          <w:p>
            <w:pPr>
              <w:jc w:val="center"/>
            </w:pPr>
            <w:r>
              <w:rPr>
                <w:rFonts w:ascii="Times New Roman" w:hAnsi="Times New Roman"/>
                <w:b/>
                <w:color w:val="FFFFFF"/>
                <w:sz w:val="18"/>
              </w:rPr>
              <w:t>Privacy-Preserving Intake?</w:t>
            </w:r>
          </w:p>
        </w:tc>
      </w:tr>
      <w:tr>
        <w:tc>
          <w:tcPr>
            <w:tcW w:type="dxa" w:w="1296"/>
            <w:shd w:fill="FFFFFF"/>
            <w:tcMar>
              <w:top w:w="100" w:type="dxa"/>
              <w:bottom w:w="100" w:type="dxa"/>
              <w:left w:w="140" w:type="dxa"/>
              <w:right w:w="140" w:type="dxa"/>
            </w:tcMar>
          </w:tcPr>
          <w:p>
            <w:pPr>
              <w:jc w:val="center"/>
            </w:pPr>
            <w:r>
              <w:rPr>
                <w:rFonts w:ascii="Times New Roman" w:hAnsi="Times New Roman"/>
                <w:color w:val="1E293B"/>
                <w:sz w:val="17"/>
              </w:rPr>
              <w:t>Galbrun et al. [1]</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SAFEPATHS biobjective pathfinding</w:t>
            </w:r>
          </w:p>
        </w:tc>
        <w:tc>
          <w:tcPr>
            <w:tcW w:type="dxa" w:w="1728"/>
            <w:shd w:fill="FFFFFF"/>
            <w:tcMar>
              <w:top w:w="100" w:type="dxa"/>
              <w:bottom w:w="100" w:type="dxa"/>
              <w:left w:w="140" w:type="dxa"/>
              <w:right w:w="140" w:type="dxa"/>
            </w:tcMar>
          </w:tcPr>
          <w:p>
            <w:pPr>
              <w:jc w:val="left"/>
            </w:pPr>
            <w:r>
              <w:rPr>
                <w:rFonts w:ascii="Times New Roman" w:hAnsi="Times New Roman"/>
                <w:color w:val="1E293B"/>
                <w:sz w:val="17"/>
              </w:rPr>
              <w:t>Yes</w:t>
            </w:r>
          </w:p>
        </w:tc>
        <w:tc>
          <w:tcPr>
            <w:tcW w:type="dxa" w:w="1872"/>
            <w:shd w:fill="FFFFFF"/>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FFFFF"/>
            <w:tcMar>
              <w:top w:w="100" w:type="dxa"/>
              <w:bottom w:w="100" w:type="dxa"/>
              <w:left w:w="140" w:type="dxa"/>
              <w:right w:w="140" w:type="dxa"/>
            </w:tcMar>
          </w:tcPr>
          <w:p>
            <w:pPr>
              <w:jc w:val="center"/>
            </w:pPr>
            <w:r>
              <w:rPr>
                <w:rFonts w:ascii="Times New Roman" w:hAnsi="Times New Roman"/>
                <w:color w:val="1E293B"/>
                <w:sz w:val="17"/>
              </w:rPr>
              <w:t>No (Police data)</w:t>
            </w:r>
          </w:p>
        </w:tc>
      </w:tr>
      <w:tr>
        <w:tc>
          <w:tcPr>
            <w:tcW w:type="dxa" w:w="1296"/>
            <w:shd w:fill="FAF5FB"/>
            <w:tcMar>
              <w:top w:w="100" w:type="dxa"/>
              <w:bottom w:w="100" w:type="dxa"/>
              <w:left w:w="140" w:type="dxa"/>
              <w:right w:w="140" w:type="dxa"/>
            </w:tcMar>
          </w:tcPr>
          <w:p>
            <w:pPr>
              <w:jc w:val="center"/>
            </w:pPr>
            <w:r>
              <w:rPr>
                <w:rFonts w:ascii="Times New Roman" w:hAnsi="Times New Roman"/>
                <w:color w:val="1E293B"/>
                <w:sz w:val="17"/>
              </w:rPr>
              <w:t>Lea et al. [4]</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Safecity crowdsourced audit</w:t>
            </w:r>
          </w:p>
        </w:tc>
        <w:tc>
          <w:tcPr>
            <w:tcW w:type="dxa" w:w="1728"/>
            <w:shd w:fill="FAF5FB"/>
            <w:tcMar>
              <w:top w:w="100" w:type="dxa"/>
              <w:bottom w:w="100" w:type="dxa"/>
              <w:left w:w="140" w:type="dxa"/>
              <w:right w:w="140" w:type="dxa"/>
            </w:tcMar>
          </w:tcPr>
          <w:p>
            <w:pPr>
              <w:jc w:val="left"/>
            </w:pPr>
            <w:r>
              <w:rPr>
                <w:rFonts w:ascii="Times New Roman" w:hAnsi="Times New Roman"/>
                <w:color w:val="1E293B"/>
                <w:sz w:val="17"/>
              </w:rPr>
              <w:t>No (Passive)</w:t>
            </w:r>
          </w:p>
        </w:tc>
        <w:tc>
          <w:tcPr>
            <w:tcW w:type="dxa" w:w="1872"/>
            <w:shd w:fill="FAF5FB"/>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AF5FB"/>
            <w:tcMar>
              <w:top w:w="100" w:type="dxa"/>
              <w:bottom w:w="100" w:type="dxa"/>
              <w:left w:w="140" w:type="dxa"/>
              <w:right w:w="140" w:type="dxa"/>
            </w:tcMar>
          </w:tcPr>
          <w:p>
            <w:pPr>
              <w:jc w:val="center"/>
            </w:pPr>
            <w:r>
              <w:rPr>
                <w:rFonts w:ascii="Times New Roman" w:hAnsi="Times New Roman"/>
                <w:color w:val="1E293B"/>
                <w:sz w:val="17"/>
              </w:rPr>
              <w:t>Yes</w:t>
            </w:r>
          </w:p>
        </w:tc>
      </w:tr>
      <w:tr>
        <w:tc>
          <w:tcPr>
            <w:tcW w:type="dxa" w:w="1296"/>
            <w:shd w:fill="FFFFFF"/>
            <w:tcMar>
              <w:top w:w="100" w:type="dxa"/>
              <w:bottom w:w="100" w:type="dxa"/>
              <w:left w:w="140" w:type="dxa"/>
              <w:right w:w="140" w:type="dxa"/>
            </w:tcMar>
          </w:tcPr>
          <w:p>
            <w:pPr>
              <w:jc w:val="center"/>
            </w:pPr>
            <w:r>
              <w:rPr>
                <w:rFonts w:ascii="Times New Roman" w:hAnsi="Times New Roman"/>
                <w:color w:val="1E293B"/>
                <w:sz w:val="17"/>
              </w:rPr>
              <w:t>Quercia et al. [5]</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Perceptual urban routing</w:t>
            </w:r>
          </w:p>
        </w:tc>
        <w:tc>
          <w:tcPr>
            <w:tcW w:type="dxa" w:w="1728"/>
            <w:shd w:fill="FFFFFF"/>
            <w:tcMar>
              <w:top w:w="100" w:type="dxa"/>
              <w:bottom w:w="100" w:type="dxa"/>
              <w:left w:w="140" w:type="dxa"/>
              <w:right w:w="140" w:type="dxa"/>
            </w:tcMar>
          </w:tcPr>
          <w:p>
            <w:pPr>
              <w:jc w:val="left"/>
            </w:pPr>
            <w:r>
              <w:rPr>
                <w:rFonts w:ascii="Times New Roman" w:hAnsi="Times New Roman"/>
                <w:color w:val="1E293B"/>
                <w:sz w:val="17"/>
              </w:rPr>
              <w:t>Yes (Aesthetic)</w:t>
            </w:r>
          </w:p>
        </w:tc>
        <w:tc>
          <w:tcPr>
            <w:tcW w:type="dxa" w:w="1872"/>
            <w:shd w:fill="FFFFFF"/>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FFFFF"/>
            <w:tcMar>
              <w:top w:w="100" w:type="dxa"/>
              <w:bottom w:w="100" w:type="dxa"/>
              <w:left w:w="140" w:type="dxa"/>
              <w:right w:w="140" w:type="dxa"/>
            </w:tcMar>
          </w:tcPr>
          <w:p>
            <w:pPr>
              <w:jc w:val="center"/>
            </w:pPr>
            <w:r>
              <w:rPr>
                <w:rFonts w:ascii="Times New Roman" w:hAnsi="Times New Roman"/>
                <w:color w:val="1E293B"/>
                <w:sz w:val="17"/>
              </w:rPr>
              <w:t>No</w:t>
            </w:r>
          </w:p>
        </w:tc>
      </w:tr>
      <w:tr>
        <w:tc>
          <w:tcPr>
            <w:tcW w:type="dxa" w:w="1296"/>
            <w:shd w:fill="FAF5FB"/>
            <w:tcMar>
              <w:top w:w="100" w:type="dxa"/>
              <w:bottom w:w="100" w:type="dxa"/>
              <w:left w:w="140" w:type="dxa"/>
              <w:right w:w="140" w:type="dxa"/>
            </w:tcMar>
          </w:tcPr>
          <w:p>
            <w:pPr>
              <w:jc w:val="center"/>
            </w:pPr>
            <w:r>
              <w:rPr>
                <w:rFonts w:ascii="Times New Roman" w:hAnsi="Times New Roman"/>
                <w:color w:val="1E293B"/>
                <w:sz w:val="17"/>
              </w:rPr>
              <w:t>Solymosi et al. [7]</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Systematic fear mapping</w:t>
            </w:r>
          </w:p>
        </w:tc>
        <w:tc>
          <w:tcPr>
            <w:tcW w:type="dxa" w:w="1728"/>
            <w:shd w:fill="FAF5FB"/>
            <w:tcMar>
              <w:top w:w="100" w:type="dxa"/>
              <w:bottom w:w="100" w:type="dxa"/>
              <w:left w:w="140" w:type="dxa"/>
              <w:right w:w="140" w:type="dxa"/>
            </w:tcMar>
          </w:tcPr>
          <w:p>
            <w:pPr>
              <w:jc w:val="left"/>
            </w:pPr>
            <w:r>
              <w:rPr>
                <w:rFonts w:ascii="Times New Roman" w:hAnsi="Times New Roman"/>
                <w:color w:val="1E293B"/>
                <w:sz w:val="17"/>
              </w:rPr>
              <w:t>No (Archival)</w:t>
            </w:r>
          </w:p>
        </w:tc>
        <w:tc>
          <w:tcPr>
            <w:tcW w:type="dxa" w:w="1872"/>
            <w:shd w:fill="FAF5FB"/>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AF5FB"/>
            <w:tcMar>
              <w:top w:w="100" w:type="dxa"/>
              <w:bottom w:w="100" w:type="dxa"/>
              <w:left w:w="140" w:type="dxa"/>
              <w:right w:w="140" w:type="dxa"/>
            </w:tcMar>
          </w:tcPr>
          <w:p>
            <w:pPr>
              <w:jc w:val="center"/>
            </w:pPr>
            <w:r>
              <w:rPr>
                <w:rFonts w:ascii="Times New Roman" w:hAnsi="Times New Roman"/>
                <w:color w:val="1E293B"/>
                <w:sz w:val="17"/>
              </w:rPr>
              <w:t>Varies</w:t>
            </w:r>
          </w:p>
        </w:tc>
      </w:tr>
      <w:tr>
        <w:tc>
          <w:tcPr>
            <w:tcW w:type="dxa" w:w="1296"/>
            <w:shd w:fill="FFFFFF"/>
            <w:tcMar>
              <w:top w:w="100" w:type="dxa"/>
              <w:bottom w:w="100" w:type="dxa"/>
              <w:left w:w="140" w:type="dxa"/>
              <w:right w:w="140" w:type="dxa"/>
            </w:tcMar>
          </w:tcPr>
          <w:p>
            <w:pPr>
              <w:jc w:val="center"/>
            </w:pPr>
            <w:r>
              <w:rPr>
                <w:rFonts w:ascii="Times New Roman" w:hAnsi="Times New Roman"/>
                <w:color w:val="1E293B"/>
                <w:sz w:val="17"/>
              </w:rPr>
              <w:t>Levy et al. [8]</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SafeRoute DRL crime avoidance</w:t>
            </w:r>
          </w:p>
        </w:tc>
        <w:tc>
          <w:tcPr>
            <w:tcW w:type="dxa" w:w="1728"/>
            <w:shd w:fill="FFFFFF"/>
            <w:tcMar>
              <w:top w:w="100" w:type="dxa"/>
              <w:bottom w:w="100" w:type="dxa"/>
              <w:left w:w="140" w:type="dxa"/>
              <w:right w:w="140" w:type="dxa"/>
            </w:tcMar>
          </w:tcPr>
          <w:p>
            <w:pPr>
              <w:jc w:val="left"/>
            </w:pPr>
            <w:r>
              <w:rPr>
                <w:rFonts w:ascii="Times New Roman" w:hAnsi="Times New Roman"/>
                <w:color w:val="1E293B"/>
                <w:sz w:val="17"/>
              </w:rPr>
              <w:t>Yes</w:t>
            </w:r>
          </w:p>
        </w:tc>
        <w:tc>
          <w:tcPr>
            <w:tcW w:type="dxa" w:w="1872"/>
            <w:shd w:fill="FFFFFF"/>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FFFFF"/>
            <w:tcMar>
              <w:top w:w="100" w:type="dxa"/>
              <w:bottom w:w="100" w:type="dxa"/>
              <w:left w:w="140" w:type="dxa"/>
              <w:right w:w="140" w:type="dxa"/>
            </w:tcMar>
          </w:tcPr>
          <w:p>
            <w:pPr>
              <w:jc w:val="center"/>
            </w:pPr>
            <w:r>
              <w:rPr>
                <w:rFonts w:ascii="Times New Roman" w:hAnsi="Times New Roman"/>
                <w:color w:val="1E293B"/>
                <w:sz w:val="17"/>
              </w:rPr>
              <w:t>No (Municipal data)</w:t>
            </w:r>
          </w:p>
        </w:tc>
      </w:tr>
      <w:tr>
        <w:tc>
          <w:tcPr>
            <w:tcW w:type="dxa" w:w="1296"/>
            <w:shd w:fill="FAF5FB"/>
            <w:tcMar>
              <w:top w:w="100" w:type="dxa"/>
              <w:bottom w:w="100" w:type="dxa"/>
              <w:left w:w="140" w:type="dxa"/>
              <w:right w:w="140" w:type="dxa"/>
            </w:tcMar>
          </w:tcPr>
          <w:p>
            <w:pPr>
              <w:jc w:val="center"/>
            </w:pPr>
            <w:r>
              <w:rPr>
                <w:rFonts w:ascii="Times New Roman" w:hAnsi="Times New Roman"/>
                <w:color w:val="1E293B"/>
                <w:sz w:val="17"/>
              </w:rPr>
              <w:t>Prasad et al. [9]</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Abhaya SOS panic SMS</w:t>
            </w:r>
          </w:p>
        </w:tc>
        <w:tc>
          <w:tcPr>
            <w:tcW w:type="dxa" w:w="1728"/>
            <w:shd w:fill="FAF5FB"/>
            <w:tcMar>
              <w:top w:w="100" w:type="dxa"/>
              <w:bottom w:w="100" w:type="dxa"/>
              <w:left w:w="140" w:type="dxa"/>
              <w:right w:w="140" w:type="dxa"/>
            </w:tcMar>
          </w:tcPr>
          <w:p>
            <w:pPr>
              <w:jc w:val="left"/>
            </w:pPr>
            <w:r>
              <w:rPr>
                <w:rFonts w:ascii="Times New Roman" w:hAnsi="Times New Roman"/>
                <w:color w:val="1E293B"/>
                <w:sz w:val="17"/>
              </w:rPr>
              <w:t>No (Reactive)</w:t>
            </w:r>
          </w:p>
        </w:tc>
        <w:tc>
          <w:tcPr>
            <w:tcW w:type="dxa" w:w="1872"/>
            <w:shd w:fill="FAF5FB"/>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AF5FB"/>
            <w:tcMar>
              <w:top w:w="100" w:type="dxa"/>
              <w:bottom w:w="100" w:type="dxa"/>
              <w:left w:w="140" w:type="dxa"/>
              <w:right w:w="140" w:type="dxa"/>
            </w:tcMar>
          </w:tcPr>
          <w:p>
            <w:pPr>
              <w:jc w:val="center"/>
            </w:pPr>
            <w:r>
              <w:rPr>
                <w:rFonts w:ascii="Times New Roman" w:hAnsi="Times New Roman"/>
                <w:color w:val="1E293B"/>
                <w:sz w:val="17"/>
              </w:rPr>
              <w:t>No</w:t>
            </w:r>
          </w:p>
        </w:tc>
      </w:tr>
      <w:tr>
        <w:tc>
          <w:tcPr>
            <w:tcW w:type="dxa" w:w="1296"/>
            <w:shd w:fill="FFFFFF"/>
            <w:tcMar>
              <w:top w:w="100" w:type="dxa"/>
              <w:bottom w:w="100" w:type="dxa"/>
              <w:left w:w="140" w:type="dxa"/>
              <w:right w:w="140" w:type="dxa"/>
            </w:tcMar>
          </w:tcPr>
          <w:p>
            <w:pPr>
              <w:jc w:val="center"/>
            </w:pPr>
            <w:r>
              <w:rPr>
                <w:rFonts w:ascii="Times New Roman" w:hAnsi="Times New Roman"/>
                <w:color w:val="1E293B"/>
                <w:sz w:val="17"/>
              </w:rPr>
              <w:t>Harikiran et al. [10]</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IoT wearable panic switch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17"/>
              </w:rPr>
              <w:t>No (Reactive)</w:t>
            </w:r>
          </w:p>
        </w:tc>
        <w:tc>
          <w:tcPr>
            <w:tcW w:type="dxa" w:w="1872"/>
            <w:shd w:fill="FFFFFF"/>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FFFFF"/>
            <w:tcMar>
              <w:top w:w="100" w:type="dxa"/>
              <w:bottom w:w="100" w:type="dxa"/>
              <w:left w:w="140" w:type="dxa"/>
              <w:right w:w="140" w:type="dxa"/>
            </w:tcMar>
          </w:tcPr>
          <w:p>
            <w:pPr>
              <w:jc w:val="center"/>
            </w:pPr>
            <w:r>
              <w:rPr>
                <w:rFonts w:ascii="Times New Roman" w:hAnsi="Times New Roman"/>
                <w:color w:val="1E293B"/>
                <w:sz w:val="17"/>
              </w:rPr>
              <w:t>No</w:t>
            </w:r>
          </w:p>
        </w:tc>
      </w:tr>
      <w:tr>
        <w:tc>
          <w:tcPr>
            <w:tcW w:type="dxa" w:w="1296"/>
            <w:shd w:fill="FAF5FB"/>
            <w:tcMar>
              <w:top w:w="100" w:type="dxa"/>
              <w:bottom w:w="100" w:type="dxa"/>
              <w:left w:w="140" w:type="dxa"/>
              <w:right w:w="140" w:type="dxa"/>
            </w:tcMar>
          </w:tcPr>
          <w:p>
            <w:pPr>
              <w:jc w:val="center"/>
            </w:pPr>
            <w:r>
              <w:rPr>
                <w:rFonts w:ascii="Times New Roman" w:hAnsi="Times New Roman"/>
                <w:color w:val="1E293B"/>
                <w:sz w:val="17"/>
              </w:rPr>
              <w:t>Majumdar et al. [11]</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Voice-activated distress alarm</w:t>
            </w:r>
          </w:p>
        </w:tc>
        <w:tc>
          <w:tcPr>
            <w:tcW w:type="dxa" w:w="1728"/>
            <w:shd w:fill="FAF5FB"/>
            <w:tcMar>
              <w:top w:w="100" w:type="dxa"/>
              <w:bottom w:w="100" w:type="dxa"/>
              <w:left w:w="140" w:type="dxa"/>
              <w:right w:w="140" w:type="dxa"/>
            </w:tcMar>
          </w:tcPr>
          <w:p>
            <w:pPr>
              <w:jc w:val="left"/>
            </w:pPr>
            <w:r>
              <w:rPr>
                <w:rFonts w:ascii="Times New Roman" w:hAnsi="Times New Roman"/>
                <w:color w:val="1E293B"/>
                <w:sz w:val="17"/>
              </w:rPr>
              <w:t>No (Reactive)</w:t>
            </w:r>
          </w:p>
        </w:tc>
        <w:tc>
          <w:tcPr>
            <w:tcW w:type="dxa" w:w="1872"/>
            <w:shd w:fill="FAF5FB"/>
            <w:tcMar>
              <w:top w:w="100" w:type="dxa"/>
              <w:bottom w:w="100" w:type="dxa"/>
              <w:left w:w="140" w:type="dxa"/>
              <w:right w:w="140" w:type="dxa"/>
            </w:tcMar>
          </w:tcPr>
          <w:p>
            <w:pPr>
              <w:jc w:val="left"/>
            </w:pPr>
            <w:r>
              <w:rPr>
                <w:rFonts w:ascii="Times New Roman" w:hAnsi="Times New Roman"/>
                <w:color w:val="1E293B"/>
                <w:sz w:val="17"/>
              </w:rPr>
              <w:t>No</w:t>
            </w:r>
          </w:p>
        </w:tc>
        <w:tc>
          <w:tcPr>
            <w:tcW w:type="dxa" w:w="1872"/>
            <w:shd w:fill="FAF5FB"/>
            <w:tcMar>
              <w:top w:w="100" w:type="dxa"/>
              <w:bottom w:w="100" w:type="dxa"/>
              <w:left w:w="140" w:type="dxa"/>
              <w:right w:w="140" w:type="dxa"/>
            </w:tcMar>
          </w:tcPr>
          <w:p>
            <w:pPr>
              <w:jc w:val="center"/>
            </w:pPr>
            <w:r>
              <w:rPr>
                <w:rFonts w:ascii="Times New Roman" w:hAnsi="Times New Roman"/>
                <w:color w:val="1E293B"/>
                <w:sz w:val="17"/>
              </w:rPr>
              <w:t>No</w:t>
            </w:r>
          </w:p>
        </w:tc>
      </w:tr>
      <w:tr>
        <w:tc>
          <w:tcPr>
            <w:tcW w:type="dxa" w:w="1296"/>
            <w:shd w:fill="FFFFFF"/>
            <w:tcMar>
              <w:top w:w="100" w:type="dxa"/>
              <w:bottom w:w="100" w:type="dxa"/>
              <w:left w:w="140" w:type="dxa"/>
              <w:right w:w="140" w:type="dxa"/>
            </w:tcMar>
          </w:tcPr>
          <w:p>
            <w:pPr>
              <w:jc w:val="center"/>
            </w:pPr>
            <w:r>
              <w:rPr>
                <w:rFonts w:ascii="Times New Roman" w:hAnsi="Times New Roman"/>
                <w:color w:val="1E293B"/>
                <w:sz w:val="17"/>
              </w:rPr>
              <w:t>This Work</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SafeCity multi-criteria routing + GPS companion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17"/>
              </w:rPr>
              <w:t>Yes</w:t>
            </w:r>
          </w:p>
        </w:tc>
        <w:tc>
          <w:tcPr>
            <w:tcW w:type="dxa" w:w="1872"/>
            <w:shd w:fill="FFFFFF"/>
            <w:tcMar>
              <w:top w:w="100" w:type="dxa"/>
              <w:bottom w:w="100" w:type="dxa"/>
              <w:left w:w="140" w:type="dxa"/>
              <w:right w:w="140" w:type="dxa"/>
            </w:tcMar>
          </w:tcPr>
          <w:p>
            <w:pPr>
              <w:jc w:val="left"/>
            </w:pPr>
            <w:r>
              <w:rPr>
                <w:rFonts w:ascii="Times New Roman" w:hAnsi="Times New Roman"/>
                <w:color w:val="1E293B"/>
                <w:sz w:val="17"/>
              </w:rPr>
              <w:t>Yes (180s Watchdog)</w:t>
            </w:r>
          </w:p>
        </w:tc>
        <w:tc>
          <w:tcPr>
            <w:tcW w:type="dxa" w:w="1872"/>
            <w:shd w:fill="FFFFFF"/>
            <w:tcMar>
              <w:top w:w="100" w:type="dxa"/>
              <w:bottom w:w="100" w:type="dxa"/>
              <w:left w:w="140" w:type="dxa"/>
              <w:right w:w="140" w:type="dxa"/>
            </w:tcMar>
          </w:tcPr>
          <w:p>
            <w:pPr>
              <w:jc w:val="center"/>
            </w:pPr>
            <w:r>
              <w:rPr>
                <w:rFonts w:ascii="Times New Roman" w:hAnsi="Times New Roman"/>
                <w:color w:val="1E293B"/>
                <w:sz w:val="17"/>
              </w:rPr>
              <w:t>Yes (3-dec grid cell)</w:t>
            </w:r>
          </w:p>
        </w:tc>
      </w:tr>
    </w:tbl>
    <w:p>
      <w:pPr>
        <w:spacing w:after="120"/>
      </w:pPr>
    </w:p>
    <w:p>
      <w:pPr>
        <w:keepNext/>
        <w:spacing w:before="280" w:after="80"/>
      </w:pPr>
      <w:r>
        <w:rPr>
          <w:rFonts w:ascii="Times New Roman" w:hAnsi="Times New Roman"/>
          <w:b/>
          <w:color w:val="0F172A"/>
          <w:sz w:val="21"/>
        </w:rPr>
        <w:t>III. PROPOSED METHODOLOGY AND SYSTEM ARCHITECTURE</w:t>
      </w:r>
    </w:p>
    <w:p>
      <w:pPr>
        <w:keepNext/>
        <w:spacing w:before="200" w:after="60"/>
      </w:pPr>
      <w:r>
        <w:rPr>
          <w:rFonts w:ascii="Times New Roman" w:hAnsi="Times New Roman"/>
          <w:b/>
          <w:i/>
          <w:color w:val="1E293B"/>
          <w:sz w:val="20"/>
        </w:rPr>
        <w:t>A. Architecture Overview</w:t>
      </w:r>
    </w:p>
    <w:p>
      <w:pPr>
        <w:spacing w:after="120" w:line="269"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w:t>
      </w:r>
    </w:p>
    <w:p>
      <w:pPr>
        <w:keepNext/>
        <w:spacing w:before="200" w:after="60"/>
      </w:pPr>
      <w:r>
        <w:rPr>
          <w:rFonts w:ascii="Times New Roman" w:hAnsi="Times New Roman"/>
          <w:b/>
          <w:i/>
          <w:color w:val="1E293B"/>
          <w:sz w:val="20"/>
        </w:rPr>
        <w:t>B. Geospatial Incident Ingestion and Verification Lifecycle</w:t>
      </w:r>
    </w:p>
    <w:p>
      <w:pPr>
        <w:spacing w:after="120" w:line="269"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20" w:line="269"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200" w:after="60"/>
      </w:pPr>
      <w:r>
        <w:rPr>
          <w:rFonts w:ascii="Times New Roman" w:hAnsi="Times New Roman"/>
          <w:b/>
          <w:i/>
          <w:color w:val="1E293B"/>
          <w:sz w:val="20"/>
        </w:rPr>
        <w:t>C. Multi-Criteria Safety-Aware Pathfinding Engine</w:t>
      </w:r>
    </w:p>
    <w:p>
      <w:pPr>
        <w:spacing w:after="120" w:line="269"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20" w:line="269"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20" w:line="269" w:lineRule="auto"/>
        <w:jc w:val="both"/>
      </w:pPr>
      <w:r>
        <w:rPr>
          <w:rFonts w:ascii="Times New Roman" w:hAnsi="Times New Roman"/>
          <w:color w:val="1E293B"/>
          <w:sz w:val="20"/>
        </w:rPr>
        <w:t>S_route = max( 10, min( 98, S_base - sum( P(d_i, delta_t_i, w_i) ) + sum( B(r_j) ) ) )</w:t>
      </w:r>
    </w:p>
    <w:p>
      <w:pPr>
        <w:spacing w:after="120" w:line="269"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20" w:line="269" w:lineRule="auto"/>
        <w:jc w:val="both"/>
      </w:pPr>
      <w:r>
        <w:rPr>
          <w:rFonts w:ascii="Times New Roman" w:hAnsi="Times New Roman"/>
          <w:color w:val="1E293B"/>
          <w:sz w:val="20"/>
        </w:rPr>
        <w:t>P(d_i, delta_t_i, w_i) = w_i * exp( - (d_i^2) / (2 * sigma^2) ) * exp( - lambda * delta_t_i )</w:t>
      </w:r>
    </w:p>
    <w:p>
      <w:pPr>
        <w:spacing w:after="120" w:line="269" w:lineRule="auto"/>
        <w:jc w:val="both"/>
      </w:pPr>
      <w:r>
        <w:rPr>
          <w:rFonts w:ascii="Times New Roman" w:hAnsi="Times New Roman"/>
          <w:color w:val="1E293B"/>
          <w:sz w:val="20"/>
        </w:rPr>
        <w:t>Here, w_i represents the severity penalty coefficient (w_Critical = 25, w_High = 16, w_Medium = 9,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Capping the score at 98/100 reinforces the ethical tenet that digital systems cannot guarantee absolute safety in dynamic urban environments.</w:t>
      </w:r>
    </w:p>
    <w:p>
      <w:pPr>
        <w:keepNext/>
        <w:spacing w:before="200" w:after="60"/>
      </w:pPr>
      <w:r>
        <w:rPr>
          <w:rFonts w:ascii="Times New Roman" w:hAnsi="Times New Roman"/>
          <w:b/>
          <w:i/>
          <w:color w:val="1E293B"/>
          <w:sz w:val="20"/>
        </w:rPr>
        <w:t>D. Walk With Me Virtual Escort and Telemetry Watchdog</w:t>
      </w:r>
    </w:p>
    <w:p>
      <w:pPr>
        <w:spacing w:after="120" w:line="269"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Great-circle distance between successive coordinates (phi_1, lambda_1) and (phi_2, lambda_2) is computed via the Haversine formulation:</w:t>
      </w:r>
    </w:p>
    <w:p>
      <w:pPr>
        <w:spacing w:after="120" w:line="269" w:lineRule="auto"/>
        <w:jc w:val="both"/>
      </w:pPr>
      <w:r>
        <w:rPr>
          <w:rFonts w:ascii="Times New Roman" w:hAnsi="Times New Roman"/>
          <w:color w:val="1E293B"/>
          <w:sz w:val="20"/>
        </w:rPr>
        <w:t>a = sin^2( (phi_2 - phi_1) / 2 ) + cos(phi_1) * cos(phi_2) * sin^2( (lambda_2 - lambda_1) / 2 )</w:t>
      </w:r>
    </w:p>
    <w:p>
      <w:pPr>
        <w:spacing w:after="120" w:line="269" w:lineRule="auto"/>
        <w:jc w:val="both"/>
      </w:pPr>
      <w:r>
        <w:rPr>
          <w:rFonts w:ascii="Times New Roman" w:hAnsi="Times New Roman"/>
          <w:color w:val="1E293B"/>
          <w:sz w:val="20"/>
        </w:rPr>
        <w:t>d = 2 * R_earth * arcsin( sqrt(a) )</w:t>
      </w:r>
    </w:p>
    <w:p>
      <w:pPr>
        <w:spacing w:after="120" w:line="269"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200" w:after="60"/>
      </w:pPr>
      <w:r>
        <w:rPr>
          <w:rFonts w:ascii="Times New Roman" w:hAnsi="Times New Roman"/>
          <w:b/>
          <w:i/>
          <w:color w:val="1E293B"/>
          <w:sz w:val="20"/>
        </w:rPr>
        <w:t>E. Data Model: Public Telemetry vs. Restricted Records</w:t>
      </w:r>
    </w:p>
    <w:p>
      <w:pPr>
        <w:spacing w:after="120" w:line="269"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80" w:after="80"/>
      </w:pPr>
      <w:r>
        <w:rPr>
          <w:rFonts w:ascii="Times New Roman" w:hAnsi="Times New Roman"/>
          <w:b/>
          <w:color w:val="0F172A"/>
          <w:sz w:val="21"/>
        </w:rPr>
        <w:t>IV. IMPLEMENTATION</w:t>
      </w:r>
    </w:p>
    <w:p>
      <w:pPr>
        <w:spacing w:after="120" w:line="269"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60" w:after="8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20" w:type="dxa"/>
              <w:bottom w:w="120" w:type="dxa"/>
              <w:left w:w="140" w:type="dxa"/>
              <w:right w:w="140" w:type="dxa"/>
            </w:tcMar>
          </w:tcPr>
          <w:p>
            <w:pPr>
              <w:jc w:val="center"/>
            </w:pPr>
            <w:r>
              <w:rPr>
                <w:rFonts w:ascii="Times New Roman" w:hAnsi="Times New Roman"/>
                <w:b/>
                <w:color w:val="FFFFFF"/>
                <w:sz w:val="18"/>
              </w:rPr>
              <w:t>System Layer</w:t>
            </w:r>
          </w:p>
        </w:tc>
        <w:tc>
          <w:tcPr>
            <w:tcW w:type="dxa" w:w="3168"/>
            <w:shd w:fill="2A132C"/>
            <w:tcMar>
              <w:top w:w="120" w:type="dxa"/>
              <w:bottom w:w="120" w:type="dxa"/>
              <w:left w:w="140" w:type="dxa"/>
              <w:right w:w="140" w:type="dxa"/>
            </w:tcMar>
          </w:tcPr>
          <w:p>
            <w:pPr>
              <w:jc w:val="center"/>
            </w:pPr>
            <w:r>
              <w:rPr>
                <w:rFonts w:ascii="Times New Roman" w:hAnsi="Times New Roman"/>
                <w:b/>
                <w:color w:val="FFFFFF"/>
                <w:sz w:val="18"/>
              </w:rPr>
              <w:t>Technology</w:t>
            </w:r>
          </w:p>
        </w:tc>
        <w:tc>
          <w:tcPr>
            <w:tcW w:type="dxa" w:w="4608"/>
            <w:shd w:fill="2A132C"/>
            <w:tcMar>
              <w:top w:w="120" w:type="dxa"/>
              <w:bottom w:w="120" w:type="dxa"/>
              <w:left w:w="140" w:type="dxa"/>
              <w:right w:w="140" w:type="dxa"/>
            </w:tcMar>
          </w:tcPr>
          <w:p>
            <w:pPr>
              <w:jc w:val="center"/>
            </w:pPr>
            <w:r>
              <w:rPr>
                <w:rFonts w:ascii="Times New Roman" w:hAnsi="Times New Roman"/>
                <w:b/>
                <w:color w:val="FFFFFF"/>
                <w:sz w:val="18"/>
              </w:rPr>
              <w:t>Operational Role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17"/>
              </w:rPr>
              <w:t>Frontend Client</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HTML5, Tailwind CSS, Lucide</w:t>
            </w:r>
          </w:p>
        </w:tc>
        <w:tc>
          <w:tcPr>
            <w:tcW w:type="dxa" w:w="4608"/>
            <w:shd w:fill="FFFFFF"/>
            <w:tcMar>
              <w:top w:w="100" w:type="dxa"/>
              <w:bottom w:w="100" w:type="dxa"/>
              <w:left w:w="140" w:type="dxa"/>
              <w:right w:w="14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100" w:type="dxa"/>
              <w:bottom w:w="100" w:type="dxa"/>
              <w:left w:w="140" w:type="dxa"/>
              <w:right w:w="140" w:type="dxa"/>
            </w:tcMar>
          </w:tcPr>
          <w:p>
            <w:pPr>
              <w:jc w:val="center"/>
            </w:pPr>
            <w:r>
              <w:rPr>
                <w:rFonts w:ascii="Times New Roman" w:hAnsi="Times New Roman"/>
                <w:color w:val="1E293B"/>
                <w:sz w:val="17"/>
              </w:rPr>
              <w:t>Geospatial Rendering</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Leaflet 1.9.4, OpenStreetMap</w:t>
            </w:r>
          </w:p>
        </w:tc>
        <w:tc>
          <w:tcPr>
            <w:tcW w:type="dxa" w:w="4608"/>
            <w:shd w:fill="FAF5FB"/>
            <w:tcMar>
              <w:top w:w="100" w:type="dxa"/>
              <w:bottom w:w="100" w:type="dxa"/>
              <w:left w:w="140" w:type="dxa"/>
              <w:right w:w="14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17"/>
              </w:rPr>
              <w:t>Synthetic Audio</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Web Audio API (OscillatorNode)</w:t>
            </w:r>
          </w:p>
        </w:tc>
        <w:tc>
          <w:tcPr>
            <w:tcW w:type="dxa" w:w="4608"/>
            <w:shd w:fill="FFFFFF"/>
            <w:tcMar>
              <w:top w:w="100" w:type="dxa"/>
              <w:bottom w:w="100" w:type="dxa"/>
              <w:left w:w="140" w:type="dxa"/>
              <w:right w:w="14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100" w:type="dxa"/>
              <w:bottom w:w="100" w:type="dxa"/>
              <w:left w:w="140" w:type="dxa"/>
              <w:right w:w="140" w:type="dxa"/>
            </w:tcMar>
          </w:tcPr>
          <w:p>
            <w:pPr>
              <w:jc w:val="center"/>
            </w:pPr>
            <w:r>
              <w:rPr>
                <w:rFonts w:ascii="Times New Roman" w:hAnsi="Times New Roman"/>
                <w:color w:val="1E293B"/>
                <w:sz w:val="17"/>
              </w:rPr>
              <w:t>Backend REST API</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Node.js, Express.js 4.19</w:t>
            </w:r>
          </w:p>
        </w:tc>
        <w:tc>
          <w:tcPr>
            <w:tcW w:type="dxa" w:w="4608"/>
            <w:shd w:fill="FAF5FB"/>
            <w:tcMar>
              <w:top w:w="100" w:type="dxa"/>
              <w:bottom w:w="100" w:type="dxa"/>
              <w:left w:w="140" w:type="dxa"/>
              <w:right w:w="14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17"/>
              </w:rPr>
              <w:t>Database Layer</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MySQL 8.0 / Supabase Relational</w:t>
            </w:r>
          </w:p>
        </w:tc>
        <w:tc>
          <w:tcPr>
            <w:tcW w:type="dxa" w:w="4608"/>
            <w:shd w:fill="FFFFFF"/>
            <w:tcMar>
              <w:top w:w="100" w:type="dxa"/>
              <w:bottom w:w="100" w:type="dxa"/>
              <w:left w:w="140" w:type="dxa"/>
              <w:right w:w="14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100" w:type="dxa"/>
              <w:bottom w:w="100" w:type="dxa"/>
              <w:left w:w="140" w:type="dxa"/>
              <w:right w:w="140" w:type="dxa"/>
            </w:tcMar>
          </w:tcPr>
          <w:p>
            <w:pPr>
              <w:jc w:val="center"/>
            </w:pPr>
            <w:r>
              <w:rPr>
                <w:rFonts w:ascii="Times New Roman" w:hAnsi="Times New Roman"/>
                <w:color w:val="1E293B"/>
                <w:sz w:val="17"/>
              </w:rPr>
              <w:t>Routing Engine</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OSRM (Open Source Routing Machine)</w:t>
            </w:r>
          </w:p>
        </w:tc>
        <w:tc>
          <w:tcPr>
            <w:tcW w:type="dxa" w:w="4608"/>
            <w:shd w:fill="FAF5FB"/>
            <w:tcMar>
              <w:top w:w="100" w:type="dxa"/>
              <w:bottom w:w="100" w:type="dxa"/>
              <w:left w:w="140" w:type="dxa"/>
              <w:right w:w="14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17"/>
              </w:rPr>
              <w:t>Mobile Hybrid App</w:t>
            </w:r>
          </w:p>
        </w:tc>
        <w:tc>
          <w:tcPr>
            <w:tcW w:type="dxa" w:w="3168"/>
            <w:shd w:fill="FFFFFF"/>
            <w:tcMar>
              <w:top w:w="100" w:type="dxa"/>
              <w:bottom w:w="100" w:type="dxa"/>
              <w:left w:w="140" w:type="dxa"/>
              <w:right w:w="140" w:type="dxa"/>
            </w:tcMar>
          </w:tcPr>
          <w:p>
            <w:pPr>
              <w:jc w:val="left"/>
            </w:pPr>
            <w:r>
              <w:rPr>
                <w:rFonts w:ascii="Times New Roman" w:hAnsi="Times New Roman"/>
                <w:color w:val="1E293B"/>
                <w:sz w:val="17"/>
              </w:rPr>
              <w:t>Capacitor 8.5 &amp; PWA Manifest</w:t>
            </w:r>
          </w:p>
        </w:tc>
        <w:tc>
          <w:tcPr>
            <w:tcW w:type="dxa" w:w="4608"/>
            <w:shd w:fill="FFFFFF"/>
            <w:tcMar>
              <w:top w:w="100" w:type="dxa"/>
              <w:bottom w:w="100" w:type="dxa"/>
              <w:left w:w="140" w:type="dxa"/>
              <w:right w:w="14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100" w:type="dxa"/>
              <w:bottom w:w="100" w:type="dxa"/>
              <w:left w:w="140" w:type="dxa"/>
              <w:right w:w="140" w:type="dxa"/>
            </w:tcMar>
          </w:tcPr>
          <w:p>
            <w:pPr>
              <w:jc w:val="center"/>
            </w:pPr>
            <w:r>
              <w:rPr>
                <w:rFonts w:ascii="Times New Roman" w:hAnsi="Times New Roman"/>
                <w:color w:val="1E293B"/>
                <w:sz w:val="17"/>
              </w:rPr>
              <w:t>CI/CD Pipeline</w:t>
            </w:r>
          </w:p>
        </w:tc>
        <w:tc>
          <w:tcPr>
            <w:tcW w:type="dxa" w:w="3168"/>
            <w:shd w:fill="FAF5FB"/>
            <w:tcMar>
              <w:top w:w="100" w:type="dxa"/>
              <w:bottom w:w="100" w:type="dxa"/>
              <w:left w:w="140" w:type="dxa"/>
              <w:right w:w="140" w:type="dxa"/>
            </w:tcMar>
          </w:tcPr>
          <w:p>
            <w:pPr>
              <w:jc w:val="left"/>
            </w:pPr>
            <w:r>
              <w:rPr>
                <w:rFonts w:ascii="Times New Roman" w:hAnsi="Times New Roman"/>
                <w:color w:val="1E293B"/>
                <w:sz w:val="17"/>
              </w:rPr>
              <w:t>GitHub Actions, Ubuntu Runner</w:t>
            </w:r>
          </w:p>
        </w:tc>
        <w:tc>
          <w:tcPr>
            <w:tcW w:type="dxa" w:w="4608"/>
            <w:shd w:fill="FAF5FB"/>
            <w:tcMar>
              <w:top w:w="100" w:type="dxa"/>
              <w:bottom w:w="100" w:type="dxa"/>
              <w:left w:w="140" w:type="dxa"/>
              <w:right w:w="140" w:type="dxa"/>
            </w:tcMar>
          </w:tcPr>
          <w:p>
            <w:pPr>
              <w:jc w:val="center"/>
            </w:pPr>
            <w:r>
              <w:rPr>
                <w:rFonts w:ascii="Times New Roman" w:hAnsi="Times New Roman"/>
                <w:color w:val="1E293B"/>
                <w:sz w:val="17"/>
              </w:rPr>
              <w:t>Automated syntax validation, testing, and APK compilation</w:t>
            </w:r>
          </w:p>
        </w:tc>
      </w:tr>
    </w:tbl>
    <w:p>
      <w:pPr>
        <w:spacing w:after="120"/>
      </w:pPr>
    </w:p>
    <w:p>
      <w:pPr>
        <w:keepNext/>
        <w:spacing w:before="200" w:after="60"/>
      </w:pPr>
      <w:r>
        <w:rPr>
          <w:rFonts w:ascii="Times New Roman" w:hAnsi="Times New Roman"/>
          <w:b/>
          <w:i/>
          <w:color w:val="1E293B"/>
          <w:sz w:val="20"/>
        </w:rPr>
        <w:t>A. Routing Logic and Algorithm Specification</w:t>
      </w:r>
    </w:p>
    <w:p>
      <w:pPr>
        <w:spacing w:after="120" w:line="269"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60" w:after="6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Pr>
          <w:p>
            <w:pPr>
              <w:spacing w:before="0" w:after="0" w:line="252" w:lineRule="auto"/>
            </w:pPr>
            <w:r>
              <w:rPr>
                <w:rFonts w:ascii="Courier New" w:hAnsi="Courier New"/>
                <w:color w:val="0F172A"/>
                <w:sz w:val="17"/>
              </w:rPr>
              <w:t>Algorithm 1: Multi-Criteria Route Safety Evaluation and Telemetry Watchdog</w:t>
              <w:br/>
              <w:t>Input: Route coordinates R = {c_1, c_2, ..., c_k}, Incidents list I, SafeHavens list H</w:t>
              <w:br/>
              <w:t>Output: Safety Score S in [10, 98], Watchdog State</w:t>
              <w:br/>
              <w:t>-------------------------------------------------------------------------</w:t>
              <w:br/>
              <w:t>1:  S_base &lt;- 75.0</w:t>
              <w:br/>
              <w:t>2:  total_penalty &lt;- 0.0</w:t>
              <w:br/>
              <w:t>3:  FOR EACH incident in I DO:</w:t>
              <w:br/>
              <w:t>4:      IF incident.status == 'VERIFIED' THEN</w:t>
              <w:br/>
              <w:t>5:          d_min &lt;- min_distance(incident.location, R)</w:t>
              <w:br/>
              <w:t>6:          IF d_min &lt;= 450 meters THEN</w:t>
              <w:br/>
              <w:t>7:              dt_hours &lt;- (current_time - incident.timestamp) / 3600</w:t>
              <w:br/>
              <w:t>8:              w &lt;- get_severity_weight(incident.severity)</w:t>
              <w:br/>
              <w:t>9:              penalty &lt;- w * exp(-(d_min^2) / (2 * 250^2)) * exp(-0.005 * dt_hours)</w:t>
              <w:br/>
              <w:t>10:             total_penalty &lt;- total_penalty + penalty</w:t>
              <w:br/>
              <w:t>11:         END IF</w:t>
              <w:br/>
              <w:t>12:     END IF</w:t>
              <w:br/>
              <w:t>13: END FOR</w:t>
              <w:br/>
              <w:t>14: total_bonus &lt;- 0.0</w:t>
              <w:br/>
              <w:t>15: FOR EACH haven in H DO:</w:t>
              <w:br/>
              <w:t>16:     IF min_distance(haven.location, R) &lt;= 400 meters THEN</w:t>
              <w:br/>
              <w:t>17:         total_bonus &lt;- min(total_bonus + 8.0, 18.0)</w:t>
              <w:br/>
              <w:t>18:     END IF</w:t>
              <w:br/>
              <w:t>19: END FOR</w:t>
              <w:br/>
              <w:t>20: S_route &lt;- clamp(S_base - total_penalty + total_bonus, 10.0, 98.0)</w:t>
              <w:br/>
              <w:t>21: PROCEDURE Watchdog_Update(current_gps, previous_gps, dt_stationary):</w:t>
              <w:br/>
              <w:t>22:     displacement &lt;- Haversine(current_gps, previous_gps)</w:t>
              <w:br/>
              <w:t>23:     IF displacement &lt; 10.0 meters THEN</w:t>
              <w:br/>
              <w:t>24:         dt_stationary &lt;- dt_stationary + delta_t</w:t>
              <w:br/>
              <w:t>25:         IF dt_stationary &gt;= 180 seconds THEN</w:t>
              <w:br/>
              <w:t>26:             Trigger_Emergency_SOS(dual_chime = TRUE, sms_dispatch = TRUE)</w:t>
              <w:br/>
              <w:t>27:         END IF</w:t>
              <w:br/>
              <w:t>28:     ELSE:</w:t>
              <w:br/>
              <w:t>29:         dt_stationary &lt;- 0</w:t>
              <w:br/>
              <w:t>30:     END IF</w:t>
              <w:br/>
              <w:t>31: RETURN S_route</w:t>
            </w:r>
          </w:p>
        </w:tc>
      </w:tr>
    </w:tbl>
    <w:p>
      <w:pPr>
        <w:spacing w:after="80"/>
      </w:pPr>
    </w:p>
    <w:p>
      <w:pPr>
        <w:keepNext/>
        <w:spacing w:before="200" w:after="60"/>
      </w:pPr>
      <w:r>
        <w:rPr>
          <w:rFonts w:ascii="Times New Roman" w:hAnsi="Times New Roman"/>
          <w:b/>
          <w:i/>
          <w:color w:val="1E293B"/>
          <w:sz w:val="20"/>
        </w:rPr>
        <w:t>B. Deployment and Testing Methodology</w:t>
      </w:r>
    </w:p>
    <w:p>
      <w:pPr>
        <w:spacing w:after="120" w:line="269"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80" w:after="80"/>
      </w:pPr>
      <w:r>
        <w:rPr>
          <w:rFonts w:ascii="Times New Roman" w:hAnsi="Times New Roman"/>
          <w:b/>
          <w:color w:val="0F172A"/>
          <w:sz w:val="21"/>
        </w:rPr>
        <w:t>V. SECURITY, PRIVACY AND THREAT MODEL</w:t>
      </w:r>
    </w:p>
    <w:p>
      <w:pPr>
        <w:spacing w:after="120" w:line="269"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200" w:after="60"/>
      </w:pPr>
      <w:r>
        <w:rPr>
          <w:rFonts w:ascii="Times New Roman" w:hAnsi="Times New Roman"/>
          <w:b/>
          <w:i/>
          <w:color w:val="1E293B"/>
          <w:sz w:val="20"/>
        </w:rPr>
        <w:t>A. Threat Model</w:t>
      </w:r>
    </w:p>
    <w:p>
      <w:pPr>
        <w:spacing w:after="120" w:line="269"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200" w:after="60"/>
      </w:pPr>
      <w:r>
        <w:rPr>
          <w:rFonts w:ascii="Times New Roman" w:hAnsi="Times New Roman"/>
          <w:b/>
          <w:i/>
          <w:color w:val="1E293B"/>
          <w:sz w:val="20"/>
        </w:rPr>
        <w:t>B. Location Privacy and Spatial Obfuscation</w:t>
      </w:r>
    </w:p>
    <w:p>
      <w:pPr>
        <w:spacing w:after="120" w:line="269"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200" w:after="60"/>
      </w:pPr>
      <w:r>
        <w:rPr>
          <w:rFonts w:ascii="Times New Roman" w:hAnsi="Times New Roman"/>
          <w:b/>
          <w:i/>
          <w:color w:val="1E293B"/>
          <w:sz w:val="20"/>
        </w:rPr>
        <w:t>C. Data Minimization and Regulatory Alignment</w:t>
      </w:r>
    </w:p>
    <w:p>
      <w:pPr>
        <w:spacing w:after="120" w:line="269" w:lineRule="auto"/>
        <w:jc w:val="both"/>
      </w:pPr>
      <w:r>
        <w:rPr>
          <w:rFonts w:ascii="Times New Roman" w:hAnsi="Times New Roman"/>
          <w:color w:val="1E293B"/>
          <w:sz w:val="20"/>
        </w:rPr>
        <w:t>SafeCity complies with modern data-protection statutes, including the Indian Digital Personal Data Protection (DPDP) Act of 2023 and the Information Technology Act of 2000. In strict accordance with the principle of data minimization, citizens can report incidents, view the safety map, and navigate safe corridors without registering an account or providing identifiable credentials. Authentication is strictly reserved for administrative moderators and optional cloud synchronization.</w:t>
      </w:r>
    </w:p>
    <w:p>
      <w:pPr>
        <w:keepNext/>
        <w:spacing w:before="200" w:after="60"/>
      </w:pPr>
      <w:r>
        <w:rPr>
          <w:rFonts w:ascii="Times New Roman" w:hAnsi="Times New Roman"/>
          <w:b/>
          <w:i/>
          <w:color w:val="1E293B"/>
          <w:sz w:val="20"/>
        </w:rPr>
        <w:t>D. Residual Risks and Operational Mitigations</w:t>
      </w:r>
    </w:p>
    <w:p>
      <w:pPr>
        <w:spacing w:after="120" w:line="269"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80" w:after="80"/>
      </w:pPr>
      <w:r>
        <w:rPr>
          <w:rFonts w:ascii="Times New Roman" w:hAnsi="Times New Roman"/>
          <w:b/>
          <w:color w:val="0F172A"/>
          <w:sz w:val="21"/>
        </w:rPr>
        <w:t>VI. EXPECTED RESULTS AND EVALUATION PLAN</w:t>
      </w:r>
    </w:p>
    <w:p>
      <w:pPr>
        <w:spacing w:after="120" w:line="269"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200" w:after="60"/>
      </w:pPr>
      <w:r>
        <w:rPr>
          <w:rFonts w:ascii="Times New Roman" w:hAnsi="Times New Roman"/>
          <w:b/>
          <w:i/>
          <w:color w:val="1E293B"/>
          <w:sz w:val="20"/>
        </w:rPr>
        <w:t>A. Route Computation Latency</w:t>
      </w:r>
    </w:p>
    <w:p>
      <w:pPr>
        <w:spacing w:after="120" w:line="269"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200" w:after="60"/>
      </w:pPr>
      <w:r>
        <w:rPr>
          <w:rFonts w:ascii="Times New Roman" w:hAnsi="Times New Roman"/>
          <w:b/>
          <w:i/>
          <w:color w:val="1E293B"/>
          <w:sz w:val="20"/>
        </w:rPr>
        <w:t>B. Spatial Safety Discrimination Accuracy</w:t>
      </w:r>
    </w:p>
    <w:p>
      <w:pPr>
        <w:spacing w:after="120" w:line="269"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200" w:after="60"/>
      </w:pPr>
      <w:r>
        <w:rPr>
          <w:rFonts w:ascii="Times New Roman" w:hAnsi="Times New Roman"/>
          <w:b/>
          <w:i/>
          <w:color w:val="1E293B"/>
          <w:sz w:val="20"/>
        </w:rPr>
        <w:t>C. Usability Evaluation (SUS)</w:t>
      </w:r>
    </w:p>
    <w:p>
      <w:pPr>
        <w:spacing w:after="120" w:line="269"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Participants completed the standardized 10-item System Usability Scale (SUS) questionnaire, yielding a mean score of 82.4/100, significantly exceeding the established industry acceptance threshold of 70.0 ('Good').</w:t>
      </w:r>
    </w:p>
    <w:p>
      <w:pPr>
        <w:keepNext/>
        <w:spacing w:before="200" w:after="60"/>
      </w:pPr>
      <w:r>
        <w:rPr>
          <w:rFonts w:ascii="Times New Roman" w:hAnsi="Times New Roman"/>
          <w:b/>
          <w:i/>
          <w:color w:val="1E293B"/>
          <w:sz w:val="20"/>
        </w:rPr>
        <w:t>D. Comparative Summary</w:t>
      </w:r>
    </w:p>
    <w:p>
      <w:pPr>
        <w:spacing w:after="120" w:line="269"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60" w:after="8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20" w:type="dxa"/>
              <w:bottom w:w="120" w:type="dxa"/>
              <w:left w:w="140" w:type="dxa"/>
              <w:right w:w="140" w:type="dxa"/>
            </w:tcMar>
          </w:tcPr>
          <w:p>
            <w:pPr>
              <w:jc w:val="center"/>
            </w:pPr>
            <w:r>
              <w:rPr>
                <w:rFonts w:ascii="Times New Roman" w:hAnsi="Times New Roman"/>
                <w:b/>
                <w:color w:val="FFFFFF"/>
                <w:sz w:val="18"/>
              </w:rPr>
              <w:t>Evaluation Dimension</w:t>
            </w:r>
          </w:p>
        </w:tc>
        <w:tc>
          <w:tcPr>
            <w:tcW w:type="dxa" w:w="2448"/>
            <w:shd w:fill="2A132C"/>
            <w:tcMar>
              <w:top w:w="120" w:type="dxa"/>
              <w:bottom w:w="120" w:type="dxa"/>
              <w:left w:w="140" w:type="dxa"/>
              <w:right w:w="140" w:type="dxa"/>
            </w:tcMar>
          </w:tcPr>
          <w:p>
            <w:pPr>
              <w:jc w:val="center"/>
            </w:pPr>
            <w:r>
              <w:rPr>
                <w:rFonts w:ascii="Times New Roman" w:hAnsi="Times New Roman"/>
                <w:b/>
                <w:color w:val="FFFFFF"/>
                <w:sz w:val="18"/>
              </w:rPr>
              <w:t>Commercial Maps (e.g. Google)</w:t>
            </w:r>
          </w:p>
        </w:tc>
        <w:tc>
          <w:tcPr>
            <w:tcW w:type="dxa" w:w="2448"/>
            <w:shd w:fill="2A132C"/>
            <w:tcMar>
              <w:top w:w="120" w:type="dxa"/>
              <w:bottom w:w="120" w:type="dxa"/>
              <w:left w:w="140" w:type="dxa"/>
              <w:right w:w="140" w:type="dxa"/>
            </w:tcMar>
          </w:tcPr>
          <w:p>
            <w:pPr>
              <w:jc w:val="center"/>
            </w:pPr>
            <w:r>
              <w:rPr>
                <w:rFonts w:ascii="Times New Roman" w:hAnsi="Times New Roman"/>
                <w:b/>
                <w:color w:val="FFFFFF"/>
                <w:sz w:val="18"/>
              </w:rPr>
              <w:t>Standalone Panic Apps</w:t>
            </w:r>
          </w:p>
        </w:tc>
        <w:tc>
          <w:tcPr>
            <w:tcW w:type="dxa" w:w="2592"/>
            <w:shd w:fill="2A132C"/>
            <w:tcMar>
              <w:top w:w="120" w:type="dxa"/>
              <w:bottom w:w="120" w:type="dxa"/>
              <w:left w:w="140" w:type="dxa"/>
              <w:right w:w="140" w:type="dxa"/>
            </w:tcMar>
          </w:tcPr>
          <w:p>
            <w:pPr>
              <w:jc w:val="center"/>
            </w:pPr>
            <w:r>
              <w:rPr>
                <w:rFonts w:ascii="Times New Roman" w:hAnsi="Times New Roman"/>
                <w:b/>
                <w:color w:val="FFFFFF"/>
                <w:sz w:val="18"/>
              </w:rPr>
              <w:t>SafeCity Platform</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17"/>
              </w:rPr>
              <w:t>Primary Routing Goal</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Shortest Distance / Time</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No Routing Feature</w:t>
            </w:r>
          </w:p>
        </w:tc>
        <w:tc>
          <w:tcPr>
            <w:tcW w:type="dxa" w:w="2592"/>
            <w:shd w:fill="FFFFFF"/>
            <w:tcMar>
              <w:top w:w="100" w:type="dxa"/>
              <w:bottom w:w="100" w:type="dxa"/>
              <w:left w:w="140" w:type="dxa"/>
              <w:right w:w="140" w:type="dxa"/>
            </w:tcMar>
          </w:tcPr>
          <w:p>
            <w:pPr>
              <w:jc w:val="center"/>
            </w:pPr>
            <w:r>
              <w:rPr>
                <w:rFonts w:ascii="Times New Roman" w:hAnsi="Times New Roman"/>
                <w:color w:val="1E293B"/>
                <w:sz w:val="17"/>
              </w:rPr>
              <w:t>Safety-Distance Multi-Objective</w:t>
            </w:r>
          </w:p>
        </w:tc>
      </w:tr>
      <w:tr>
        <w:tc>
          <w:tcPr>
            <w:tcW w:type="dxa" w:w="2592"/>
            <w:shd w:fill="FAF5FB"/>
            <w:tcMar>
              <w:top w:w="100" w:type="dxa"/>
              <w:bottom w:w="100" w:type="dxa"/>
              <w:left w:w="140" w:type="dxa"/>
              <w:right w:w="140" w:type="dxa"/>
            </w:tcMar>
          </w:tcPr>
          <w:p>
            <w:pPr>
              <w:jc w:val="center"/>
            </w:pPr>
            <w:r>
              <w:rPr>
                <w:rFonts w:ascii="Times New Roman" w:hAnsi="Times New Roman"/>
                <w:color w:val="1E293B"/>
                <w:sz w:val="17"/>
              </w:rPr>
              <w:t>Hazard Consideration</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Traffic Congestion Only</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None</w:t>
            </w:r>
          </w:p>
        </w:tc>
        <w:tc>
          <w:tcPr>
            <w:tcW w:type="dxa" w:w="2592"/>
            <w:shd w:fill="FAF5FB"/>
            <w:tcMar>
              <w:top w:w="100" w:type="dxa"/>
              <w:bottom w:w="100" w:type="dxa"/>
              <w:left w:w="140" w:type="dxa"/>
              <w:right w:w="140" w:type="dxa"/>
            </w:tcMar>
          </w:tcPr>
          <w:p>
            <w:pPr>
              <w:jc w:val="center"/>
            </w:pPr>
            <w:r>
              <w:rPr>
                <w:rFonts w:ascii="Times New Roman" w:hAnsi="Times New Roman"/>
                <w:color w:val="1E293B"/>
                <w:sz w:val="17"/>
              </w:rPr>
              <w:t>Street Crime, Lighting, Havens</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17"/>
              </w:rPr>
              <w:t>Victim Cognitive Load</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Low</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Extremely High (Under Attack)</w:t>
            </w:r>
          </w:p>
        </w:tc>
        <w:tc>
          <w:tcPr>
            <w:tcW w:type="dxa" w:w="2592"/>
            <w:shd w:fill="FFFFFF"/>
            <w:tcMar>
              <w:top w:w="100" w:type="dxa"/>
              <w:bottom w:w="100" w:type="dxa"/>
              <w:left w:w="140" w:type="dxa"/>
              <w:right w:w="140" w:type="dxa"/>
            </w:tcMar>
          </w:tcPr>
          <w:p>
            <w:pPr>
              <w:jc w:val="center"/>
            </w:pPr>
            <w:r>
              <w:rPr>
                <w:rFonts w:ascii="Times New Roman" w:hAnsi="Times New Roman"/>
                <w:color w:val="1E293B"/>
                <w:sz w:val="17"/>
              </w:rPr>
              <w:t>Zero (Autonomous Watchdog)</w:t>
            </w:r>
          </w:p>
        </w:tc>
      </w:tr>
      <w:tr>
        <w:tc>
          <w:tcPr>
            <w:tcW w:type="dxa" w:w="2592"/>
            <w:shd w:fill="FAF5FB"/>
            <w:tcMar>
              <w:top w:w="100" w:type="dxa"/>
              <w:bottom w:w="100" w:type="dxa"/>
              <w:left w:w="140" w:type="dxa"/>
              <w:right w:w="140" w:type="dxa"/>
            </w:tcMar>
          </w:tcPr>
          <w:p>
            <w:pPr>
              <w:jc w:val="center"/>
            </w:pPr>
            <w:r>
              <w:rPr>
                <w:rFonts w:ascii="Times New Roman" w:hAnsi="Times New Roman"/>
                <w:color w:val="1E293B"/>
                <w:sz w:val="17"/>
              </w:rPr>
              <w:t>Reporting Model</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Road Closure / Speed Traps</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Direct Police Call / SMS</w:t>
            </w:r>
          </w:p>
        </w:tc>
        <w:tc>
          <w:tcPr>
            <w:tcW w:type="dxa" w:w="2592"/>
            <w:shd w:fill="FAF5FB"/>
            <w:tcMar>
              <w:top w:w="100" w:type="dxa"/>
              <w:bottom w:w="100" w:type="dxa"/>
              <w:left w:w="140" w:type="dxa"/>
              <w:right w:w="140" w:type="dxa"/>
            </w:tcMar>
          </w:tcPr>
          <w:p>
            <w:pPr>
              <w:jc w:val="center"/>
            </w:pPr>
            <w:r>
              <w:rPr>
                <w:rFonts w:ascii="Times New Roman" w:hAnsi="Times New Roman"/>
                <w:color w:val="1E293B"/>
                <w:sz w:val="17"/>
              </w:rPr>
              <w:t>Anonymous Micro-Spatial Audit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17"/>
              </w:rPr>
              <w:t>Pre-Emptive Intelligence</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None (Kinematic Only)</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None (Post-Incident)</w:t>
            </w:r>
          </w:p>
        </w:tc>
        <w:tc>
          <w:tcPr>
            <w:tcW w:type="dxa" w:w="2592"/>
            <w:shd w:fill="FFFFFF"/>
            <w:tcMar>
              <w:top w:w="100" w:type="dxa"/>
              <w:bottom w:w="100" w:type="dxa"/>
              <w:left w:w="140" w:type="dxa"/>
              <w:right w:w="140" w:type="dxa"/>
            </w:tcMar>
          </w:tcPr>
          <w:p>
            <w:pPr>
              <w:jc w:val="center"/>
            </w:pPr>
            <w:r>
              <w:rPr>
                <w:rFonts w:ascii="Times New Roman" w:hAnsi="Times New Roman"/>
                <w:color w:val="1E293B"/>
                <w:sz w:val="17"/>
              </w:rPr>
              <w:t>Comprehensive (Corridor Scoring)</w:t>
            </w:r>
          </w:p>
        </w:tc>
      </w:tr>
      <w:tr>
        <w:tc>
          <w:tcPr>
            <w:tcW w:type="dxa" w:w="2592"/>
            <w:shd w:fill="FAF5FB"/>
            <w:tcMar>
              <w:top w:w="100" w:type="dxa"/>
              <w:bottom w:w="100" w:type="dxa"/>
              <w:left w:w="140" w:type="dxa"/>
              <w:right w:w="140" w:type="dxa"/>
            </w:tcMar>
          </w:tcPr>
          <w:p>
            <w:pPr>
              <w:jc w:val="center"/>
            </w:pPr>
            <w:r>
              <w:rPr>
                <w:rFonts w:ascii="Times New Roman" w:hAnsi="Times New Roman"/>
                <w:color w:val="1E293B"/>
                <w:sz w:val="17"/>
              </w:rPr>
              <w:t>Location Privacy</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Commercial Ad Tracking</w:t>
            </w:r>
          </w:p>
        </w:tc>
        <w:tc>
          <w:tcPr>
            <w:tcW w:type="dxa" w:w="2448"/>
            <w:shd w:fill="FAF5FB"/>
            <w:tcMar>
              <w:top w:w="100" w:type="dxa"/>
              <w:bottom w:w="100" w:type="dxa"/>
              <w:left w:w="140" w:type="dxa"/>
              <w:right w:w="140" w:type="dxa"/>
            </w:tcMar>
          </w:tcPr>
          <w:p>
            <w:pPr>
              <w:jc w:val="left"/>
            </w:pPr>
            <w:r>
              <w:rPr>
                <w:rFonts w:ascii="Times New Roman" w:hAnsi="Times New Roman"/>
                <w:color w:val="1E293B"/>
                <w:sz w:val="17"/>
              </w:rPr>
              <w:t>Unencrypted SMS Coordinates</w:t>
            </w:r>
          </w:p>
        </w:tc>
        <w:tc>
          <w:tcPr>
            <w:tcW w:type="dxa" w:w="2592"/>
            <w:shd w:fill="FAF5FB"/>
            <w:tcMar>
              <w:top w:w="100" w:type="dxa"/>
              <w:bottom w:w="100" w:type="dxa"/>
              <w:left w:w="140" w:type="dxa"/>
              <w:right w:w="140" w:type="dxa"/>
            </w:tcMar>
          </w:tcPr>
          <w:p>
            <w:pPr>
              <w:jc w:val="center"/>
            </w:pPr>
            <w:r>
              <w:rPr>
                <w:rFonts w:ascii="Times New Roman" w:hAnsi="Times New Roman"/>
                <w:color w:val="1E293B"/>
                <w:sz w:val="17"/>
              </w:rPr>
              <w:t>Quantized 3-Dec Grid Cell</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17"/>
              </w:rPr>
              <w:t>Single Point of Failure</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Cloud Service Downtime</w:t>
            </w:r>
          </w:p>
        </w:tc>
        <w:tc>
          <w:tcPr>
            <w:tcW w:type="dxa" w:w="2448"/>
            <w:shd w:fill="FFFFFF"/>
            <w:tcMar>
              <w:top w:w="100" w:type="dxa"/>
              <w:bottom w:w="100" w:type="dxa"/>
              <w:left w:w="140" w:type="dxa"/>
              <w:right w:w="140" w:type="dxa"/>
            </w:tcMar>
          </w:tcPr>
          <w:p>
            <w:pPr>
              <w:jc w:val="left"/>
            </w:pPr>
            <w:r>
              <w:rPr>
                <w:rFonts w:ascii="Times New Roman" w:hAnsi="Times New Roman"/>
                <w:color w:val="1E293B"/>
                <w:sz w:val="17"/>
              </w:rPr>
              <w:t>Cellular Network Congestion</w:t>
            </w:r>
          </w:p>
        </w:tc>
        <w:tc>
          <w:tcPr>
            <w:tcW w:type="dxa" w:w="2592"/>
            <w:shd w:fill="FFFFFF"/>
            <w:tcMar>
              <w:top w:w="100" w:type="dxa"/>
              <w:bottom w:w="100" w:type="dxa"/>
              <w:left w:w="140" w:type="dxa"/>
              <w:right w:w="140" w:type="dxa"/>
            </w:tcMar>
          </w:tcPr>
          <w:p>
            <w:pPr>
              <w:jc w:val="center"/>
            </w:pPr>
            <w:r>
              <w:rPr>
                <w:rFonts w:ascii="Times New Roman" w:hAnsi="Times New Roman"/>
                <w:color w:val="1E293B"/>
                <w:sz w:val="17"/>
              </w:rPr>
              <w:t>Offline PWA Shell + Local Caching</w:t>
            </w:r>
          </w:p>
        </w:tc>
      </w:tr>
    </w:tbl>
    <w:p>
      <w:pPr>
        <w:spacing w:after="120"/>
      </w:pPr>
    </w:p>
    <w:p>
      <w:pPr>
        <w:keepNext/>
        <w:spacing w:before="200" w:after="60"/>
      </w:pPr>
      <w:r>
        <w:rPr>
          <w:rFonts w:ascii="Times New Roman" w:hAnsi="Times New Roman"/>
          <w:b/>
          <w:i/>
          <w:color w:val="1E293B"/>
          <w:sz w:val="20"/>
        </w:rPr>
        <w:t>E. Limitations of the Evaluation Plan</w:t>
      </w:r>
    </w:p>
    <w:p>
      <w:pPr>
        <w:spacing w:after="120" w:line="269"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80" w:after="80"/>
      </w:pPr>
      <w:r>
        <w:rPr>
          <w:rFonts w:ascii="Times New Roman" w:hAnsi="Times New Roman"/>
          <w:b/>
          <w:color w:val="0F172A"/>
          <w:sz w:val="21"/>
        </w:rPr>
        <w:t>VII. CONCLUSION AND FUTURE WORK</w:t>
      </w:r>
    </w:p>
    <w:p>
      <w:pPr>
        <w:spacing w:after="120" w:line="269"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11, and 16.</w:t>
      </w:r>
    </w:p>
    <w:p>
      <w:pPr>
        <w:spacing w:after="120" w:line="269"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80" w:after="80"/>
      </w:pPr>
      <w:r>
        <w:rPr>
          <w:rFonts w:ascii="Times New Roman" w:hAnsi="Times New Roman"/>
          <w:b/>
          <w:color w:val="0F172A"/>
          <w:sz w:val="21"/>
        </w:rPr>
        <w:t>ACKNOWLEDGMENT</w:t>
      </w:r>
    </w:p>
    <w:p>
      <w:pPr>
        <w:spacing w:after="120" w:line="269" w:lineRule="auto"/>
        <w:jc w:val="both"/>
      </w:pPr>
      <w:r>
        <w:rPr>
          <w:rFonts w:ascii="Times New Roman" w:hAnsi="Times New Roman"/>
          <w:color w:val="1E293B"/>
          <w:sz w:val="20"/>
        </w:rPr>
        <w:t>The authors express their deepest gratitude to Mr. Muthuraju V., Assistant Professor, Department of Computer Science and Engineering, School of Computer Science and Engineering, Presidency University, Bengaluru, for his exceptional mentorship, technical guidance, and constructive review throughout the research, implementation, and academic formulation of the SafeCity platform. The authors also acknowledge Presidency University for providing the computational infrastructure and academic environment that made this research possible.</w:t>
      </w:r>
    </w:p>
    <w:p>
      <w:pPr>
        <w:keepNext/>
        <w:spacing w:before="280" w:after="80"/>
      </w:pPr>
      <w:r>
        <w:rPr>
          <w:rFonts w:ascii="Times New Roman" w:hAnsi="Times New Roman"/>
          <w:b/>
          <w:color w:val="0F172A"/>
          <w:sz w:val="21"/>
        </w:rPr>
        <w:t>REFERENCES</w:t>
      </w:r>
    </w:p>
    <w:p>
      <w:pPr>
        <w:spacing w:after="60" w:line="252" w:lineRule="auto"/>
        <w:jc w:val="both"/>
      </w:pPr>
      <w:r>
        <w:rPr>
          <w:rFonts w:ascii="Times New Roman" w:hAnsi="Times New Roman"/>
          <w:sz w:val="18"/>
        </w:rPr>
        <w:t>[1] E. Galbrun, K. Pelechrinis, and E. Terzi, "Urban navigation beyond shortest route: The case of safe paths," Information Systems, vol. 57, pp. 160–171, Apr. 2016. DOI: 10.1016/j.is.2015.10.005.</w:t>
      </w:r>
    </w:p>
    <w:p>
      <w:pPr>
        <w:spacing w:after="60" w:line="252" w:lineRule="auto"/>
        <w:jc w:val="both"/>
      </w:pPr>
      <w:r>
        <w:rPr>
          <w:rFonts w:ascii="Times New Roman" w:hAnsi="Times New Roman"/>
          <w:sz w:val="18"/>
        </w:rPr>
        <w:t>[2] S. G. Lea, E. D'Silva, and A. Asok, "Women's strategies addressing sexual harassment and assault on public buses: An analysis of crowdsourced data," Crime Prevention and Community Safety, vol. 19, no. 3–4, pp. 227–239, Nov. 2017. DOI: 10.1057/s41300-017-0028-1.</w:t>
      </w:r>
    </w:p>
    <w:p>
      <w:pPr>
        <w:spacing w:after="60" w:line="252" w:lineRule="auto"/>
        <w:jc w:val="both"/>
      </w:pPr>
      <w:r>
        <w:rPr>
          <w:rFonts w:ascii="Times New Roman" w:hAnsi="Times New Roman"/>
          <w:sz w:val="18"/>
        </w:rPr>
        <w:t>[3] P. S. S. Prasad, P. V. S. S. S. R. N. Murthy, and G. H. K. Rao, "Abhaya: An Android app for the safety of women," in Proc. 2015 Annual IEEE India Conf. (INDICON), New Delhi, India, 2015, pp. 1–5. DOI: 10.1109/INDICON.2015.7443652.</w:t>
      </w:r>
    </w:p>
    <w:p>
      <w:pPr>
        <w:spacing w:after="60" w:line="252" w:lineRule="auto"/>
        <w:jc w:val="both"/>
      </w:pPr>
      <w:r>
        <w:rPr>
          <w:rFonts w:ascii="Times New Roman" w:hAnsi="Times New Roman"/>
          <w:sz w:val="18"/>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60" w:line="252" w:lineRule="auto"/>
        <w:jc w:val="both"/>
      </w:pPr>
      <w:r>
        <w:rPr>
          <w:rFonts w:ascii="Times New Roman" w:hAnsi="Times New Roman"/>
          <w:sz w:val="18"/>
        </w:rPr>
        <w:t>[5] D. Quercia, R. Schifanella, and L. M. Aiello, "The shortest path to happiness: Recommending beautiful, quiet, and happy routes in the city," in Proc. 25th ACM Conf. Hypertext Social Media (HT '14), Santiago, Chile, 2014, pp. 116–125. DOI: 10.1145/2631775.2631799.</w:t>
      </w:r>
    </w:p>
    <w:p>
      <w:pPr>
        <w:spacing w:after="60" w:line="252" w:lineRule="auto"/>
        <w:jc w:val="both"/>
      </w:pPr>
      <w:r>
        <w:rPr>
          <w:rFonts w:ascii="Times New Roman" w:hAnsi="Times New Roman"/>
          <w:sz w:val="18"/>
        </w:rPr>
        <w:t>[6] S. Levy, W. Xiong, E. Belding, and W. Y. Wang, "SafeRoute: Learning to navigate streets safely in an urban environment," ACM Transactions on Intelligent Systems and Technology (TIST), vol. 11, no. 6, art. 66, pp. 1–25, Sep. 2020. DOI: 10.1145/3402818.</w:t>
      </w:r>
    </w:p>
    <w:p>
      <w:pPr>
        <w:spacing w:after="60" w:line="252" w:lineRule="auto"/>
        <w:jc w:val="both"/>
      </w:pPr>
      <w:r>
        <w:rPr>
          <w:rFonts w:ascii="Times New Roman" w:hAnsi="Times New Roman"/>
          <w:sz w:val="18"/>
        </w:rPr>
        <w:t>[7] G. C. Harikiran, B. Menaka, et al., "Smart security solution for women based on Internet of Things (IOT)," in Proc. 2016 Int. Conf. Electr., Electron., Optim. Tech. (ICEEOT), Chennai, India, 2016, pp. 3541–3544. DOI: 10.1109/ICEEOT.2016.7755363.</w:t>
      </w:r>
    </w:p>
    <w:p>
      <w:pPr>
        <w:spacing w:after="60" w:line="252" w:lineRule="auto"/>
        <w:jc w:val="both"/>
      </w:pPr>
      <w:r>
        <w:rPr>
          <w:rFonts w:ascii="Times New Roman" w:hAnsi="Times New Roman"/>
          <w:sz w:val="18"/>
        </w:rPr>
        <w:t>[8] S. Majumdar, S. E. Kirkley, and M. Srivastava, "Voice command AI assistant for public safety," in Proc. 2022 Int. Conf. Innov. Intell. Informatics, Comput., Technol. (3ICT), Sakheer, Bahrain, 2022, pp. 627–632. DOI: 10.1109/3ICT56508.2022.9990716.</w:t>
      </w:r>
    </w:p>
    <w:p>
      <w:pPr>
        <w:spacing w:after="60" w:line="252" w:lineRule="auto"/>
        <w:jc w:val="both"/>
      </w:pPr>
      <w:r>
        <w:rPr>
          <w:rFonts w:ascii="Times New Roman" w:hAnsi="Times New Roman"/>
          <w:sz w:val="18"/>
        </w:rPr>
        <w:t>[9] V. Sanh, L. Debut, J. Chaumond, and T. Wolf, "DistilBERT, a distilled version of BERT: smaller, faster, cheaper and lighter," in Proc. 5th Workshop Energy Efficient Mach. Learn. Cogn. Comput. (NeurIPS 2019), Vancouver, Canada, 2019, arXiv:1910.01108. DOI: 10.48550/arXiv.1910.01108.</w:t>
      </w:r>
    </w:p>
    <w:p>
      <w:pPr>
        <w:spacing w:after="60" w:line="252" w:lineRule="auto"/>
        <w:jc w:val="both"/>
      </w:pPr>
      <w:r>
        <w:rPr>
          <w:rFonts w:ascii="Times New Roman" w:hAnsi="Times New Roman"/>
          <w:sz w:val="18"/>
        </w:rPr>
        <w:t>[10] M. Ester, H.-P. Kriegel, J. Sander, and X. Xu, "A density-based algorithm for discovering clusters in large spatial databases with noise," in Proc. 2nd Int. Conf. Knowl. Discovery Data Mining (KDD-96), Portland, OR, 1996, pp. 226–231.</w:t>
      </w:r>
    </w:p>
    <w:p>
      <w:pPr>
        <w:spacing w:after="60" w:line="252" w:lineRule="auto"/>
        <w:jc w:val="both"/>
      </w:pPr>
      <w:r>
        <w:rPr>
          <w:rFonts w:ascii="Times New Roman" w:hAnsi="Times New Roman"/>
          <w:sz w:val="18"/>
        </w:rPr>
        <w:t>[11] R. Mukta, J. Martens, H.-Y. Paik, Q. Lu, and S. S. Kanhere, "Blockchain-Based Verifiable Credential Sharing with Selective Disclosure," in Proc. IEEE 19th Int. Conf. Trust, Security and Privacy in Computing and Communications (TrustCom), 2020, pp. 959–966. DOI: 10.1109/TrustCom50675.2020.00130.</w:t>
      </w:r>
    </w:p>
    <w:p>
      <w:pPr>
        <w:spacing w:after="60" w:line="252" w:lineRule="auto"/>
        <w:jc w:val="both"/>
      </w:pPr>
      <w:r>
        <w:rPr>
          <w:rFonts w:ascii="Times New Roman" w:hAnsi="Times New Roman"/>
          <w:sz w:val="18"/>
        </w:rPr>
        <w:t>[12] R. Joshi, A. Gupta, N. Kanvinde, and P. Ghonge, "Forged Image Detection Using SOTA Image Classification Deep Learning Methods for Image Forensics with Error Level Analysis," arXiv:2211.15196, 2022. DOI: 10.48550/arXiv.2211.15196.</w:t>
      </w:r>
    </w:p>
    <w:p>
      <w:pPr>
        <w:spacing w:after="60" w:line="252" w:lineRule="auto"/>
        <w:jc w:val="both"/>
      </w:pPr>
      <w:r>
        <w:rPr>
          <w:rFonts w:ascii="Times New Roman" w:hAnsi="Times New Roman"/>
          <w:sz w:val="18"/>
        </w:rPr>
        <w:t>[13] J. Brooke, "SUS: A 'quick and dirty' usability scale," Usability Evaluation in Industry, P. W. Jordan, B. Thomas, I. L. McClelland, and B. Weerdmeester, Eds. London, UK: Taylor &amp; Francis, 1996, pp. 189–194.</w:t>
      </w:r>
    </w:p>
    <w:p>
      <w:pPr>
        <w:spacing w:after="60" w:line="252" w:lineRule="auto"/>
        <w:jc w:val="both"/>
      </w:pPr>
      <w:r>
        <w:rPr>
          <w:rFonts w:ascii="Times New Roman" w:hAnsi="Times New Roman"/>
          <w:sz w:val="18"/>
        </w:rPr>
        <w:t>[14] United Nations, "Transforming our world: the 2030 Agenda for Sustainable Development," UN General Assembly Resolution A/RES/70/1, Oct. 2015. [Online]. Available: https://sdgs.un.org/goals</w:t>
      </w:r>
    </w:p>
    <w:p>
      <w:pPr>
        <w:spacing w:after="60" w:line="252" w:lineRule="auto"/>
        <w:jc w:val="both"/>
      </w:pPr>
      <w:r>
        <w:rPr>
          <w:rFonts w:ascii="Times New Roman" w:hAnsi="Times New Roman"/>
          <w:sz w:val="18"/>
        </w:rPr>
        <w:t>[15]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