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pPr>
      <w:r>
        <w:rPr>
          <w:b/>
          <w:color w:val="0F766E"/>
          <w:sz w:val="20"/>
        </w:rPr>
        <w:t>PROJECT ENGINEERING NOTES</w:t>
      </w:r>
    </w:p>
    <w:p>
      <w:pPr>
        <w:pStyle w:val="Title"/>
      </w:pPr>
      <w:r>
        <w:t>Challenges, Learnings</w:t>
        <w:br/>
        <w:t>&amp; Limitations</w:t>
      </w:r>
    </w:p>
    <w:p>
      <w:r>
        <w:rPr>
          <w:b/>
          <w:color w:val="334155"/>
          <w:sz w:val="30"/>
        </w:rPr>
        <w:t>NexusMart Data Analytics  |  CodeConnect’26</w:t>
      </w:r>
    </w:p>
    <w:p>
      <w:pPr>
        <w:spacing w:before="200"/>
      </w:pPr>
      <w:r>
        <w:t>A practical record of the challenges, decisions, validation findings, workarounds, and remaining constraints encountered across the analytics workflow—from CSV profiling and cleaning through SQL modelling, orchestration, business analysis, and reporting.</w:t>
      </w:r>
    </w:p>
    <w:tbl>
      <w:tblPr>
        <w:tblStyle w:val="TableGrid"/>
        <w:tblW w:type="auto" w:w="0"/>
        <w:jc w:val="center"/>
        <w:tblLook w:firstColumn="1" w:firstRow="1" w:lastColumn="0" w:lastRow="0" w:noHBand="0" w:noVBand="1" w:val="04A0"/>
      </w:tblPr>
      <w:tblGrid>
        <w:gridCol w:w="4997"/>
        <w:gridCol w:w="4997"/>
      </w:tblGrid>
      <w:tr>
        <w:tc>
          <w:tcPr>
            <w:tcW w:type="dxa" w:w="4997"/>
            <w:vAlign w:val="center"/>
            <w:shd w:fill="17324D"/>
          </w:tcPr>
          <w:p>
            <w:pPr>
              <w:spacing w:after="20"/>
            </w:pPr>
            <w:r/>
            <w:r>
              <w:rPr>
                <w:rFonts w:ascii="Aptos" w:hAnsi="Aptos"/>
                <w:b/>
                <w:color w:val="FFFFFF"/>
                <w:sz w:val="16"/>
              </w:rPr>
              <w:t>Project area</w:t>
            </w:r>
          </w:p>
        </w:tc>
        <w:tc>
          <w:tcPr>
            <w:tcW w:type="dxa" w:w="4997"/>
            <w:vAlign w:val="center"/>
            <w:shd w:fill="17324D"/>
          </w:tcPr>
          <w:p>
            <w:pPr>
              <w:spacing w:after="20"/>
            </w:pPr>
            <w:r/>
            <w:r>
              <w:rPr>
                <w:rFonts w:ascii="Aptos" w:hAnsi="Aptos"/>
                <w:b/>
                <w:color w:val="FFFFFF"/>
                <w:sz w:val="16"/>
              </w:rPr>
              <w:t>Documented scope</w:t>
            </w:r>
          </w:p>
        </w:tc>
      </w:tr>
      <w:tr>
        <w:tc>
          <w:tcPr>
            <w:tcW w:type="dxa" w:w="4997"/>
            <w:vAlign w:val="center"/>
          </w:tcPr>
          <w:p>
            <w:pPr>
              <w:spacing w:after="20"/>
            </w:pPr>
            <w:r/>
            <w:r>
              <w:rPr>
                <w:rFonts w:ascii="Aptos" w:hAnsi="Aptos"/>
                <w:b w:val="0"/>
                <w:color w:val="334155"/>
                <w:sz w:val="16"/>
              </w:rPr>
              <w:t>Source data</w:t>
            </w:r>
          </w:p>
        </w:tc>
        <w:tc>
          <w:tcPr>
            <w:tcW w:type="dxa" w:w="4997"/>
            <w:vAlign w:val="center"/>
          </w:tcPr>
          <w:p>
            <w:pPr>
              <w:spacing w:after="20"/>
            </w:pPr>
            <w:r/>
            <w:r>
              <w:rPr>
                <w:rFonts w:ascii="Aptos" w:hAnsi="Aptos"/>
                <w:b w:val="0"/>
                <w:color w:val="334155"/>
                <w:sz w:val="16"/>
              </w:rPr>
              <w:t>9 CSV files; approximately 860,000 rows across the supplied datasets.</w:t>
            </w:r>
          </w:p>
        </w:tc>
      </w:tr>
      <w:tr>
        <w:tc>
          <w:tcPr>
            <w:tcW w:type="dxa" w:w="4997"/>
            <w:vAlign w:val="center"/>
            <w:shd w:fill="F1F5F9"/>
          </w:tcPr>
          <w:p>
            <w:pPr>
              <w:spacing w:after="20"/>
            </w:pPr>
            <w:r/>
            <w:r>
              <w:rPr>
                <w:rFonts w:ascii="Aptos" w:hAnsi="Aptos"/>
                <w:b w:val="0"/>
                <w:color w:val="334155"/>
                <w:sz w:val="16"/>
              </w:rPr>
              <w:t>Data preparation</w:t>
            </w:r>
          </w:p>
        </w:tc>
        <w:tc>
          <w:tcPr>
            <w:tcW w:type="dxa" w:w="4997"/>
            <w:vAlign w:val="center"/>
            <w:shd w:fill="F1F5F9"/>
          </w:tcPr>
          <w:p>
            <w:pPr>
              <w:spacing w:after="20"/>
            </w:pPr>
            <w:r/>
            <w:r>
              <w:rPr>
                <w:rFonts w:ascii="Aptos" w:hAnsi="Aptos"/>
                <w:b w:val="0"/>
                <w:color w:val="334155"/>
                <w:sz w:val="16"/>
              </w:rPr>
              <w:t>Python profiling, cleaned/rejected outputs, reconciliation and validation reports.</w:t>
            </w:r>
          </w:p>
        </w:tc>
      </w:tr>
      <w:tr>
        <w:tc>
          <w:tcPr>
            <w:tcW w:type="dxa" w:w="4997"/>
            <w:vAlign w:val="center"/>
          </w:tcPr>
          <w:p>
            <w:pPr>
              <w:spacing w:after="20"/>
            </w:pPr>
            <w:r/>
            <w:r>
              <w:rPr>
                <w:rFonts w:ascii="Aptos" w:hAnsi="Aptos"/>
                <w:b w:val="0"/>
                <w:color w:val="334155"/>
                <w:sz w:val="16"/>
              </w:rPr>
              <w:t>Warehouse</w:t>
            </w:r>
          </w:p>
        </w:tc>
        <w:tc>
          <w:tcPr>
            <w:tcW w:type="dxa" w:w="4997"/>
            <w:vAlign w:val="center"/>
          </w:tcPr>
          <w:p>
            <w:pPr>
              <w:spacing w:after="20"/>
            </w:pPr>
            <w:r/>
            <w:r>
              <w:rPr>
                <w:rFonts w:ascii="Aptos" w:hAnsi="Aptos"/>
                <w:b w:val="0"/>
                <w:color w:val="334155"/>
                <w:sz w:val="16"/>
              </w:rPr>
              <w:t>SQL Server staging layer, dimensional tables, and FactSales at order-line grain.</w:t>
            </w:r>
          </w:p>
        </w:tc>
      </w:tr>
      <w:tr>
        <w:tc>
          <w:tcPr>
            <w:tcW w:type="dxa" w:w="4997"/>
            <w:vAlign w:val="center"/>
            <w:shd w:fill="F1F5F9"/>
          </w:tcPr>
          <w:p>
            <w:pPr>
              <w:spacing w:after="20"/>
            </w:pPr>
            <w:r/>
            <w:r>
              <w:rPr>
                <w:rFonts w:ascii="Aptos" w:hAnsi="Aptos"/>
                <w:b w:val="0"/>
                <w:color w:val="334155"/>
                <w:sz w:val="16"/>
              </w:rPr>
              <w:t>Orchestration</w:t>
            </w:r>
          </w:p>
        </w:tc>
        <w:tc>
          <w:tcPr>
            <w:tcW w:type="dxa" w:w="4997"/>
            <w:vAlign w:val="center"/>
            <w:shd w:fill="F1F5F9"/>
          </w:tcPr>
          <w:p>
            <w:pPr>
              <w:spacing w:after="20"/>
            </w:pPr>
            <w:r/>
            <w:r>
              <w:rPr>
                <w:rFonts w:ascii="Aptos" w:hAnsi="Aptos"/>
                <w:b w:val="0"/>
                <w:color w:val="334155"/>
                <w:sz w:val="16"/>
              </w:rPr>
              <w:t>Astro/Airflow DAG with seven tasks; one successful run was observed.</w:t>
            </w:r>
          </w:p>
        </w:tc>
      </w:tr>
      <w:tr>
        <w:tc>
          <w:tcPr>
            <w:tcW w:type="dxa" w:w="4997"/>
            <w:vAlign w:val="center"/>
          </w:tcPr>
          <w:p>
            <w:pPr>
              <w:spacing w:after="20"/>
            </w:pPr>
            <w:r/>
            <w:r>
              <w:rPr>
                <w:rFonts w:ascii="Aptos" w:hAnsi="Aptos"/>
                <w:b w:val="0"/>
                <w:color w:val="334155"/>
                <w:sz w:val="16"/>
              </w:rPr>
              <w:t>Analytics</w:t>
            </w:r>
          </w:p>
        </w:tc>
        <w:tc>
          <w:tcPr>
            <w:tcW w:type="dxa" w:w="4997"/>
            <w:vAlign w:val="center"/>
          </w:tcPr>
          <w:p>
            <w:pPr>
              <w:spacing w:after="20"/>
            </w:pPr>
            <w:r/>
            <w:r>
              <w:rPr>
                <w:rFonts w:ascii="Aptos" w:hAnsi="Aptos"/>
                <w:b w:val="0"/>
                <w:color w:val="334155"/>
                <w:sz w:val="16"/>
              </w:rPr>
              <w:t>SQL analyses for the 15 official business questions; initial Power BI model and DAX work.</w:t>
            </w:r>
          </w:p>
        </w:tc>
      </w:tr>
      <w:tr>
        <w:tc>
          <w:tcPr>
            <w:tcW w:type="dxa" w:w="4997"/>
            <w:vAlign w:val="center"/>
            <w:shd w:fill="F1F5F9"/>
          </w:tcPr>
          <w:p>
            <w:pPr>
              <w:spacing w:after="20"/>
            </w:pPr>
            <w:r/>
            <w:r>
              <w:rPr>
                <w:rFonts w:ascii="Aptos" w:hAnsi="Aptos"/>
                <w:b w:val="0"/>
                <w:color w:val="334155"/>
                <w:sz w:val="16"/>
              </w:rPr>
              <w:t>Status</w:t>
            </w:r>
          </w:p>
        </w:tc>
        <w:tc>
          <w:tcPr>
            <w:tcW w:type="dxa" w:w="4997"/>
            <w:vAlign w:val="center"/>
            <w:shd w:fill="F1F5F9"/>
          </w:tcPr>
          <w:p>
            <w:pPr>
              <w:spacing w:after="20"/>
            </w:pPr>
            <w:r/>
            <w:r>
              <w:rPr>
                <w:rFonts w:ascii="Aptos" w:hAnsi="Aptos"/>
                <w:b w:val="0"/>
                <w:color w:val="334155"/>
                <w:sz w:val="16"/>
              </w:rPr>
              <w:t>Implemented work is distinguished from provisional analyses and unresolved limitations.</w:t>
            </w:r>
          </w:p>
        </w:tc>
      </w:tr>
    </w:tbl>
    <w:p>
      <w:pPr>
        <w:spacing w:after="20"/>
      </w:pPr>
    </w:p>
    <w:p>
      <w:pPr>
        <w:spacing w:before="300"/>
      </w:pPr>
      <w:r>
        <w:rPr>
          <w:i/>
          <w:color w:val="64748B"/>
        </w:rPr>
        <w:t>Prepared for project handover and submission documentation</w:t>
      </w:r>
    </w:p>
    <w:p>
      <w:r>
        <w:br w:type="page"/>
      </w:r>
    </w:p>
    <w:p>
      <w:pPr>
        <w:pStyle w:val="Heading1"/>
        <w:keepNext/>
      </w:pPr>
      <w:r>
        <w:t>How to read this document</w:t>
      </w:r>
    </w:p>
    <w:p>
      <w:r>
        <w:t>This document records observed implementation challenges and what they taught us. It is not a claim that every issue has been fully resolved. Where a result is based on the current warehouse or a provisional query, that status is stated explicitly.</w:t>
      </w:r>
    </w:p>
    <w:p>
      <w:pPr>
        <w:pStyle w:val="ListBullet"/>
        <w:spacing w:after="40"/>
      </w:pPr>
      <w:r>
        <w:t>Challenge: the problem encountered or risk identified.</w:t>
      </w:r>
    </w:p>
    <w:p>
      <w:pPr>
        <w:pStyle w:val="ListBullet"/>
        <w:spacing w:after="40"/>
      </w:pPr>
      <w:r>
        <w:t>Response: the action taken or current workaround.</w:t>
      </w:r>
    </w:p>
    <w:p>
      <w:pPr>
        <w:pStyle w:val="ListBullet"/>
        <w:spacing w:after="40"/>
      </w:pPr>
      <w:r>
        <w:t>Learning: the transferable engineering lesson.</w:t>
      </w:r>
    </w:p>
    <w:p>
      <w:pPr>
        <w:pStyle w:val="ListBullet"/>
        <w:spacing w:after="40"/>
      </w:pPr>
      <w:r>
        <w:t>Remaining limitation: what is still uncertain, incomplete, or requires validation.</w:t>
      </w:r>
    </w:p>
    <w:p>
      <w:pPr>
        <w:pStyle w:val="Heading1"/>
        <w:keepNext/>
      </w:pPr>
      <w:r>
        <w:t>Executive summary</w:t>
      </w:r>
    </w:p>
    <w:p>
      <w:r>
        <w:t>The NexusMart project involved more than writing analytical queries. It required understanding nine CSV datasets, profiling data quality, preserving rejected records, loading a SQL Server warehouse, designing a dimensional model, validating metrics against business definitions, setting up an Airflow environment, and documenting results for review.</w:t>
      </w:r>
    </w:p>
    <w:p>
      <w:r>
        <w:t>The central engineering lesson was that a pipeline can appear to run successfully while still relying on previously prepared data or carrying unresolved source-quality issues. The project therefore separates successful execution from full end-to-end reproducibility, and descriptive associations from causal business conclusions.</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7324D"/>
          </w:tcPr>
          <w:p>
            <w:pPr>
              <w:spacing w:after="20"/>
            </w:pPr>
            <w:r/>
            <w:r>
              <w:rPr>
                <w:rFonts w:ascii="Aptos" w:hAnsi="Aptos"/>
                <w:b/>
                <w:color w:val="FFFFFF"/>
                <w:sz w:val="14"/>
              </w:rPr>
              <w:t>Area</w:t>
            </w:r>
          </w:p>
        </w:tc>
        <w:tc>
          <w:tcPr>
            <w:tcW w:type="dxa" w:w="3331"/>
            <w:vAlign w:val="center"/>
            <w:shd w:fill="17324D"/>
          </w:tcPr>
          <w:p>
            <w:pPr>
              <w:spacing w:after="20"/>
            </w:pPr>
            <w:r/>
            <w:r>
              <w:rPr>
                <w:rFonts w:ascii="Aptos" w:hAnsi="Aptos"/>
                <w:b/>
                <w:color w:val="FFFFFF"/>
                <w:sz w:val="14"/>
              </w:rPr>
              <w:t>Established</w:t>
            </w:r>
          </w:p>
        </w:tc>
        <w:tc>
          <w:tcPr>
            <w:tcW w:type="dxa" w:w="3331"/>
            <w:vAlign w:val="center"/>
            <w:shd w:fill="17324D"/>
          </w:tcPr>
          <w:p>
            <w:pPr>
              <w:spacing w:after="20"/>
            </w:pPr>
            <w:r/>
            <w:r>
              <w:rPr>
                <w:rFonts w:ascii="Aptos" w:hAnsi="Aptos"/>
                <w:b/>
                <w:color w:val="FFFFFF"/>
                <w:sz w:val="14"/>
              </w:rPr>
              <w:t>Key caveat</w:t>
            </w:r>
          </w:p>
        </w:tc>
      </w:tr>
      <w:tr>
        <w:tc>
          <w:tcPr>
            <w:tcW w:type="dxa" w:w="3331"/>
            <w:vAlign w:val="center"/>
          </w:tcPr>
          <w:p>
            <w:pPr>
              <w:spacing w:after="20"/>
            </w:pPr>
            <w:r/>
            <w:r>
              <w:rPr>
                <w:rFonts w:ascii="Aptos" w:hAnsi="Aptos"/>
                <w:b w:val="0"/>
                <w:color w:val="334155"/>
                <w:sz w:val="14"/>
              </w:rPr>
              <w:t>Data preparation</w:t>
            </w:r>
          </w:p>
        </w:tc>
        <w:tc>
          <w:tcPr>
            <w:tcW w:type="dxa" w:w="3331"/>
            <w:vAlign w:val="center"/>
          </w:tcPr>
          <w:p>
            <w:pPr>
              <w:spacing w:after="20"/>
            </w:pPr>
            <w:r/>
            <w:r>
              <w:rPr>
                <w:rFonts w:ascii="Aptos" w:hAnsi="Aptos"/>
                <w:b w:val="0"/>
                <w:color w:val="334155"/>
                <w:sz w:val="14"/>
              </w:rPr>
              <w:t>Nine datasets profiled; reconciliation and exception reporting produced.</w:t>
            </w:r>
          </w:p>
        </w:tc>
        <w:tc>
          <w:tcPr>
            <w:tcW w:type="dxa" w:w="3331"/>
            <w:vAlign w:val="center"/>
          </w:tcPr>
          <w:p>
            <w:pPr>
              <w:spacing w:after="20"/>
            </w:pPr>
            <w:r/>
            <w:r>
              <w:rPr>
                <w:rFonts w:ascii="Aptos" w:hAnsi="Aptos"/>
                <w:b w:val="0"/>
                <w:color w:val="334155"/>
                <w:sz w:val="14"/>
              </w:rPr>
              <w:t>Some historical transformations are not yet reproducible through one complete raw-to-clean script.</w:t>
            </w:r>
          </w:p>
        </w:tc>
      </w:tr>
      <w:tr>
        <w:tc>
          <w:tcPr>
            <w:tcW w:type="dxa" w:w="3331"/>
            <w:vAlign w:val="center"/>
            <w:shd w:fill="F1F5F9"/>
          </w:tcPr>
          <w:p>
            <w:pPr>
              <w:spacing w:after="20"/>
            </w:pPr>
            <w:r/>
            <w:r>
              <w:rPr>
                <w:rFonts w:ascii="Aptos" w:hAnsi="Aptos"/>
                <w:b w:val="0"/>
                <w:color w:val="334155"/>
                <w:sz w:val="14"/>
              </w:rPr>
              <w:t>SQL warehouse</w:t>
            </w:r>
          </w:p>
        </w:tc>
        <w:tc>
          <w:tcPr>
            <w:tcW w:type="dxa" w:w="3331"/>
            <w:vAlign w:val="center"/>
            <w:shd w:fill="F1F5F9"/>
          </w:tcPr>
          <w:p>
            <w:pPr>
              <w:spacing w:after="20"/>
            </w:pPr>
            <w:r/>
            <w:r>
              <w:rPr>
                <w:rFonts w:ascii="Aptos" w:hAnsi="Aptos"/>
                <w:b w:val="0"/>
                <w:color w:val="334155"/>
                <w:sz w:val="14"/>
              </w:rPr>
              <w:t>Staging tables populated; dimensions and FactSales created and checked.</w:t>
            </w:r>
          </w:p>
        </w:tc>
        <w:tc>
          <w:tcPr>
            <w:tcW w:type="dxa" w:w="3331"/>
            <w:vAlign w:val="center"/>
            <w:shd w:fill="F1F5F9"/>
          </w:tcPr>
          <w:p>
            <w:pPr>
              <w:spacing w:after="20"/>
            </w:pPr>
            <w:r/>
            <w:r>
              <w:rPr>
                <w:rFonts w:ascii="Aptos" w:hAnsi="Aptos"/>
                <w:b w:val="0"/>
                <w:color w:val="334155"/>
                <w:sz w:val="14"/>
              </w:rPr>
              <w:t>3,465 retained order items did not match an order in the fact load; source-to-fact totals differ.</w:t>
            </w:r>
          </w:p>
        </w:tc>
      </w:tr>
      <w:tr>
        <w:tc>
          <w:tcPr>
            <w:tcW w:type="dxa" w:w="3331"/>
            <w:vAlign w:val="center"/>
          </w:tcPr>
          <w:p>
            <w:pPr>
              <w:spacing w:after="20"/>
            </w:pPr>
            <w:r/>
            <w:r>
              <w:rPr>
                <w:rFonts w:ascii="Aptos" w:hAnsi="Aptos"/>
                <w:b w:val="0"/>
                <w:color w:val="334155"/>
                <w:sz w:val="14"/>
              </w:rPr>
              <w:t>Dimensional model</w:t>
            </w:r>
          </w:p>
        </w:tc>
        <w:tc>
          <w:tcPr>
            <w:tcW w:type="dxa" w:w="3331"/>
            <w:vAlign w:val="center"/>
          </w:tcPr>
          <w:p>
            <w:pPr>
              <w:spacing w:after="20"/>
            </w:pPr>
            <w:r/>
            <w:r>
              <w:rPr>
                <w:rFonts w:ascii="Aptos" w:hAnsi="Aptos"/>
                <w:b w:val="0"/>
                <w:color w:val="334155"/>
                <w:sz w:val="14"/>
              </w:rPr>
              <w:t>FactSales has one row per retained OrderItemID and links to five dimensions.</w:t>
            </w:r>
          </w:p>
        </w:tc>
        <w:tc>
          <w:tcPr>
            <w:tcW w:type="dxa" w:w="3331"/>
            <w:vAlign w:val="center"/>
          </w:tcPr>
          <w:p>
            <w:pPr>
              <w:spacing w:after="20"/>
            </w:pPr>
            <w:r/>
            <w:r>
              <w:rPr>
                <w:rFonts w:ascii="Aptos" w:hAnsi="Aptos"/>
                <w:b w:val="0"/>
                <w:color w:val="334155"/>
                <w:sz w:val="14"/>
              </w:rPr>
              <w:t>Unknown members and incomplete source references remain.</w:t>
            </w:r>
          </w:p>
        </w:tc>
      </w:tr>
      <w:tr>
        <w:tc>
          <w:tcPr>
            <w:tcW w:type="dxa" w:w="3331"/>
            <w:vAlign w:val="center"/>
            <w:shd w:fill="F1F5F9"/>
          </w:tcPr>
          <w:p>
            <w:pPr>
              <w:spacing w:after="20"/>
            </w:pPr>
            <w:r/>
            <w:r>
              <w:rPr>
                <w:rFonts w:ascii="Aptos" w:hAnsi="Aptos"/>
                <w:b w:val="0"/>
                <w:color w:val="334155"/>
                <w:sz w:val="14"/>
              </w:rPr>
              <w:t>Airflow</w:t>
            </w:r>
          </w:p>
        </w:tc>
        <w:tc>
          <w:tcPr>
            <w:tcW w:type="dxa" w:w="3331"/>
            <w:vAlign w:val="center"/>
            <w:shd w:fill="F1F5F9"/>
          </w:tcPr>
          <w:p>
            <w:pPr>
              <w:spacing w:after="20"/>
            </w:pPr>
            <w:r/>
            <w:r>
              <w:rPr>
                <w:rFonts w:ascii="Aptos" w:hAnsi="Aptos"/>
                <w:b w:val="0"/>
                <w:color w:val="334155"/>
                <w:sz w:val="14"/>
              </w:rPr>
              <w:t>A seven-task DAG run completed successfully.</w:t>
            </w:r>
          </w:p>
        </w:tc>
        <w:tc>
          <w:tcPr>
            <w:tcW w:type="dxa" w:w="3331"/>
            <w:vAlign w:val="center"/>
            <w:shd w:fill="F1F5F9"/>
          </w:tcPr>
          <w:p>
            <w:pPr>
              <w:spacing w:after="20"/>
            </w:pPr>
            <w:r/>
            <w:r>
              <w:rPr>
                <w:rFonts w:ascii="Aptos" w:hAnsi="Aptos"/>
                <w:b w:val="0"/>
                <w:color w:val="334155"/>
                <w:sz w:val="14"/>
              </w:rPr>
              <w:t>Many tasks verify existing outputs/tables instead of rebuilding the warehouse from raw files.</w:t>
            </w:r>
          </w:p>
        </w:tc>
      </w:tr>
      <w:tr>
        <w:tc>
          <w:tcPr>
            <w:tcW w:type="dxa" w:w="3331"/>
            <w:vAlign w:val="center"/>
          </w:tcPr>
          <w:p>
            <w:pPr>
              <w:spacing w:after="20"/>
            </w:pPr>
            <w:r/>
            <w:r>
              <w:rPr>
                <w:rFonts w:ascii="Aptos" w:hAnsi="Aptos"/>
                <w:b w:val="0"/>
                <w:color w:val="334155"/>
                <w:sz w:val="14"/>
              </w:rPr>
              <w:t>Business analysis</w:t>
            </w:r>
          </w:p>
        </w:tc>
        <w:tc>
          <w:tcPr>
            <w:tcW w:type="dxa" w:w="3331"/>
            <w:vAlign w:val="center"/>
          </w:tcPr>
          <w:p>
            <w:pPr>
              <w:spacing w:after="20"/>
            </w:pPr>
            <w:r/>
            <w:r>
              <w:rPr>
                <w:rFonts w:ascii="Aptos" w:hAnsi="Aptos"/>
                <w:b w:val="0"/>
                <w:color w:val="334155"/>
                <w:sz w:val="14"/>
              </w:rPr>
              <w:t>Queries were prepared for the 15 official questions.</w:t>
            </w:r>
          </w:p>
        </w:tc>
        <w:tc>
          <w:tcPr>
            <w:tcW w:type="dxa" w:w="3331"/>
            <w:vAlign w:val="center"/>
          </w:tcPr>
          <w:p>
            <w:pPr>
              <w:spacing w:after="20"/>
            </w:pPr>
            <w:r/>
            <w:r>
              <w:rPr>
                <w:rFonts w:ascii="Aptos" w:hAnsi="Aptos"/>
                <w:b w:val="0"/>
                <w:color w:val="334155"/>
                <w:sz w:val="14"/>
              </w:rPr>
              <w:t>Some results are provisional; delivery-date quality is a major constraint.</w:t>
            </w:r>
          </w:p>
        </w:tc>
      </w:tr>
      <w:tr>
        <w:tc>
          <w:tcPr>
            <w:tcW w:type="dxa" w:w="3331"/>
            <w:vAlign w:val="center"/>
            <w:shd w:fill="F1F5F9"/>
          </w:tcPr>
          <w:p>
            <w:pPr>
              <w:spacing w:after="20"/>
            </w:pPr>
            <w:r/>
            <w:r>
              <w:rPr>
                <w:rFonts w:ascii="Aptos" w:hAnsi="Aptos"/>
                <w:b w:val="0"/>
                <w:color w:val="334155"/>
                <w:sz w:val="14"/>
              </w:rPr>
              <w:t>Power BI</w:t>
            </w:r>
          </w:p>
        </w:tc>
        <w:tc>
          <w:tcPr>
            <w:tcW w:type="dxa" w:w="3331"/>
            <w:vAlign w:val="center"/>
            <w:shd w:fill="F1F5F9"/>
          </w:tcPr>
          <w:p>
            <w:pPr>
              <w:spacing w:after="20"/>
            </w:pPr>
            <w:r/>
            <w:r>
              <w:rPr>
                <w:rFonts w:ascii="Aptos" w:hAnsi="Aptos"/>
                <w:b w:val="0"/>
                <w:color w:val="334155"/>
                <w:sz w:val="14"/>
              </w:rPr>
              <w:t>Model relationships and initial DAX measures were started.</w:t>
            </w:r>
          </w:p>
        </w:tc>
        <w:tc>
          <w:tcPr>
            <w:tcW w:type="dxa" w:w="3331"/>
            <w:vAlign w:val="center"/>
            <w:shd w:fill="F1F5F9"/>
          </w:tcPr>
          <w:p>
            <w:pPr>
              <w:spacing w:after="20"/>
            </w:pPr>
            <w:r/>
            <w:r>
              <w:rPr>
                <w:rFonts w:ascii="Aptos" w:hAnsi="Aptos"/>
                <w:b w:val="0"/>
                <w:color w:val="334155"/>
                <w:sz w:val="14"/>
              </w:rPr>
              <w:t>A complete dashboard is not claimed as finished.</w:t>
            </w:r>
          </w:p>
        </w:tc>
      </w:tr>
    </w:tbl>
    <w:p>
      <w:pPr>
        <w:spacing w:after="20"/>
      </w:pPr>
    </w:p>
    <w:p>
      <w:pPr>
        <w:pStyle w:val="Heading1"/>
        <w:keepNext/>
      </w:pPr>
      <w:r>
        <w:t>1. Source data, extraction and profiling</w:t>
      </w:r>
    </w:p>
    <w:p>
      <w:pPr>
        <w:pStyle w:val="Heading2"/>
        <w:keepNext/>
      </w:pPr>
      <w:r>
        <w:t>1.1 Different files, different grains</w:t>
      </w:r>
    </w:p>
    <w:p>
      <w:r>
        <w:t>Challenge. The nine supplied datasets represent different entities and events: customers, locations, orders, order items, payments, products, returns, sellers, and shipping. Their grains differ; one order can contain multiple order items and can have associated payment, return, or shipping records.</w:t>
      </w:r>
    </w:p>
    <w:p>
      <w:r>
        <w:t>Response. Datasets were profiled individually, key fields and row counts were checked, and the warehouse was designed around the specified order-line grain rather than assuming every source table had one row per order.</w:t>
      </w:r>
    </w:p>
    <w:p>
      <w:r>
        <w:t>Learning. Identify each table’s grain and relationship keys before joining. Joining multiple one-to-many tables without pre-aggregation can multiply rows and inflate revenue, refunds, or shipping charges.</w:t>
      </w:r>
    </w:p>
    <w:p>
      <w:r>
        <w:t>Remaining limitation. Expected row counts do not prove that every relationship is valid. Relationship checks and reconciliations must accompany profiling.</w:t>
      </w:r>
    </w:p>
    <w:p>
      <w:pPr>
        <w:pStyle w:val="Heading2"/>
        <w:keepNext/>
      </w:pPr>
      <w:r>
        <w:t>1.2 Reconciliation and cleaning evidence</w:t>
      </w:r>
    </w:p>
    <w:p>
      <w:r>
        <w:t>Challenge. Cleaning could not be evaluated by inspecting a few rows. Retained records, quarantined records, and duplicate copies needed to be accounted for.</w:t>
      </w:r>
    </w:p>
    <w:p>
      <w:r>
        <w:t>Recorded row reconciliation:</w:t>
      </w:r>
    </w:p>
    <w:tbl>
      <w:tblPr>
        <w:tblStyle w:val="TableGrid"/>
        <w:tblW w:type="auto" w:w="0"/>
        <w:jc w:val="center"/>
        <w:tblLook w:firstColumn="1" w:firstRow="1" w:lastColumn="0" w:lastRow="0" w:noHBand="0" w:noVBand="1" w:val="04A0"/>
      </w:tblPr>
      <w:tblGrid>
        <w:gridCol w:w="1999"/>
        <w:gridCol w:w="1999"/>
        <w:gridCol w:w="1999"/>
        <w:gridCol w:w="1999"/>
        <w:gridCol w:w="1999"/>
      </w:tblGrid>
      <w:tr>
        <w:tc>
          <w:tcPr>
            <w:tcW w:type="dxa" w:w="1999"/>
            <w:vAlign w:val="center"/>
            <w:shd w:fill="17324D"/>
          </w:tcPr>
          <w:p>
            <w:pPr>
              <w:spacing w:after="20"/>
            </w:pPr>
            <w:r/>
            <w:r>
              <w:rPr>
                <w:rFonts w:ascii="Aptos" w:hAnsi="Aptos"/>
                <w:b/>
                <w:color w:val="FFFFFF"/>
                <w:sz w:val="14"/>
              </w:rPr>
              <w:t>Dataset</w:t>
            </w:r>
          </w:p>
        </w:tc>
        <w:tc>
          <w:tcPr>
            <w:tcW w:type="dxa" w:w="1999"/>
            <w:vAlign w:val="center"/>
            <w:shd w:fill="17324D"/>
          </w:tcPr>
          <w:p>
            <w:pPr>
              <w:spacing w:after="20"/>
            </w:pPr>
            <w:r/>
            <w:r>
              <w:rPr>
                <w:rFonts w:ascii="Aptos" w:hAnsi="Aptos"/>
                <w:b/>
                <w:color w:val="FFFFFF"/>
                <w:sz w:val="14"/>
              </w:rPr>
              <w:t>Source</w:t>
            </w:r>
          </w:p>
        </w:tc>
        <w:tc>
          <w:tcPr>
            <w:tcW w:type="dxa" w:w="1999"/>
            <w:vAlign w:val="center"/>
            <w:shd w:fill="17324D"/>
          </w:tcPr>
          <w:p>
            <w:pPr>
              <w:spacing w:after="20"/>
            </w:pPr>
            <w:r/>
            <w:r>
              <w:rPr>
                <w:rFonts w:ascii="Aptos" w:hAnsi="Aptos"/>
                <w:b/>
                <w:color w:val="FFFFFF"/>
                <w:sz w:val="14"/>
              </w:rPr>
              <w:t>Retained</w:t>
            </w:r>
          </w:p>
        </w:tc>
        <w:tc>
          <w:tcPr>
            <w:tcW w:type="dxa" w:w="1999"/>
            <w:vAlign w:val="center"/>
            <w:shd w:fill="17324D"/>
          </w:tcPr>
          <w:p>
            <w:pPr>
              <w:spacing w:after="20"/>
            </w:pPr>
            <w:r/>
            <w:r>
              <w:rPr>
                <w:rFonts w:ascii="Aptos" w:hAnsi="Aptos"/>
                <w:b/>
                <w:color w:val="FFFFFF"/>
                <w:sz w:val="14"/>
              </w:rPr>
              <w:t>Quarantined</w:t>
            </w:r>
          </w:p>
        </w:tc>
        <w:tc>
          <w:tcPr>
            <w:tcW w:type="dxa" w:w="1999"/>
            <w:vAlign w:val="center"/>
            <w:shd w:fill="17324D"/>
          </w:tcPr>
          <w:p>
            <w:pPr>
              <w:spacing w:after="20"/>
            </w:pPr>
            <w:r/>
            <w:r>
              <w:rPr>
                <w:rFonts w:ascii="Aptos" w:hAnsi="Aptos"/>
                <w:b/>
                <w:color w:val="FFFFFF"/>
                <w:sz w:val="14"/>
              </w:rPr>
              <w:t>Duplicate copies</w:t>
            </w:r>
          </w:p>
        </w:tc>
      </w:tr>
      <w:tr>
        <w:tc>
          <w:tcPr>
            <w:tcW w:type="dxa" w:w="1999"/>
            <w:vAlign w:val="center"/>
          </w:tcPr>
          <w:p>
            <w:pPr>
              <w:spacing w:after="20"/>
            </w:pPr>
            <w:r/>
            <w:r>
              <w:rPr>
                <w:rFonts w:ascii="Aptos" w:hAnsi="Aptos"/>
                <w:b w:val="0"/>
                <w:color w:val="334155"/>
                <w:sz w:val="14"/>
              </w:rPr>
              <w:t>Customers</w:t>
            </w:r>
          </w:p>
        </w:tc>
        <w:tc>
          <w:tcPr>
            <w:tcW w:type="dxa" w:w="1999"/>
            <w:vAlign w:val="center"/>
          </w:tcPr>
          <w:p>
            <w:pPr>
              <w:spacing w:after="20"/>
            </w:pPr>
            <w:r/>
            <w:r>
              <w:rPr>
                <w:rFonts w:ascii="Aptos" w:hAnsi="Aptos"/>
                <w:b w:val="0"/>
                <w:color w:val="334155"/>
                <w:sz w:val="14"/>
              </w:rPr>
              <w:t>45,000</w:t>
            </w:r>
          </w:p>
        </w:tc>
        <w:tc>
          <w:tcPr>
            <w:tcW w:type="dxa" w:w="1999"/>
            <w:vAlign w:val="center"/>
          </w:tcPr>
          <w:p>
            <w:pPr>
              <w:spacing w:after="20"/>
            </w:pPr>
            <w:r/>
            <w:r>
              <w:rPr>
                <w:rFonts w:ascii="Aptos" w:hAnsi="Aptos"/>
                <w:b w:val="0"/>
                <w:color w:val="334155"/>
                <w:sz w:val="14"/>
              </w:rPr>
              <w:t>45,000</w:t>
            </w:r>
          </w:p>
        </w:tc>
        <w:tc>
          <w:tcPr>
            <w:tcW w:type="dxa" w:w="1999"/>
            <w:vAlign w:val="center"/>
          </w:tcPr>
          <w:p>
            <w:pPr>
              <w:spacing w:after="20"/>
            </w:pPr>
            <w:r/>
            <w:r>
              <w:rPr>
                <w:rFonts w:ascii="Aptos" w:hAnsi="Aptos"/>
                <w:b w:val="0"/>
                <w:color w:val="334155"/>
                <w:sz w:val="14"/>
              </w:rPr>
              <w:t>0</w:t>
            </w:r>
          </w:p>
        </w:tc>
        <w:tc>
          <w:tcPr>
            <w:tcW w:type="dxa" w:w="1999"/>
            <w:vAlign w:val="center"/>
          </w:tcPr>
          <w:p>
            <w:pPr>
              <w:spacing w:after="20"/>
            </w:pPr>
            <w:r/>
            <w:r>
              <w:rPr>
                <w:rFonts w:ascii="Aptos" w:hAnsi="Aptos"/>
                <w:b w:val="0"/>
                <w:color w:val="334155"/>
                <w:sz w:val="14"/>
              </w:rPr>
              <w:t>0</w:t>
            </w:r>
          </w:p>
        </w:tc>
      </w:tr>
      <w:tr>
        <w:tc>
          <w:tcPr>
            <w:tcW w:type="dxa" w:w="1999"/>
            <w:vAlign w:val="center"/>
            <w:shd w:fill="F1F5F9"/>
          </w:tcPr>
          <w:p>
            <w:pPr>
              <w:spacing w:after="20"/>
            </w:pPr>
            <w:r/>
            <w:r>
              <w:rPr>
                <w:rFonts w:ascii="Aptos" w:hAnsi="Aptos"/>
                <w:b w:val="0"/>
                <w:color w:val="334155"/>
                <w:sz w:val="14"/>
              </w:rPr>
              <w:t>Locations</w:t>
            </w:r>
          </w:p>
        </w:tc>
        <w:tc>
          <w:tcPr>
            <w:tcW w:type="dxa" w:w="1999"/>
            <w:vAlign w:val="center"/>
            <w:shd w:fill="F1F5F9"/>
          </w:tcPr>
          <w:p>
            <w:pPr>
              <w:spacing w:after="20"/>
            </w:pPr>
            <w:r/>
            <w:r>
              <w:rPr>
                <w:rFonts w:ascii="Aptos" w:hAnsi="Aptos"/>
                <w:b w:val="0"/>
                <w:color w:val="334155"/>
                <w:sz w:val="14"/>
              </w:rPr>
              <w:t>650</w:t>
            </w:r>
          </w:p>
        </w:tc>
        <w:tc>
          <w:tcPr>
            <w:tcW w:type="dxa" w:w="1999"/>
            <w:vAlign w:val="center"/>
            <w:shd w:fill="F1F5F9"/>
          </w:tcPr>
          <w:p>
            <w:pPr>
              <w:spacing w:after="20"/>
            </w:pPr>
            <w:r/>
            <w:r>
              <w:rPr>
                <w:rFonts w:ascii="Aptos" w:hAnsi="Aptos"/>
                <w:b w:val="0"/>
                <w:color w:val="334155"/>
                <w:sz w:val="14"/>
              </w:rPr>
              <w:t>650</w:t>
            </w:r>
          </w:p>
        </w:tc>
        <w:tc>
          <w:tcPr>
            <w:tcW w:type="dxa" w:w="1999"/>
            <w:vAlign w:val="center"/>
            <w:shd w:fill="F1F5F9"/>
          </w:tcPr>
          <w:p>
            <w:pPr>
              <w:spacing w:after="20"/>
            </w:pPr>
            <w:r/>
            <w:r>
              <w:rPr>
                <w:rFonts w:ascii="Aptos" w:hAnsi="Aptos"/>
                <w:b w:val="0"/>
                <w:color w:val="334155"/>
                <w:sz w:val="14"/>
              </w:rPr>
              <w:t>0</w:t>
            </w:r>
          </w:p>
        </w:tc>
        <w:tc>
          <w:tcPr>
            <w:tcW w:type="dxa" w:w="1999"/>
            <w:vAlign w:val="center"/>
            <w:shd w:fill="F1F5F9"/>
          </w:tcPr>
          <w:p>
            <w:pPr>
              <w:spacing w:after="20"/>
            </w:pPr>
            <w:r/>
            <w:r>
              <w:rPr>
                <w:rFonts w:ascii="Aptos" w:hAnsi="Aptos"/>
                <w:b w:val="0"/>
                <w:color w:val="334155"/>
                <w:sz w:val="14"/>
              </w:rPr>
              <w:t>0</w:t>
            </w:r>
          </w:p>
        </w:tc>
      </w:tr>
      <w:tr>
        <w:tc>
          <w:tcPr>
            <w:tcW w:type="dxa" w:w="1999"/>
            <w:vAlign w:val="center"/>
          </w:tcPr>
          <w:p>
            <w:pPr>
              <w:spacing w:after="20"/>
            </w:pPr>
            <w:r/>
            <w:r>
              <w:rPr>
                <w:rFonts w:ascii="Aptos" w:hAnsi="Aptos"/>
                <w:b w:val="0"/>
                <w:color w:val="334155"/>
                <w:sz w:val="14"/>
              </w:rPr>
              <w:t>Orders</w:t>
            </w:r>
          </w:p>
        </w:tc>
        <w:tc>
          <w:tcPr>
            <w:tcW w:type="dxa" w:w="1999"/>
            <w:vAlign w:val="center"/>
          </w:tcPr>
          <w:p>
            <w:pPr>
              <w:spacing w:after="20"/>
            </w:pPr>
            <w:r/>
            <w:r>
              <w:rPr>
                <w:rFonts w:ascii="Aptos" w:hAnsi="Aptos"/>
                <w:b w:val="0"/>
                <w:color w:val="334155"/>
                <w:sz w:val="14"/>
              </w:rPr>
              <w:t>163,200</w:t>
            </w:r>
          </w:p>
        </w:tc>
        <w:tc>
          <w:tcPr>
            <w:tcW w:type="dxa" w:w="1999"/>
            <w:vAlign w:val="center"/>
          </w:tcPr>
          <w:p>
            <w:pPr>
              <w:spacing w:after="20"/>
            </w:pPr>
            <w:r/>
            <w:r>
              <w:rPr>
                <w:rFonts w:ascii="Aptos" w:hAnsi="Aptos"/>
                <w:b w:val="0"/>
                <w:color w:val="334155"/>
                <w:sz w:val="14"/>
              </w:rPr>
              <w:t>158,250</w:t>
            </w:r>
          </w:p>
        </w:tc>
        <w:tc>
          <w:tcPr>
            <w:tcW w:type="dxa" w:w="1999"/>
            <w:vAlign w:val="center"/>
          </w:tcPr>
          <w:p>
            <w:pPr>
              <w:spacing w:after="20"/>
            </w:pPr>
            <w:r/>
            <w:r>
              <w:rPr>
                <w:rFonts w:ascii="Aptos" w:hAnsi="Aptos"/>
                <w:b w:val="0"/>
                <w:color w:val="334155"/>
                <w:sz w:val="14"/>
              </w:rPr>
              <w:t>1,750</w:t>
            </w:r>
          </w:p>
        </w:tc>
        <w:tc>
          <w:tcPr>
            <w:tcW w:type="dxa" w:w="1999"/>
            <w:vAlign w:val="center"/>
          </w:tcPr>
          <w:p>
            <w:pPr>
              <w:spacing w:after="20"/>
            </w:pPr>
            <w:r/>
            <w:r>
              <w:rPr>
                <w:rFonts w:ascii="Aptos" w:hAnsi="Aptos"/>
                <w:b w:val="0"/>
                <w:color w:val="334155"/>
                <w:sz w:val="14"/>
              </w:rPr>
              <w:t>3,200</w:t>
            </w:r>
          </w:p>
        </w:tc>
      </w:tr>
      <w:tr>
        <w:tc>
          <w:tcPr>
            <w:tcW w:type="dxa" w:w="1999"/>
            <w:vAlign w:val="center"/>
            <w:shd w:fill="F1F5F9"/>
          </w:tcPr>
          <w:p>
            <w:pPr>
              <w:spacing w:after="20"/>
            </w:pPr>
            <w:r/>
            <w:r>
              <w:rPr>
                <w:rFonts w:ascii="Aptos" w:hAnsi="Aptos"/>
                <w:b w:val="0"/>
                <w:color w:val="334155"/>
                <w:sz w:val="14"/>
              </w:rPr>
              <w:t>OrderItems</w:t>
            </w:r>
          </w:p>
        </w:tc>
        <w:tc>
          <w:tcPr>
            <w:tcW w:type="dxa" w:w="1999"/>
            <w:vAlign w:val="center"/>
            <w:shd w:fill="F1F5F9"/>
          </w:tcPr>
          <w:p>
            <w:pPr>
              <w:spacing w:after="20"/>
            </w:pPr>
            <w:r/>
            <w:r>
              <w:rPr>
                <w:rFonts w:ascii="Aptos" w:hAnsi="Aptos"/>
                <w:b w:val="0"/>
                <w:color w:val="334155"/>
                <w:sz w:val="14"/>
              </w:rPr>
              <w:t>315,143</w:t>
            </w:r>
          </w:p>
        </w:tc>
        <w:tc>
          <w:tcPr>
            <w:tcW w:type="dxa" w:w="1999"/>
            <w:vAlign w:val="center"/>
            <w:shd w:fill="F1F5F9"/>
          </w:tcPr>
          <w:p>
            <w:pPr>
              <w:spacing w:after="20"/>
            </w:pPr>
            <w:r/>
            <w:r>
              <w:rPr>
                <w:rFonts w:ascii="Aptos" w:hAnsi="Aptos"/>
                <w:b w:val="0"/>
                <w:color w:val="334155"/>
                <w:sz w:val="14"/>
              </w:rPr>
              <w:t>313,250</w:t>
            </w:r>
          </w:p>
        </w:tc>
        <w:tc>
          <w:tcPr>
            <w:tcW w:type="dxa" w:w="1999"/>
            <w:vAlign w:val="center"/>
            <w:shd w:fill="F1F5F9"/>
          </w:tcPr>
          <w:p>
            <w:pPr>
              <w:spacing w:after="20"/>
            </w:pPr>
            <w:r/>
            <w:r>
              <w:rPr>
                <w:rFonts w:ascii="Aptos" w:hAnsi="Aptos"/>
                <w:b w:val="0"/>
                <w:color w:val="334155"/>
                <w:sz w:val="14"/>
              </w:rPr>
              <w:t>1,893</w:t>
            </w:r>
          </w:p>
        </w:tc>
        <w:tc>
          <w:tcPr>
            <w:tcW w:type="dxa" w:w="1999"/>
            <w:vAlign w:val="center"/>
            <w:shd w:fill="F1F5F9"/>
          </w:tcPr>
          <w:p>
            <w:pPr>
              <w:spacing w:after="20"/>
            </w:pPr>
            <w:r/>
            <w:r>
              <w:rPr>
                <w:rFonts w:ascii="Aptos" w:hAnsi="Aptos"/>
                <w:b w:val="0"/>
                <w:color w:val="334155"/>
                <w:sz w:val="14"/>
              </w:rPr>
              <w:t>0</w:t>
            </w:r>
          </w:p>
        </w:tc>
      </w:tr>
      <w:tr>
        <w:tc>
          <w:tcPr>
            <w:tcW w:type="dxa" w:w="1999"/>
            <w:vAlign w:val="center"/>
          </w:tcPr>
          <w:p>
            <w:pPr>
              <w:spacing w:after="20"/>
            </w:pPr>
            <w:r/>
            <w:r>
              <w:rPr>
                <w:rFonts w:ascii="Aptos" w:hAnsi="Aptos"/>
                <w:b w:val="0"/>
                <w:color w:val="334155"/>
                <w:sz w:val="14"/>
              </w:rPr>
              <w:t>Payments</w:t>
            </w:r>
          </w:p>
        </w:tc>
        <w:tc>
          <w:tcPr>
            <w:tcW w:type="dxa" w:w="1999"/>
            <w:vAlign w:val="center"/>
          </w:tcPr>
          <w:p>
            <w:pPr>
              <w:spacing w:after="20"/>
            </w:pPr>
            <w:r/>
            <w:r>
              <w:rPr>
                <w:rFonts w:ascii="Aptos" w:hAnsi="Aptos"/>
                <w:b w:val="0"/>
                <w:color w:val="334155"/>
                <w:sz w:val="14"/>
              </w:rPr>
              <w:t>168,111</w:t>
            </w:r>
          </w:p>
        </w:tc>
        <w:tc>
          <w:tcPr>
            <w:tcW w:type="dxa" w:w="1999"/>
            <w:vAlign w:val="center"/>
          </w:tcPr>
          <w:p>
            <w:pPr>
              <w:spacing w:after="20"/>
            </w:pPr>
            <w:r/>
            <w:r>
              <w:rPr>
                <w:rFonts w:ascii="Aptos" w:hAnsi="Aptos"/>
                <w:b w:val="0"/>
                <w:color w:val="334155"/>
                <w:sz w:val="14"/>
              </w:rPr>
              <w:t>163,586</w:t>
            </w:r>
          </w:p>
        </w:tc>
        <w:tc>
          <w:tcPr>
            <w:tcW w:type="dxa" w:w="1999"/>
            <w:vAlign w:val="center"/>
          </w:tcPr>
          <w:p>
            <w:pPr>
              <w:spacing w:after="20"/>
            </w:pPr>
            <w:r/>
            <w:r>
              <w:rPr>
                <w:rFonts w:ascii="Aptos" w:hAnsi="Aptos"/>
                <w:b w:val="0"/>
                <w:color w:val="334155"/>
                <w:sz w:val="14"/>
              </w:rPr>
              <w:t>1,229</w:t>
            </w:r>
          </w:p>
        </w:tc>
        <w:tc>
          <w:tcPr>
            <w:tcW w:type="dxa" w:w="1999"/>
            <w:vAlign w:val="center"/>
          </w:tcPr>
          <w:p>
            <w:pPr>
              <w:spacing w:after="20"/>
            </w:pPr>
            <w:r/>
            <w:r>
              <w:rPr>
                <w:rFonts w:ascii="Aptos" w:hAnsi="Aptos"/>
                <w:b w:val="0"/>
                <w:color w:val="334155"/>
                <w:sz w:val="14"/>
              </w:rPr>
              <w:t>3,296</w:t>
            </w:r>
          </w:p>
        </w:tc>
      </w:tr>
      <w:tr>
        <w:tc>
          <w:tcPr>
            <w:tcW w:type="dxa" w:w="1999"/>
            <w:vAlign w:val="center"/>
            <w:shd w:fill="F1F5F9"/>
          </w:tcPr>
          <w:p>
            <w:pPr>
              <w:spacing w:after="20"/>
            </w:pPr>
            <w:r/>
            <w:r>
              <w:rPr>
                <w:rFonts w:ascii="Aptos" w:hAnsi="Aptos"/>
                <w:b w:val="0"/>
                <w:color w:val="334155"/>
                <w:sz w:val="14"/>
              </w:rPr>
              <w:t>Products</w:t>
            </w:r>
          </w:p>
        </w:tc>
        <w:tc>
          <w:tcPr>
            <w:tcW w:type="dxa" w:w="1999"/>
            <w:vAlign w:val="center"/>
            <w:shd w:fill="F1F5F9"/>
          </w:tcPr>
          <w:p>
            <w:pPr>
              <w:spacing w:after="20"/>
            </w:pPr>
            <w:r/>
            <w:r>
              <w:rPr>
                <w:rFonts w:ascii="Aptos" w:hAnsi="Aptos"/>
                <w:b w:val="0"/>
                <w:color w:val="334155"/>
                <w:sz w:val="14"/>
              </w:rPr>
              <w:t>3,200</w:t>
            </w:r>
          </w:p>
        </w:tc>
        <w:tc>
          <w:tcPr>
            <w:tcW w:type="dxa" w:w="1999"/>
            <w:vAlign w:val="center"/>
            <w:shd w:fill="F1F5F9"/>
          </w:tcPr>
          <w:p>
            <w:pPr>
              <w:spacing w:after="20"/>
            </w:pPr>
            <w:r/>
            <w:r>
              <w:rPr>
                <w:rFonts w:ascii="Aptos" w:hAnsi="Aptos"/>
                <w:b w:val="0"/>
                <w:color w:val="334155"/>
                <w:sz w:val="14"/>
              </w:rPr>
              <w:t>3,200</w:t>
            </w:r>
          </w:p>
        </w:tc>
        <w:tc>
          <w:tcPr>
            <w:tcW w:type="dxa" w:w="1999"/>
            <w:vAlign w:val="center"/>
            <w:shd w:fill="F1F5F9"/>
          </w:tcPr>
          <w:p>
            <w:pPr>
              <w:spacing w:after="20"/>
            </w:pPr>
            <w:r/>
            <w:r>
              <w:rPr>
                <w:rFonts w:ascii="Aptos" w:hAnsi="Aptos"/>
                <w:b w:val="0"/>
                <w:color w:val="334155"/>
                <w:sz w:val="14"/>
              </w:rPr>
              <w:t>0</w:t>
            </w:r>
          </w:p>
        </w:tc>
        <w:tc>
          <w:tcPr>
            <w:tcW w:type="dxa" w:w="1999"/>
            <w:vAlign w:val="center"/>
            <w:shd w:fill="F1F5F9"/>
          </w:tcPr>
          <w:p>
            <w:pPr>
              <w:spacing w:after="20"/>
            </w:pPr>
            <w:r/>
            <w:r>
              <w:rPr>
                <w:rFonts w:ascii="Aptos" w:hAnsi="Aptos"/>
                <w:b w:val="0"/>
                <w:color w:val="334155"/>
                <w:sz w:val="14"/>
              </w:rPr>
              <w:t>0</w:t>
            </w:r>
          </w:p>
        </w:tc>
      </w:tr>
      <w:tr>
        <w:tc>
          <w:tcPr>
            <w:tcW w:type="dxa" w:w="1999"/>
            <w:vAlign w:val="center"/>
          </w:tcPr>
          <w:p>
            <w:pPr>
              <w:spacing w:after="20"/>
            </w:pPr>
            <w:r/>
            <w:r>
              <w:rPr>
                <w:rFonts w:ascii="Aptos" w:hAnsi="Aptos"/>
                <w:b w:val="0"/>
                <w:color w:val="334155"/>
                <w:sz w:val="14"/>
              </w:rPr>
              <w:t>Returns</w:t>
            </w:r>
          </w:p>
        </w:tc>
        <w:tc>
          <w:tcPr>
            <w:tcW w:type="dxa" w:w="1999"/>
            <w:vAlign w:val="center"/>
          </w:tcPr>
          <w:p>
            <w:pPr>
              <w:spacing w:after="20"/>
            </w:pPr>
            <w:r/>
            <w:r>
              <w:rPr>
                <w:rFonts w:ascii="Aptos" w:hAnsi="Aptos"/>
                <w:b w:val="0"/>
                <w:color w:val="334155"/>
                <w:sz w:val="14"/>
              </w:rPr>
              <w:t>16,048</w:t>
            </w:r>
          </w:p>
        </w:tc>
        <w:tc>
          <w:tcPr>
            <w:tcW w:type="dxa" w:w="1999"/>
            <w:vAlign w:val="center"/>
          </w:tcPr>
          <w:p>
            <w:pPr>
              <w:spacing w:after="20"/>
            </w:pPr>
            <w:r/>
            <w:r>
              <w:rPr>
                <w:rFonts w:ascii="Aptos" w:hAnsi="Aptos"/>
                <w:b w:val="0"/>
                <w:color w:val="334155"/>
                <w:sz w:val="14"/>
              </w:rPr>
              <w:t>15,912</w:t>
            </w:r>
          </w:p>
        </w:tc>
        <w:tc>
          <w:tcPr>
            <w:tcW w:type="dxa" w:w="1999"/>
            <w:vAlign w:val="center"/>
          </w:tcPr>
          <w:p>
            <w:pPr>
              <w:spacing w:after="20"/>
            </w:pPr>
            <w:r/>
            <w:r>
              <w:rPr>
                <w:rFonts w:ascii="Aptos" w:hAnsi="Aptos"/>
                <w:b w:val="0"/>
                <w:color w:val="334155"/>
                <w:sz w:val="14"/>
              </w:rPr>
              <w:t>136</w:t>
            </w:r>
          </w:p>
        </w:tc>
        <w:tc>
          <w:tcPr>
            <w:tcW w:type="dxa" w:w="1999"/>
            <w:vAlign w:val="center"/>
          </w:tcPr>
          <w:p>
            <w:pPr>
              <w:spacing w:after="20"/>
            </w:pPr>
            <w:r/>
            <w:r>
              <w:rPr>
                <w:rFonts w:ascii="Aptos" w:hAnsi="Aptos"/>
                <w:b w:val="0"/>
                <w:color w:val="334155"/>
                <w:sz w:val="14"/>
              </w:rPr>
              <w:t>0</w:t>
            </w:r>
          </w:p>
        </w:tc>
      </w:tr>
      <w:tr>
        <w:tc>
          <w:tcPr>
            <w:tcW w:type="dxa" w:w="1999"/>
            <w:vAlign w:val="center"/>
            <w:shd w:fill="F1F5F9"/>
          </w:tcPr>
          <w:p>
            <w:pPr>
              <w:spacing w:after="20"/>
            </w:pPr>
            <w:r/>
            <w:r>
              <w:rPr>
                <w:rFonts w:ascii="Aptos" w:hAnsi="Aptos"/>
                <w:b w:val="0"/>
                <w:color w:val="334155"/>
                <w:sz w:val="14"/>
              </w:rPr>
              <w:t>Sellers</w:t>
            </w:r>
          </w:p>
        </w:tc>
        <w:tc>
          <w:tcPr>
            <w:tcW w:type="dxa" w:w="1999"/>
            <w:vAlign w:val="center"/>
            <w:shd w:fill="F1F5F9"/>
          </w:tcPr>
          <w:p>
            <w:pPr>
              <w:spacing w:after="20"/>
            </w:pPr>
            <w:r/>
            <w:r>
              <w:rPr>
                <w:rFonts w:ascii="Aptos" w:hAnsi="Aptos"/>
                <w:b w:val="0"/>
                <w:color w:val="334155"/>
                <w:sz w:val="14"/>
              </w:rPr>
              <w:t>420</w:t>
            </w:r>
          </w:p>
        </w:tc>
        <w:tc>
          <w:tcPr>
            <w:tcW w:type="dxa" w:w="1999"/>
            <w:vAlign w:val="center"/>
            <w:shd w:fill="F1F5F9"/>
          </w:tcPr>
          <w:p>
            <w:pPr>
              <w:spacing w:after="20"/>
            </w:pPr>
            <w:r/>
            <w:r>
              <w:rPr>
                <w:rFonts w:ascii="Aptos" w:hAnsi="Aptos"/>
                <w:b w:val="0"/>
                <w:color w:val="334155"/>
                <w:sz w:val="14"/>
              </w:rPr>
              <w:t>416</w:t>
            </w:r>
          </w:p>
        </w:tc>
        <w:tc>
          <w:tcPr>
            <w:tcW w:type="dxa" w:w="1999"/>
            <w:vAlign w:val="center"/>
            <w:shd w:fill="F1F5F9"/>
          </w:tcPr>
          <w:p>
            <w:pPr>
              <w:spacing w:after="20"/>
            </w:pPr>
            <w:r/>
            <w:r>
              <w:rPr>
                <w:rFonts w:ascii="Aptos" w:hAnsi="Aptos"/>
                <w:b w:val="0"/>
                <w:color w:val="334155"/>
                <w:sz w:val="14"/>
              </w:rPr>
              <w:t>4</w:t>
            </w:r>
          </w:p>
        </w:tc>
        <w:tc>
          <w:tcPr>
            <w:tcW w:type="dxa" w:w="1999"/>
            <w:vAlign w:val="center"/>
            <w:shd w:fill="F1F5F9"/>
          </w:tcPr>
          <w:p>
            <w:pPr>
              <w:spacing w:after="20"/>
            </w:pPr>
            <w:r/>
            <w:r>
              <w:rPr>
                <w:rFonts w:ascii="Aptos" w:hAnsi="Aptos"/>
                <w:b w:val="0"/>
                <w:color w:val="334155"/>
                <w:sz w:val="14"/>
              </w:rPr>
              <w:t>0</w:t>
            </w:r>
          </w:p>
        </w:tc>
      </w:tr>
      <w:tr>
        <w:tc>
          <w:tcPr>
            <w:tcW w:type="dxa" w:w="1999"/>
            <w:vAlign w:val="center"/>
          </w:tcPr>
          <w:p>
            <w:pPr>
              <w:spacing w:after="20"/>
            </w:pPr>
            <w:r/>
            <w:r>
              <w:rPr>
                <w:rFonts w:ascii="Aptos" w:hAnsi="Aptos"/>
                <w:b w:val="0"/>
                <w:color w:val="334155"/>
                <w:sz w:val="14"/>
              </w:rPr>
              <w:t>Shipping</w:t>
            </w:r>
          </w:p>
        </w:tc>
        <w:tc>
          <w:tcPr>
            <w:tcW w:type="dxa" w:w="1999"/>
            <w:vAlign w:val="center"/>
          </w:tcPr>
          <w:p>
            <w:pPr>
              <w:spacing w:after="20"/>
            </w:pPr>
            <w:r/>
            <w:r>
              <w:rPr>
                <w:rFonts w:ascii="Aptos" w:hAnsi="Aptos"/>
                <w:b w:val="0"/>
                <w:color w:val="334155"/>
                <w:sz w:val="14"/>
              </w:rPr>
              <w:t>151,228</w:t>
            </w:r>
          </w:p>
        </w:tc>
        <w:tc>
          <w:tcPr>
            <w:tcW w:type="dxa" w:w="1999"/>
            <w:vAlign w:val="center"/>
          </w:tcPr>
          <w:p>
            <w:pPr>
              <w:spacing w:after="20"/>
            </w:pPr>
            <w:r/>
            <w:r>
              <w:rPr>
                <w:rFonts w:ascii="Aptos" w:hAnsi="Aptos"/>
                <w:b w:val="0"/>
                <w:color w:val="334155"/>
                <w:sz w:val="14"/>
              </w:rPr>
              <w:t>149,122</w:t>
            </w:r>
          </w:p>
        </w:tc>
        <w:tc>
          <w:tcPr>
            <w:tcW w:type="dxa" w:w="1999"/>
            <w:vAlign w:val="center"/>
          </w:tcPr>
          <w:p>
            <w:pPr>
              <w:spacing w:after="20"/>
            </w:pPr>
            <w:r/>
            <w:r>
              <w:rPr>
                <w:rFonts w:ascii="Aptos" w:hAnsi="Aptos"/>
                <w:b w:val="0"/>
                <w:color w:val="334155"/>
                <w:sz w:val="14"/>
              </w:rPr>
              <w:t>2,106</w:t>
            </w:r>
          </w:p>
        </w:tc>
        <w:tc>
          <w:tcPr>
            <w:tcW w:type="dxa" w:w="1999"/>
            <w:vAlign w:val="center"/>
          </w:tcPr>
          <w:p>
            <w:pPr>
              <w:spacing w:after="20"/>
            </w:pPr>
            <w:r/>
            <w:r>
              <w:rPr>
                <w:rFonts w:ascii="Aptos" w:hAnsi="Aptos"/>
                <w:b w:val="0"/>
                <w:color w:val="334155"/>
                <w:sz w:val="14"/>
              </w:rPr>
              <w:t>0</w:t>
            </w:r>
          </w:p>
        </w:tc>
      </w:tr>
    </w:tbl>
    <w:p>
      <w:pPr>
        <w:spacing w:after="20"/>
      </w:pPr>
    </w:p>
    <w:p>
      <w:r>
        <w:t>Recorded validation notes report 7,118 unique quarantined rows, zero remaining exact duplicates in processed outputs, and zero duplicate primary keys in those outputs. These figures should be supported by the actual reconciliation and quality-report files in the repository.</w:t>
      </w:r>
    </w:p>
    <w:p>
      <w:r>
        <w:t>Learning. Every cleaning decision should be auditable. Retained/quarantined counts, reason codes, and input-to-output reconciliation are more defensible than simply saying the data was cleaned.</w:t>
      </w:r>
    </w:p>
    <w:p>
      <w:pPr>
        <w:pStyle w:val="Heading2"/>
        <w:keepNext/>
      </w:pPr>
      <w:r>
        <w:t>1.3 Date, type and value quality</w:t>
      </w:r>
    </w:p>
    <w:p>
      <w:r>
        <w:t>Challenge. Dates and numeric fields stored as text, missing values, negative values, and ambiguous date formats can affect joins, calendar analysis, and financial metrics.</w:t>
      </w:r>
    </w:p>
    <w:p>
      <w:r>
        <w:t>Response. Profiling and validation reports were used to identify parse failures and questionable values. Recorded findings include 1,731 invalid or ambiguous customer registration dates and 988 negative values flagged for review. Numeric parsing checks reported no remaining unparseable non-null numeric values in processed outputs.</w:t>
      </w:r>
    </w:p>
    <w:p>
      <w:r>
        <w:t>Learning. A successful cast does not prove a value is valid. A negative value may be a legitimate adjustment, while a parseable date may still violate the allowed business period. Validate both format and business meaning.</w:t>
      </w:r>
    </w:p>
    <w:p>
      <w:r>
        <w:t>Remaining limitation. The final repository should preserve exception reports and explain how flagged negative values were treated. Do not label every flagged value an error unless the rules establish that it is invalid.</w:t>
      </w:r>
    </w:p>
    <w:p>
      <w:pPr>
        <w:pStyle w:val="Heading1"/>
        <w:keepNext/>
      </w:pPr>
      <w:r>
        <w:t>2. Cleaning decisions, duplicates and referential integrity</w:t>
      </w:r>
    </w:p>
    <w:p>
      <w:pPr>
        <w:pStyle w:val="Heading2"/>
        <w:keepNext/>
      </w:pPr>
      <w:r>
        <w:t>2.1 Exact duplicates versus similar entities</w:t>
      </w:r>
    </w:p>
    <w:p>
      <w:r>
        <w:t>Challenge. Exact repeated rows and similar entity names are not the same issue. Two businesses or customers with similar names may be distinct entities.</w:t>
      </w:r>
    </w:p>
    <w:p>
      <w:r>
        <w:t>Response. Exact duplicate copies were tracked separately from retained rows, and similar names were not treated as sufficient evidence to merge entities.</w:t>
      </w:r>
    </w:p>
    <w:p>
      <w:r>
        <w:t>Learning. Deduplication requires an identity rule. Merging by name alone can incorrectly combine records and contaminate customer, seller, or location analysis.</w:t>
      </w:r>
    </w:p>
    <w:p>
      <w:pPr>
        <w:pStyle w:val="Heading2"/>
        <w:keepNext/>
      </w:pPr>
      <w:r>
        <w:t>2.2 Broken and quarantined references</w:t>
      </w:r>
    </w:p>
    <w:p>
      <w:r>
        <w:t>Challenge. Some child records referenced parent records that were missing or quarantined. Such rows can fail dimension lookups or disappear from fact joins.</w:t>
      </w:r>
    </w:p>
    <w:p>
      <w:r>
        <w:t>Response. Recorded audits identify 1,381 truly broken references and 7,937 references to quarantined parents, with 9,318 row-level exceptions. Unknown dimension members were used so unresolved keys could be represented rather than silently inventing a valid entity.</w:t>
      </w:r>
    </w:p>
    <w:p>
      <w:r>
        <w:t>Learning. Referential integrity is a data-quality issue as well as a database constraint. Unknown members preserve traceability but do not repair source relationships.</w:t>
      </w:r>
    </w:p>
    <w:p>
      <w:r>
        <w:t>Remaining limitation. FactSales includes an unknown-product group. Recorded category analysis showed 914 orders and 918 fact rows associated with the unknown product member, 3,055 units, and approximately PKR 61.85 million in merchandise value. These records affect category analysis and should remain visible as unknown.</w:t>
      </w:r>
    </w:p>
    <w:p>
      <w:pPr>
        <w:pStyle w:val="Heading2"/>
        <w:keepNext/>
      </w:pPr>
      <w:r>
        <w:t>2.3 Rejected records and reason codes</w:t>
      </w:r>
    </w:p>
    <w:p>
      <w:r>
        <w:t>Challenge. Invalid records were not supposed to be silently deleted; rejected records needed a reason and an audit trail.</w:t>
      </w:r>
    </w:p>
    <w:p>
      <w:r>
        <w:t>Response. Rejected/quarantined outputs and quality reports were produced, with exception counts and row reconciliation.</w:t>
      </w:r>
    </w:p>
    <w:p>
      <w:r>
        <w:t>Learning. Rejected records are part of the deliverable: report what was rejected, why, and how many records were affected.</w:t>
      </w:r>
    </w:p>
    <w:p>
      <w:r>
        <w:t>Remaining limitation. Confirm that every rejection file has a matching reason-code explanation and that the README tells reviewers how to inspect it.</w:t>
      </w:r>
    </w:p>
    <w:p>
      <w:pPr>
        <w:pStyle w:val="Heading1"/>
        <w:keepNext/>
      </w:pPr>
      <w:r>
        <w:t>3. SQL Server warehouse and dimensional modelling</w:t>
      </w:r>
    </w:p>
    <w:p>
      <w:pPr>
        <w:pStyle w:val="Heading2"/>
        <w:keepNext/>
      </w:pPr>
      <w:r>
        <w:t>3.1 Fact-table grain and relationships</w:t>
      </w:r>
    </w:p>
    <w:p>
      <w:r>
        <w:t>Challenge. The specification requires one FactSales row per order line. Orders, payments, returns, and shipping have different grains, so direct joins can duplicate sales or allocate shipping and refunds more than once.</w:t>
      </w:r>
    </w:p>
    <w:p>
      <w:r>
        <w:t>Response. A star schema was built with FactSales and five dimensions: DimDate, DimCustomer, DimProduct, DimSeller, and DimLocation. Recorded validation showed 309,785 FactSales rows and 309,785 distinct OrderItemIDs.</w:t>
      </w:r>
    </w:p>
    <w:p>
      <w:r>
        <w:t>Learning. Define the grain before building ETL or measures. In a star schema, dimensions should filter the fact table and should not be chained together without a deliberate modelling reason.</w:t>
      </w:r>
    </w:p>
    <w:p>
      <w:r>
        <w:t>Remaining limitation. 313,250 retained processed order items versus 309,785 fact rows leaves 3,465 order items absent from FactSales because their order relationship could not be resolved in the load. Explain this discrepancy rather than hiding it.</w:t>
      </w:r>
    </w:p>
    <w:p>
      <w:pPr>
        <w:pStyle w:val="Heading2"/>
        <w:keepNext/>
      </w:pPr>
      <w:r>
        <w:t>3.2 Shipping allocation and reconciliation</w:t>
      </w:r>
    </w:p>
    <w:p>
      <w:r>
        <w:t>Challenge. Shipping fee is charged once per order and paid by NexusMart, not charged per line. Copying a full order-level fee to each line would multiply costs.</w:t>
      </w:r>
    </w:p>
    <w:p>
      <w:r>
        <w:t>Response. An allocated shipping-fee field was included in FactSales. Recorded totals were approximately PKR 75.02 million in allocated fact shipping fees compared with PKR 76.04 million in source shipping data.</w:t>
      </w:r>
    </w:p>
    <w:p>
      <w:r>
        <w:t>Learning. Order-level fees must be reconciled at the correct grain. Allocation rules should be tested against source records, including unmatched or excluded orders.</w:t>
      </w:r>
    </w:p>
    <w:p>
      <w:r>
        <w:t>Remaining limitation. The approximately PKR 1.02 million difference remains a reconciliation item. Do not assign a specific cause without a dedicated reconciliation query.</w:t>
      </w:r>
    </w:p>
    <w:p>
      <w:pPr>
        <w:pStyle w:val="Heading2"/>
        <w:keepNext/>
      </w:pPr>
      <w:r>
        <w:t>3.3 Unknown members and date dimension</w:t>
      </w:r>
    </w:p>
    <w:p>
      <w:r>
        <w:t>Challenge. Unresolved keys can prevent fact rows from joining to dimensions. Time analysis requires a complete calendar and consistent event labels.</w:t>
      </w:r>
    </w:p>
    <w:p>
      <w:r>
        <w:t>Response. Unknown members were created for dimensions, and DimDate was completed for 547 days from 1 January 2024 through 30 June 2025. Calendar validation identified 75 event days across Ramadan, both Eid periods, Independence Day, Singles Day, and Black Friday.</w:t>
      </w:r>
    </w:p>
    <w:p>
      <w:r>
        <w:t>Learning. A calendar dimension centralizes month, quarter, weekday, holiday, and event logic.</w:t>
      </w:r>
    </w:p>
    <w:p>
      <w:r>
        <w:t>Remaining limitation. Event comparisons are descriptive. Different event durations and order volumes do not prove that an event caused a sales spike.</w:t>
      </w:r>
    </w:p>
    <w:p>
      <w:pPr>
        <w:pStyle w:val="Heading2"/>
        <w:keepNext/>
      </w:pPr>
      <w:r>
        <w:t>3.4 Financial definitions and null handling</w:t>
      </w:r>
    </w:p>
    <w:p>
      <w:r>
        <w:t>Challenge. Gross sales, discounts, NMV, refunds, net revenue, COGS, and margin are related but not interchangeable. Cancellation and return treatment can materially change the result.</w:t>
      </w:r>
    </w:p>
    <w:p>
      <w:r>
        <w:t>Response. Validation compared stored amount columns. GrossAmount matched Quantity × UnitPrice on all fact rows. NetAmount matched GrossAmount minus DiscountAmount where both values were non-null. DiscountAmount was null on 31,046 rows; treating null discounts as zero aligned recalculated NMV with stored NetAmount.</w:t>
      </w:r>
    </w:p>
    <w:p>
      <w:r>
        <w:t>Learning. Null handling must follow business meaning. Here, a blank discount code means no discount, so null discount amounts should not automatically be treated as missing sales.</w:t>
      </w:r>
    </w:p>
    <w:p>
      <w:r>
        <w:t>Remaining limitation. Metrics must use consistent filters for cancelled, returned, delivered, and kept lines. A query can run correctly and still not match the business definition if its denominator or population is wrong.</w:t>
      </w:r>
    </w:p>
    <w:p>
      <w:pPr>
        <w:pStyle w:val="Heading1"/>
        <w:keepNext/>
      </w:pPr>
      <w:r>
        <w:t>4. Business-question analysis and interpretation</w:t>
      </w:r>
    </w:p>
    <w:p>
      <w:pPr>
        <w:pStyle w:val="Heading2"/>
        <w:keepNext/>
      </w:pPr>
      <w:r>
        <w:t>4.1 From business questions to measurable metrics</w:t>
      </w:r>
    </w:p>
    <w:p>
      <w:r>
        <w:t>Challenge. The 15 questions span category and geography performance, trends, returns, profitability, customer value/RFM, sellers, delivery, seasonality, discounts, and payment methods. Each needs a definition and denominator.</w:t>
      </w:r>
    </w:p>
    <w:p>
      <w:r>
        <w:t>Response. SQL queries were developed and outputs captured. Results were interpreted alongside known data-quality constraints.</w:t>
      </w:r>
    </w:p>
    <w:p>
      <w:r>
        <w:t>Learning. State the metric, population, period, denominator, exclusions, and caveats. This makes findings reproducible and easier to review.</w:t>
      </w:r>
    </w:p>
    <w:p>
      <w:pPr>
        <w:pStyle w:val="Heading2"/>
        <w:keepNext/>
      </w:pPr>
      <w:r>
        <w:t>4.2 Delivery dates and misleading delivery fields</w:t>
      </w:r>
    </w:p>
    <w:p>
      <w:r>
        <w:t>Challenge. ShippingDays was unreliable. Of 278,863 eligible fact rows, only 848 had a populated ShippingDays value, and all 848 were zero. An initial source-date validation using day-first parsing found zero parseable shipped or delivered dates.</w:t>
      </w:r>
    </w:p>
    <w:p>
      <w:r>
        <w:t>Response. A later query tested multiple date formats against stg.Shipping and generated exploratory delivery-duration groups and regional averages, but a substantial invalid-date group remained.</w:t>
      </w:r>
    </w:p>
    <w:p>
      <w:r>
        <w:t>Learning. A populated numeric column is not necessarily valid. Check coverage, distributions, and impossible values. Delivery duration (shipped-to-delivered days) is not the same as on-time delivery (meeting a promised date).</w:t>
      </w:r>
    </w:p>
    <w:p>
      <w:r>
        <w:t>Remaining limitation. The displayed source schema included shipped_date and delivered_date but no promised-delivery date. On-time delivery against a commitment therefore cannot be reliably calculated. Delivery findings are exploratory; unknown-date groups must not be treated as evidence that slow delivery caused cancellation or returns.</w:t>
      </w:r>
    </w:p>
    <w:p>
      <w:pPr>
        <w:pStyle w:val="Heading2"/>
        <w:keepNext/>
      </w:pPr>
      <w:r>
        <w:t>4.3 Return rates and small samples</w:t>
      </w:r>
    </w:p>
    <w:p>
      <w:r>
        <w:t>Challenge. One return out of two eligible lines produces a 50% rate, but provides weak evidence of a persistent quality issue.</w:t>
      </w:r>
    </w:p>
    <w:p>
      <w:r>
        <w:t>Response. Product analysis included eligible-line and returned-line counts alongside percentages.</w:t>
      </w:r>
    </w:p>
    <w:p>
      <w:r>
        <w:t>Learning. Report numerator and denominator. Prioritize products combining meaningful sales volume with elevated returns and review return reasons before assigning blame.</w:t>
      </w:r>
    </w:p>
    <w:p>
      <w:r>
        <w:t>Remaining limitation. The displayed product–seller query was sorted by return rate, not a combined high-sales/high-return score. It is a shortlist for investigation, not a definitive product-quality ranking.</w:t>
      </w:r>
    </w:p>
    <w:p>
      <w:pPr>
        <w:pStyle w:val="Heading2"/>
        <w:keepNext/>
      </w:pPr>
      <w:r>
        <w:t>4.4 Payment method and seasonality</w:t>
      </w:r>
    </w:p>
    <w:p>
      <w:r>
        <w:t>Challenge. Differences by payment method or event can reflect order volume, customer profiles, missing data, or inconsistent labels. Correlation is not causation.</w:t>
      </w:r>
    </w:p>
    <w:p>
      <w:r>
        <w:t>Response. Outputs were compared by payment method and event. Cash on Delivery showed a substantially higher observed cancellation rate than other displayed methods. Labels such as Card, Credit/Debit Card, and Debit Card remained visible for review rather than being automatically merged.</w:t>
      </w:r>
    </w:p>
    <w:p>
      <w:r>
        <w:t>Learning. Normalize categories only with evidence, and account for different event durations and exposure. Do not present descriptive differences as causal claims.</w:t>
      </w:r>
    </w:p>
    <w:p>
      <w:r>
        <w:t>Remaining limitation. A result labelled CancelledLines summed cancellation flags at fact-row level; it should not be described as a distinct count of cancelled orders. Payment analysis needs consistent order-level denominators.</w:t>
      </w:r>
    </w:p>
    <w:p>
      <w:pPr>
        <w:pStyle w:val="Heading2"/>
        <w:keepNext/>
      </w:pPr>
      <w:r>
        <w:t>4.5 Customer value and RFM</w:t>
      </w:r>
    </w:p>
    <w:p>
      <w:r>
        <w:t>Challenge. Observed customer value and repeat-purchase rates depend on definitions for active customers, cancelled orders, refunds, and regional attribution.</w:t>
      </w:r>
    </w:p>
    <w:p>
      <w:r>
        <w:t>Response. Customer analysis used distinct non-cancelled orders and observed-revenue concepts. Regional activity was not treated as mutually exclusive customer segmentation when customers could appear in more than one region.</w:t>
      </w:r>
    </w:p>
    <w:p>
      <w:r>
        <w:t>Learning. Distinguish historical observed value from predictive lifetime value and make segment rules explicit.</w:t>
      </w:r>
    </w:p>
    <w:p>
      <w:r>
        <w:t>Remaining limitation. The recorded RFM segment totals were materially below the overall observed customer-revenue result. Reconcile filters, joins, and monetary-value definitions before claiming the segment totals represent all customer revenue.</w:t>
      </w:r>
    </w:p>
    <w:p>
      <w:pPr>
        <w:pStyle w:val="Heading1"/>
        <w:keepNext/>
      </w:pPr>
      <w:r>
        <w:t>5. Apache Airflow, Astro and environment setup</w:t>
      </w:r>
    </w:p>
    <w:p>
      <w:pPr>
        <w:pStyle w:val="Heading2"/>
        <w:keepNext/>
      </w:pPr>
      <w:r>
        <w:t>5.1 Local runtime and database connection</w:t>
      </w:r>
    </w:p>
    <w:p>
      <w:r>
        <w:t>Challenge. Airflow needed a local runtime, containerized services, a reachable SQL Server instance, and correctly configured connection details. The Astro project was stored separately from the main analytics repository.</w:t>
      </w:r>
    </w:p>
    <w:p>
      <w:r>
        <w:t>Response. The Astro project ran locally using Docker Desktop. SQL Server mixed-mode authentication and a dedicated login were configured for Airflow. A connection test succeeded against NexusMartDW, and the Airflow UI became available locally.</w:t>
      </w:r>
    </w:p>
    <w:p>
      <w:r>
        <w:t>Learning. Orchestration includes runtime, networking, credentials, mounted paths, dependencies, and database configuration—not just DAG code.</w:t>
      </w:r>
    </w:p>
    <w:p>
      <w:r>
        <w:t>Remaining limitation. Never commit real credentials. Provide safe setup instructions and sanitized configuration examples.</w:t>
      </w:r>
    </w:p>
    <w:p>
      <w:pPr>
        <w:pStyle w:val="Heading2"/>
        <w:keepNext/>
      </w:pPr>
      <w:r>
        <w:t>5.2 DAG execution and the meaning of success</w:t>
      </w:r>
    </w:p>
    <w:p>
      <w:r>
        <w:t>Challenge. Initial execution encountered path and staging-state issues. The container path needed to match the mounted files, and staging tables were already populated.</w:t>
      </w:r>
    </w:p>
    <w:p>
      <w:r>
        <w:t>Response. The path was corrected, database connectivity established, and a run completed successfully through seven tasks: extract, validate_raw, clean, load_staging, build_dimensions, build_fact, and quality_checks.</w:t>
      </w:r>
    </w:p>
    <w:p>
      <w:r>
        <w:t>Learning. A green DAG run proves that configured tasks completed, not that the entire source-to-warehouse process is reproducible or idempotent.</w:t>
      </w:r>
    </w:p>
    <w:p>
      <w:r>
        <w:t>Remaining limitation. The current DAG largely validates existing processed CSVs and warehouse tables instead of rebuilding everything from raw files. The clean task verifies existing outputs; load_staging verifies existing staging tables; and dimension/fact tasks verify existing tables rather than fully recreating them. Describe it as a working orchestration/validation prototype, not a complete production ETL pipeline.</w:t>
      </w:r>
    </w:p>
    <w:p>
      <w:r>
        <w:t>Additional note. The DAG uses a fixed processed-data path, and logging of input, rejected, and loaded counts is not yet a complete end-to-end audit trail. Retries, error handling, and quality checks exist; future work should make the workflow parameterized, idempotent, and able to rebuild from raw inputs.</w:t>
      </w:r>
    </w:p>
    <w:p>
      <w:pPr>
        <w:pStyle w:val="Heading1"/>
        <w:keepNext/>
      </w:pPr>
      <w:r>
        <w:t>6. Power BI model and DAX</w:t>
      </w:r>
    </w:p>
    <w:p>
      <w:r>
        <w:t>Challenge. A Power BI report depends on correct relationships and measures, not just visuals. Cancellation, return, refund, cost, discount, and delivery attributes must align with the official definitions.</w:t>
      </w:r>
    </w:p>
    <w:p>
      <w:r>
        <w:t>Response. Core warehouse tables were loaded and related through FactSales to DimDate, DimCustomer, DimLocation, DimProduct, and DimSeller. Initial measures were created for NMV, Net Revenue, Orders, COGS, Margin Amount, Delivered Lines, and cancellation-related metrics.</w:t>
      </w:r>
    </w:p>
    <w:p>
      <w:r>
        <w:t>Learning. Define and validate DAX before using it in visuals. Reconcile important cards and totals against SQL, and ensure slicers filter through the intended star-schema relationships.</w:t>
      </w:r>
    </w:p>
    <w:p>
      <w:r>
        <w:t>Remaining limitation. A complete dashboard is not established as finished. The separate DAX document should list exact formulas, intended definitions, filter behavior, and validation status. Do not call a measure final until it has been checked against the official definition.</w:t>
      </w:r>
    </w:p>
    <w:p>
      <w:r>
        <w:t>Important caution. A fact-row count can overcount orders when an order has multiple lines. Return rates need the specified eligible-line denominator, and refunds should exclude rejected returns where required.</w:t>
      </w:r>
    </w:p>
    <w:p>
      <w:pPr>
        <w:pStyle w:val="Heading1"/>
        <w:keepNext/>
      </w:pPr>
      <w:r>
        <w:t>7. Repository, reproducibility and documentation</w:t>
      </w:r>
    </w:p>
    <w:p>
      <w:pPr>
        <w:pStyle w:val="Heading2"/>
        <w:keepNext/>
      </w:pPr>
      <w:r>
        <w:t>7.1 Separate working locations</w:t>
      </w:r>
    </w:p>
    <w:p>
      <w:r>
        <w:t>Challenge. The main analytics repository and local Astro project were stored in different folders, so working DAG code or requirements could exist outside the submission repository.</w:t>
      </w:r>
    </w:p>
    <w:p>
      <w:r>
        <w:t>Response. The handover plan is to copy the relevant DAG and dependency file into the main project and verify Git status and repository contents.</w:t>
      </w:r>
    </w:p>
    <w:p>
      <w:r>
        <w:t>Learning. A project is not submission-ready until code and instructions are present in the repository or external dependencies are clearly documented.</w:t>
      </w:r>
    </w:p>
    <w:p>
      <w:r>
        <w:t>Remaining limitation. Before submission, verify that the DAG, SQL scripts, quality reports, diagram, and screenshots are actually committed. A local file is not automatically in GitHub.</w:t>
      </w:r>
    </w:p>
    <w:p>
      <w:pPr>
        <w:pStyle w:val="Heading2"/>
        <w:keepNext/>
      </w:pPr>
      <w:r>
        <w:t>7.2 Reproducibility boundary</w:t>
      </w:r>
    </w:p>
    <w:p>
      <w:r>
        <w:t>Challenge. Cleaning history is not fully captured in one deterministic raw-to-clean script. The finalization script reads processed/rejected outputs instead of rebuilding every transformation from raw CSVs.</w:t>
      </w:r>
    </w:p>
    <w:p>
      <w:r>
        <w:t>Response. Profiling/cleaning notebooks, scripts, processed/rejected data, and validation reports are retained as evidence.</w:t>
      </w:r>
    </w:p>
    <w:p>
      <w:r>
        <w:t>Learning. Notebooks and outputs help reviewers inspect work, but reproducibility improves when the full process can be rerun from a clean state with documented commands and dependencies.</w:t>
      </w:r>
    </w:p>
    <w:p>
      <w:r>
        <w:t>Remaining limitation. Do not claim a fully reproducible raw-to-warehouse build unless it has been tested from fresh raw inputs through the final fact table.</w:t>
      </w:r>
    </w:p>
    <w:p>
      <w:pPr>
        <w:pStyle w:val="Heading2"/>
        <w:keepNext/>
      </w:pPr>
      <w:r>
        <w:t>7.3 Safe Git packaging</w:t>
      </w:r>
    </w:p>
    <w:p>
      <w:r>
        <w:t>Challenge. Generated files, row-level exceptions, local logs, virtual-environment files, and credentials can make a repository noisy or unsafe if staged indiscriminately.</w:t>
      </w:r>
    </w:p>
    <w:p>
      <w:r>
        <w:t>Response. Stage intentional code, documentation, diagrams, and evidence instead of blindly adding every untracked file.</w:t>
      </w:r>
    </w:p>
    <w:p>
      <w:r>
        <w:t>Learning. Inspect Git status and staged changes before committing. Exclude .env files, passwords, local logs, caches, and unnecessary large generated data. Include data only where allowed and useful.</w:t>
      </w:r>
    </w:p>
    <w:p>
      <w:pPr>
        <w:pStyle w:val="Heading1"/>
        <w:keepNext/>
      </w:pPr>
      <w:r>
        <w:t>8. Consolidated limitations and impact</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498"/>
            <w:vAlign w:val="center"/>
            <w:shd w:fill="17324D"/>
          </w:tcPr>
          <w:p>
            <w:pPr>
              <w:spacing w:after="20"/>
            </w:pPr>
            <w:r/>
            <w:r>
              <w:rPr>
                <w:rFonts w:ascii="Aptos" w:hAnsi="Aptos"/>
                <w:b/>
                <w:color w:val="FFFFFF"/>
                <w:sz w:val="14"/>
              </w:rPr>
              <w:t>Limitation</w:t>
            </w:r>
          </w:p>
        </w:tc>
        <w:tc>
          <w:tcPr>
            <w:tcW w:type="dxa" w:w="2498"/>
            <w:vAlign w:val="center"/>
            <w:shd w:fill="17324D"/>
          </w:tcPr>
          <w:p>
            <w:pPr>
              <w:spacing w:after="20"/>
            </w:pPr>
            <w:r/>
            <w:r>
              <w:rPr>
                <w:rFonts w:ascii="Aptos" w:hAnsi="Aptos"/>
                <w:b/>
                <w:color w:val="FFFFFF"/>
                <w:sz w:val="14"/>
              </w:rPr>
              <w:t>Observed evidence</w:t>
            </w:r>
          </w:p>
        </w:tc>
        <w:tc>
          <w:tcPr>
            <w:tcW w:type="dxa" w:w="2498"/>
            <w:vAlign w:val="center"/>
            <w:shd w:fill="17324D"/>
          </w:tcPr>
          <w:p>
            <w:pPr>
              <w:spacing w:after="20"/>
            </w:pPr>
            <w:r/>
            <w:r>
              <w:rPr>
                <w:rFonts w:ascii="Aptos" w:hAnsi="Aptos"/>
                <w:b/>
                <w:color w:val="FFFFFF"/>
                <w:sz w:val="14"/>
              </w:rPr>
              <w:t>Impact</w:t>
            </w:r>
          </w:p>
        </w:tc>
        <w:tc>
          <w:tcPr>
            <w:tcW w:type="dxa" w:w="2498"/>
            <w:vAlign w:val="center"/>
            <w:shd w:fill="17324D"/>
          </w:tcPr>
          <w:p>
            <w:pPr>
              <w:spacing w:after="20"/>
            </w:pPr>
            <w:r/>
            <w:r>
              <w:rPr>
                <w:rFonts w:ascii="Aptos" w:hAnsi="Aptos"/>
                <w:b/>
                <w:color w:val="FFFFFF"/>
                <w:sz w:val="14"/>
              </w:rPr>
              <w:t>Recommended next step</w:t>
            </w:r>
          </w:p>
        </w:tc>
      </w:tr>
      <w:tr>
        <w:tc>
          <w:tcPr>
            <w:tcW w:type="dxa" w:w="2498"/>
            <w:vAlign w:val="center"/>
          </w:tcPr>
          <w:p>
            <w:pPr>
              <w:spacing w:after="20"/>
            </w:pPr>
            <w:r/>
            <w:r>
              <w:rPr>
                <w:rFonts w:ascii="Aptos" w:hAnsi="Aptos"/>
                <w:b w:val="0"/>
                <w:color w:val="334155"/>
                <w:sz w:val="14"/>
              </w:rPr>
              <w:t>Raw-to-clean reproducibility</w:t>
            </w:r>
          </w:p>
        </w:tc>
        <w:tc>
          <w:tcPr>
            <w:tcW w:type="dxa" w:w="2498"/>
            <w:vAlign w:val="center"/>
          </w:tcPr>
          <w:p>
            <w:pPr>
              <w:spacing w:after="20"/>
            </w:pPr>
            <w:r/>
            <w:r>
              <w:rPr>
                <w:rFonts w:ascii="Aptos" w:hAnsi="Aptos"/>
                <w:b w:val="0"/>
                <w:color w:val="334155"/>
                <w:sz w:val="14"/>
              </w:rPr>
              <w:t>Finalization reads processed/rejected outputs; does not rebuild all transformations.</w:t>
            </w:r>
          </w:p>
        </w:tc>
        <w:tc>
          <w:tcPr>
            <w:tcW w:type="dxa" w:w="2498"/>
            <w:vAlign w:val="center"/>
          </w:tcPr>
          <w:p>
            <w:pPr>
              <w:spacing w:after="20"/>
            </w:pPr>
            <w:r/>
            <w:r>
              <w:rPr>
                <w:rFonts w:ascii="Aptos" w:hAnsi="Aptos"/>
                <w:b w:val="0"/>
                <w:color w:val="334155"/>
                <w:sz w:val="14"/>
              </w:rPr>
              <w:t>Another person may not reproduce every cleaning step from raw data.</w:t>
            </w:r>
          </w:p>
        </w:tc>
        <w:tc>
          <w:tcPr>
            <w:tcW w:type="dxa" w:w="2498"/>
            <w:vAlign w:val="center"/>
          </w:tcPr>
          <w:p>
            <w:pPr>
              <w:spacing w:after="20"/>
            </w:pPr>
            <w:r/>
            <w:r>
              <w:rPr>
                <w:rFonts w:ascii="Aptos" w:hAnsi="Aptos"/>
                <w:b w:val="0"/>
                <w:color w:val="334155"/>
                <w:sz w:val="14"/>
              </w:rPr>
              <w:t>Document commands; refactor into deterministic stages when possible.</w:t>
            </w:r>
          </w:p>
        </w:tc>
      </w:tr>
      <w:tr>
        <w:tc>
          <w:tcPr>
            <w:tcW w:type="dxa" w:w="2498"/>
            <w:vAlign w:val="center"/>
            <w:shd w:fill="F1F5F9"/>
          </w:tcPr>
          <w:p>
            <w:pPr>
              <w:spacing w:after="20"/>
            </w:pPr>
            <w:r/>
            <w:r>
              <w:rPr>
                <w:rFonts w:ascii="Aptos" w:hAnsi="Aptos"/>
                <w:b w:val="0"/>
                <w:color w:val="334155"/>
                <w:sz w:val="14"/>
              </w:rPr>
              <w:t>Unmatched order items</w:t>
            </w:r>
          </w:p>
        </w:tc>
        <w:tc>
          <w:tcPr>
            <w:tcW w:type="dxa" w:w="2498"/>
            <w:vAlign w:val="center"/>
            <w:shd w:fill="F1F5F9"/>
          </w:tcPr>
          <w:p>
            <w:pPr>
              <w:spacing w:after="20"/>
            </w:pPr>
            <w:r/>
            <w:r>
              <w:rPr>
                <w:rFonts w:ascii="Aptos" w:hAnsi="Aptos"/>
                <w:b w:val="0"/>
                <w:color w:val="334155"/>
                <w:sz w:val="14"/>
              </w:rPr>
              <w:t>3,465 retained items absent from FactSales due to unresolved order relationships.</w:t>
            </w:r>
          </w:p>
        </w:tc>
        <w:tc>
          <w:tcPr>
            <w:tcW w:type="dxa" w:w="2498"/>
            <w:vAlign w:val="center"/>
            <w:shd w:fill="F1F5F9"/>
          </w:tcPr>
          <w:p>
            <w:pPr>
              <w:spacing w:after="20"/>
            </w:pPr>
            <w:r/>
            <w:r>
              <w:rPr>
                <w:rFonts w:ascii="Aptos" w:hAnsi="Aptos"/>
                <w:b w:val="0"/>
                <w:color w:val="334155"/>
                <w:sz w:val="14"/>
              </w:rPr>
              <w:t>Fact totals do not represent every retained order item.</w:t>
            </w:r>
          </w:p>
        </w:tc>
        <w:tc>
          <w:tcPr>
            <w:tcW w:type="dxa" w:w="2498"/>
            <w:vAlign w:val="center"/>
            <w:shd w:fill="F1F5F9"/>
          </w:tcPr>
          <w:p>
            <w:pPr>
              <w:spacing w:after="20"/>
            </w:pPr>
            <w:r/>
            <w:r>
              <w:rPr>
                <w:rFonts w:ascii="Aptos" w:hAnsi="Aptos"/>
                <w:b w:val="0"/>
                <w:color w:val="334155"/>
                <w:sz w:val="14"/>
              </w:rPr>
              <w:t>Publish orphan-reference reconciliation and disposition.</w:t>
            </w:r>
          </w:p>
        </w:tc>
      </w:tr>
      <w:tr>
        <w:tc>
          <w:tcPr>
            <w:tcW w:type="dxa" w:w="2498"/>
            <w:vAlign w:val="center"/>
          </w:tcPr>
          <w:p>
            <w:pPr>
              <w:spacing w:after="20"/>
            </w:pPr>
            <w:r/>
            <w:r>
              <w:rPr>
                <w:rFonts w:ascii="Aptos" w:hAnsi="Aptos"/>
                <w:b w:val="0"/>
                <w:color w:val="334155"/>
                <w:sz w:val="14"/>
              </w:rPr>
              <w:t>Shipping-fee gap</w:t>
            </w:r>
          </w:p>
        </w:tc>
        <w:tc>
          <w:tcPr>
            <w:tcW w:type="dxa" w:w="2498"/>
            <w:vAlign w:val="center"/>
          </w:tcPr>
          <w:p>
            <w:pPr>
              <w:spacing w:after="20"/>
            </w:pPr>
            <w:r/>
            <w:r>
              <w:rPr>
                <w:rFonts w:ascii="Aptos" w:hAnsi="Aptos"/>
                <w:b w:val="0"/>
                <w:color w:val="334155"/>
                <w:sz w:val="14"/>
              </w:rPr>
              <w:t>Source fees ≈ PKR 76.04M; allocated fact fees ≈ PKR 75.02M.</w:t>
            </w:r>
          </w:p>
        </w:tc>
        <w:tc>
          <w:tcPr>
            <w:tcW w:type="dxa" w:w="2498"/>
            <w:vAlign w:val="center"/>
          </w:tcPr>
          <w:p>
            <w:pPr>
              <w:spacing w:after="20"/>
            </w:pPr>
            <w:r/>
            <w:r>
              <w:rPr>
                <w:rFonts w:ascii="Aptos" w:hAnsi="Aptos"/>
                <w:b w:val="0"/>
                <w:color w:val="334155"/>
                <w:sz w:val="14"/>
              </w:rPr>
              <w:t>Shipping-cost analysis may exclude some source records.</w:t>
            </w:r>
          </w:p>
        </w:tc>
        <w:tc>
          <w:tcPr>
            <w:tcW w:type="dxa" w:w="2498"/>
            <w:vAlign w:val="center"/>
          </w:tcPr>
          <w:p>
            <w:pPr>
              <w:spacing w:after="20"/>
            </w:pPr>
            <w:r/>
            <w:r>
              <w:rPr>
                <w:rFonts w:ascii="Aptos" w:hAnsi="Aptos"/>
                <w:b w:val="0"/>
                <w:color w:val="334155"/>
                <w:sz w:val="14"/>
              </w:rPr>
              <w:t>Reconcile by order and document excluded amounts.</w:t>
            </w:r>
          </w:p>
        </w:tc>
      </w:tr>
      <w:tr>
        <w:tc>
          <w:tcPr>
            <w:tcW w:type="dxa" w:w="2498"/>
            <w:vAlign w:val="center"/>
            <w:shd w:fill="F1F5F9"/>
          </w:tcPr>
          <w:p>
            <w:pPr>
              <w:spacing w:after="20"/>
            </w:pPr>
            <w:r/>
            <w:r>
              <w:rPr>
                <w:rFonts w:ascii="Aptos" w:hAnsi="Aptos"/>
                <w:b w:val="0"/>
                <w:color w:val="334155"/>
                <w:sz w:val="14"/>
              </w:rPr>
              <w:t>Unknown references</w:t>
            </w:r>
          </w:p>
        </w:tc>
        <w:tc>
          <w:tcPr>
            <w:tcW w:type="dxa" w:w="2498"/>
            <w:vAlign w:val="center"/>
            <w:shd w:fill="F1F5F9"/>
          </w:tcPr>
          <w:p>
            <w:pPr>
              <w:spacing w:after="20"/>
            </w:pPr>
            <w:r/>
            <w:r>
              <w:rPr>
                <w:rFonts w:ascii="Aptos" w:hAnsi="Aptos"/>
                <w:b w:val="0"/>
                <w:color w:val="334155"/>
                <w:sz w:val="14"/>
              </w:rPr>
              <w:t>Unknown dimension members; unknown-product group appears in category analysis.</w:t>
            </w:r>
          </w:p>
        </w:tc>
        <w:tc>
          <w:tcPr>
            <w:tcW w:type="dxa" w:w="2498"/>
            <w:vAlign w:val="center"/>
            <w:shd w:fill="F1F5F9"/>
          </w:tcPr>
          <w:p>
            <w:pPr>
              <w:spacing w:after="20"/>
            </w:pPr>
            <w:r/>
            <w:r>
              <w:rPr>
                <w:rFonts w:ascii="Aptos" w:hAnsi="Aptos"/>
                <w:b w:val="0"/>
                <w:color w:val="334155"/>
                <w:sz w:val="14"/>
              </w:rPr>
              <w:t>Category and regional comparisons include unknowns.</w:t>
            </w:r>
          </w:p>
        </w:tc>
        <w:tc>
          <w:tcPr>
            <w:tcW w:type="dxa" w:w="2498"/>
            <w:vAlign w:val="center"/>
            <w:shd w:fill="F1F5F9"/>
          </w:tcPr>
          <w:p>
            <w:pPr>
              <w:spacing w:after="20"/>
            </w:pPr>
            <w:r/>
            <w:r>
              <w:rPr>
                <w:rFonts w:ascii="Aptos" w:hAnsi="Aptos"/>
                <w:b w:val="0"/>
                <w:color w:val="334155"/>
                <w:sz w:val="14"/>
              </w:rPr>
              <w:t>Keep unknowns visible and investigate source keys.</w:t>
            </w:r>
          </w:p>
        </w:tc>
      </w:tr>
      <w:tr>
        <w:tc>
          <w:tcPr>
            <w:tcW w:type="dxa" w:w="2498"/>
            <w:vAlign w:val="center"/>
          </w:tcPr>
          <w:p>
            <w:pPr>
              <w:spacing w:after="20"/>
            </w:pPr>
            <w:r/>
            <w:r>
              <w:rPr>
                <w:rFonts w:ascii="Aptos" w:hAnsi="Aptos"/>
                <w:b w:val="0"/>
                <w:color w:val="334155"/>
                <w:sz w:val="14"/>
              </w:rPr>
              <w:t>ShippingDays unreliable</w:t>
            </w:r>
          </w:p>
        </w:tc>
        <w:tc>
          <w:tcPr>
            <w:tcW w:type="dxa" w:w="2498"/>
            <w:vAlign w:val="center"/>
          </w:tcPr>
          <w:p>
            <w:pPr>
              <w:spacing w:after="20"/>
            </w:pPr>
            <w:r/>
            <w:r>
              <w:rPr>
                <w:rFonts w:ascii="Aptos" w:hAnsi="Aptos"/>
                <w:b w:val="0"/>
                <w:color w:val="334155"/>
                <w:sz w:val="14"/>
              </w:rPr>
              <w:t>848 populated values among 278,863 eligible rows; all were zero.</w:t>
            </w:r>
          </w:p>
        </w:tc>
        <w:tc>
          <w:tcPr>
            <w:tcW w:type="dxa" w:w="2498"/>
            <w:vAlign w:val="center"/>
          </w:tcPr>
          <w:p>
            <w:pPr>
              <w:spacing w:after="20"/>
            </w:pPr>
            <w:r/>
            <w:r>
              <w:rPr>
                <w:rFonts w:ascii="Aptos" w:hAnsi="Aptos"/>
                <w:b w:val="0"/>
                <w:color w:val="334155"/>
                <w:sz w:val="14"/>
              </w:rPr>
              <w:t>Fact-based delivery duration and on-time rate are unreliable.</w:t>
            </w:r>
          </w:p>
        </w:tc>
        <w:tc>
          <w:tcPr>
            <w:tcW w:type="dxa" w:w="2498"/>
            <w:vAlign w:val="center"/>
          </w:tcPr>
          <w:p>
            <w:pPr>
              <w:spacing w:after="20"/>
            </w:pPr>
            <w:r/>
            <w:r>
              <w:rPr>
                <w:rFonts w:ascii="Aptos" w:hAnsi="Aptos"/>
                <w:b w:val="0"/>
                <w:color w:val="334155"/>
                <w:sz w:val="14"/>
              </w:rPr>
              <w:t>Validate source dates and obtain delivery targets.</w:t>
            </w:r>
          </w:p>
        </w:tc>
      </w:tr>
      <w:tr>
        <w:tc>
          <w:tcPr>
            <w:tcW w:type="dxa" w:w="2498"/>
            <w:vAlign w:val="center"/>
            <w:shd w:fill="F1F5F9"/>
          </w:tcPr>
          <w:p>
            <w:pPr>
              <w:spacing w:after="20"/>
            </w:pPr>
            <w:r/>
            <w:r>
              <w:rPr>
                <w:rFonts w:ascii="Aptos" w:hAnsi="Aptos"/>
                <w:b w:val="0"/>
                <w:color w:val="334155"/>
                <w:sz w:val="14"/>
              </w:rPr>
              <w:t>Shipping date parsing</w:t>
            </w:r>
          </w:p>
        </w:tc>
        <w:tc>
          <w:tcPr>
            <w:tcW w:type="dxa" w:w="2498"/>
            <w:vAlign w:val="center"/>
            <w:shd w:fill="F1F5F9"/>
          </w:tcPr>
          <w:p>
            <w:pPr>
              <w:spacing w:after="20"/>
            </w:pPr>
            <w:r/>
            <w:r>
              <w:rPr>
                <w:rFonts w:ascii="Aptos" w:hAnsi="Aptos"/>
                <w:b w:val="0"/>
                <w:color w:val="334155"/>
                <w:sz w:val="14"/>
              </w:rPr>
              <w:t>Initial day-first parsing returned zero parseable dates; later multi-format exploration still had invalid dates.</w:t>
            </w:r>
          </w:p>
        </w:tc>
        <w:tc>
          <w:tcPr>
            <w:tcW w:type="dxa" w:w="2498"/>
            <w:vAlign w:val="center"/>
            <w:shd w:fill="F1F5F9"/>
          </w:tcPr>
          <w:p>
            <w:pPr>
              <w:spacing w:after="20"/>
            </w:pPr>
            <w:r/>
            <w:r>
              <w:rPr>
                <w:rFonts w:ascii="Aptos" w:hAnsi="Aptos"/>
                <w:b w:val="0"/>
                <w:color w:val="334155"/>
                <w:sz w:val="14"/>
              </w:rPr>
              <w:t>Delivery analysis has incomplete coverage and possible bias.</w:t>
            </w:r>
          </w:p>
        </w:tc>
        <w:tc>
          <w:tcPr>
            <w:tcW w:type="dxa" w:w="2498"/>
            <w:vAlign w:val="center"/>
            <w:shd w:fill="F1F5F9"/>
          </w:tcPr>
          <w:p>
            <w:pPr>
              <w:spacing w:after="20"/>
            </w:pPr>
            <w:r/>
            <w:r>
              <w:rPr>
                <w:rFonts w:ascii="Aptos" w:hAnsi="Aptos"/>
                <w:b w:val="0"/>
                <w:color w:val="334155"/>
                <w:sz w:val="14"/>
              </w:rPr>
              <w:t>Inspect raw strings; define and test a robust parsing rule.</w:t>
            </w:r>
          </w:p>
        </w:tc>
      </w:tr>
      <w:tr>
        <w:tc>
          <w:tcPr>
            <w:tcW w:type="dxa" w:w="2498"/>
            <w:vAlign w:val="center"/>
          </w:tcPr>
          <w:p>
            <w:pPr>
              <w:spacing w:after="20"/>
            </w:pPr>
            <w:r/>
            <w:r>
              <w:rPr>
                <w:rFonts w:ascii="Aptos" w:hAnsi="Aptos"/>
                <w:b w:val="0"/>
                <w:color w:val="334155"/>
                <w:sz w:val="14"/>
              </w:rPr>
              <w:t>No promised date shown</w:t>
            </w:r>
          </w:p>
        </w:tc>
        <w:tc>
          <w:tcPr>
            <w:tcW w:type="dxa" w:w="2498"/>
            <w:vAlign w:val="center"/>
          </w:tcPr>
          <w:p>
            <w:pPr>
              <w:spacing w:after="20"/>
            </w:pPr>
            <w:r/>
            <w:r>
              <w:rPr>
                <w:rFonts w:ascii="Aptos" w:hAnsi="Aptos"/>
                <w:b w:val="0"/>
                <w:color w:val="334155"/>
                <w:sz w:val="14"/>
              </w:rPr>
              <w:t>Schema includes shipped_date and delivered_date but no promised date.</w:t>
            </w:r>
          </w:p>
        </w:tc>
        <w:tc>
          <w:tcPr>
            <w:tcW w:type="dxa" w:w="2498"/>
            <w:vAlign w:val="center"/>
          </w:tcPr>
          <w:p>
            <w:pPr>
              <w:spacing w:after="20"/>
            </w:pPr>
            <w:r/>
            <w:r>
              <w:rPr>
                <w:rFonts w:ascii="Aptos" w:hAnsi="Aptos"/>
                <w:b w:val="0"/>
                <w:color w:val="334155"/>
                <w:sz w:val="14"/>
              </w:rPr>
              <w:t>Duration cannot establish on-time performance.</w:t>
            </w:r>
          </w:p>
        </w:tc>
        <w:tc>
          <w:tcPr>
            <w:tcW w:type="dxa" w:w="2498"/>
            <w:vAlign w:val="center"/>
          </w:tcPr>
          <w:p>
            <w:pPr>
              <w:spacing w:after="20"/>
            </w:pPr>
            <w:r/>
            <w:r>
              <w:rPr>
                <w:rFonts w:ascii="Aptos" w:hAnsi="Aptos"/>
                <w:b w:val="0"/>
                <w:color w:val="334155"/>
                <w:sz w:val="14"/>
              </w:rPr>
              <w:t>Obtain or define an SLA before calculating on-time rate.</w:t>
            </w:r>
          </w:p>
        </w:tc>
      </w:tr>
      <w:tr>
        <w:tc>
          <w:tcPr>
            <w:tcW w:type="dxa" w:w="2498"/>
            <w:vAlign w:val="center"/>
            <w:shd w:fill="F1F5F9"/>
          </w:tcPr>
          <w:p>
            <w:pPr>
              <w:spacing w:after="20"/>
            </w:pPr>
            <w:r/>
            <w:r>
              <w:rPr>
                <w:rFonts w:ascii="Aptos" w:hAnsi="Aptos"/>
                <w:b w:val="0"/>
                <w:color w:val="334155"/>
                <w:sz w:val="14"/>
              </w:rPr>
              <w:t>Provisional seller score</w:t>
            </w:r>
          </w:p>
        </w:tc>
        <w:tc>
          <w:tcPr>
            <w:tcW w:type="dxa" w:w="2498"/>
            <w:vAlign w:val="center"/>
            <w:shd w:fill="F1F5F9"/>
          </w:tcPr>
          <w:p>
            <w:pPr>
              <w:spacing w:after="20"/>
            </w:pPr>
            <w:r/>
            <w:r>
              <w:rPr>
                <w:rFonts w:ascii="Aptos" w:hAnsi="Aptos"/>
                <w:b w:val="0"/>
                <w:color w:val="334155"/>
                <w:sz w:val="14"/>
              </w:rPr>
              <w:t>On-time component cannot be validated; provisional score uses revenue, returns, cancellations.</w:t>
            </w:r>
          </w:p>
        </w:tc>
        <w:tc>
          <w:tcPr>
            <w:tcW w:type="dxa" w:w="2498"/>
            <w:vAlign w:val="center"/>
            <w:shd w:fill="F1F5F9"/>
          </w:tcPr>
          <w:p>
            <w:pPr>
              <w:spacing w:after="20"/>
            </w:pPr>
            <w:r/>
            <w:r>
              <w:rPr>
                <w:rFonts w:ascii="Aptos" w:hAnsi="Aptos"/>
                <w:b w:val="0"/>
                <w:color w:val="334155"/>
                <w:sz w:val="14"/>
              </w:rPr>
              <w:t>Does not fully satisfy intended multi-factor score.</w:t>
            </w:r>
          </w:p>
        </w:tc>
        <w:tc>
          <w:tcPr>
            <w:tcW w:type="dxa" w:w="2498"/>
            <w:vAlign w:val="center"/>
            <w:shd w:fill="F1F5F9"/>
          </w:tcPr>
          <w:p>
            <w:pPr>
              <w:spacing w:after="20"/>
            </w:pPr>
            <w:r/>
            <w:r>
              <w:rPr>
                <w:rFonts w:ascii="Aptos" w:hAnsi="Aptos"/>
                <w:b w:val="0"/>
                <w:color w:val="334155"/>
                <w:sz w:val="14"/>
              </w:rPr>
              <w:t>Label provisional; recompute after delivery data is repaired.</w:t>
            </w:r>
          </w:p>
        </w:tc>
      </w:tr>
      <w:tr>
        <w:tc>
          <w:tcPr>
            <w:tcW w:type="dxa" w:w="2498"/>
            <w:vAlign w:val="center"/>
          </w:tcPr>
          <w:p>
            <w:pPr>
              <w:spacing w:after="20"/>
            </w:pPr>
            <w:r/>
            <w:r>
              <w:rPr>
                <w:rFonts w:ascii="Aptos" w:hAnsi="Aptos"/>
                <w:b w:val="0"/>
                <w:color w:val="334155"/>
                <w:sz w:val="14"/>
              </w:rPr>
              <w:t>RFM reconciliation</w:t>
            </w:r>
          </w:p>
        </w:tc>
        <w:tc>
          <w:tcPr>
            <w:tcW w:type="dxa" w:w="2498"/>
            <w:vAlign w:val="center"/>
          </w:tcPr>
          <w:p>
            <w:pPr>
              <w:spacing w:after="20"/>
            </w:pPr>
            <w:r/>
            <w:r>
              <w:rPr>
                <w:rFonts w:ascii="Aptos" w:hAnsi="Aptos"/>
                <w:b w:val="0"/>
                <w:color w:val="334155"/>
                <w:sz w:val="14"/>
              </w:rPr>
              <w:t>Recorded segment totals materially below overall customer revenue.</w:t>
            </w:r>
          </w:p>
        </w:tc>
        <w:tc>
          <w:tcPr>
            <w:tcW w:type="dxa" w:w="2498"/>
            <w:vAlign w:val="center"/>
          </w:tcPr>
          <w:p>
            <w:pPr>
              <w:spacing w:after="20"/>
            </w:pPr>
            <w:r/>
            <w:r>
              <w:rPr>
                <w:rFonts w:ascii="Aptos" w:hAnsi="Aptos"/>
                <w:b w:val="0"/>
                <w:color w:val="334155"/>
                <w:sz w:val="14"/>
              </w:rPr>
              <w:t>Segment ranking may not cover all revenue.</w:t>
            </w:r>
          </w:p>
        </w:tc>
        <w:tc>
          <w:tcPr>
            <w:tcW w:type="dxa" w:w="2498"/>
            <w:vAlign w:val="center"/>
          </w:tcPr>
          <w:p>
            <w:pPr>
              <w:spacing w:after="20"/>
            </w:pPr>
            <w:r/>
            <w:r>
              <w:rPr>
                <w:rFonts w:ascii="Aptos" w:hAnsi="Aptos"/>
                <w:b w:val="0"/>
                <w:color w:val="334155"/>
                <w:sz w:val="14"/>
              </w:rPr>
              <w:t>Reconcile filters, joins, and monetary-value definition.</w:t>
            </w:r>
          </w:p>
        </w:tc>
      </w:tr>
      <w:tr>
        <w:tc>
          <w:tcPr>
            <w:tcW w:type="dxa" w:w="2498"/>
            <w:vAlign w:val="center"/>
            <w:shd w:fill="F1F5F9"/>
          </w:tcPr>
          <w:p>
            <w:pPr>
              <w:spacing w:after="20"/>
            </w:pPr>
            <w:r/>
            <w:r>
              <w:rPr>
                <w:rFonts w:ascii="Aptos" w:hAnsi="Aptos"/>
                <w:b w:val="0"/>
                <w:color w:val="334155"/>
                <w:sz w:val="14"/>
              </w:rPr>
              <w:t>Payment metric naming</w:t>
            </w:r>
          </w:p>
        </w:tc>
        <w:tc>
          <w:tcPr>
            <w:tcW w:type="dxa" w:w="2498"/>
            <w:vAlign w:val="center"/>
            <w:shd w:fill="F1F5F9"/>
          </w:tcPr>
          <w:p>
            <w:pPr>
              <w:spacing w:after="20"/>
            </w:pPr>
            <w:r/>
            <w:r>
              <w:rPr>
                <w:rFonts w:ascii="Aptos" w:hAnsi="Aptos"/>
                <w:b w:val="0"/>
                <w:color w:val="334155"/>
                <w:sz w:val="14"/>
              </w:rPr>
              <w:t>CancelledLines sums cancellation flags at fact-row level.</w:t>
            </w:r>
          </w:p>
        </w:tc>
        <w:tc>
          <w:tcPr>
            <w:tcW w:type="dxa" w:w="2498"/>
            <w:vAlign w:val="center"/>
            <w:shd w:fill="F1F5F9"/>
          </w:tcPr>
          <w:p>
            <w:pPr>
              <w:spacing w:after="20"/>
            </w:pPr>
            <w:r/>
            <w:r>
              <w:rPr>
                <w:rFonts w:ascii="Aptos" w:hAnsi="Aptos"/>
                <w:b w:val="0"/>
                <w:color w:val="334155"/>
                <w:sz w:val="14"/>
              </w:rPr>
              <w:t>Not a distinct count of cancelled orders.</w:t>
            </w:r>
          </w:p>
        </w:tc>
        <w:tc>
          <w:tcPr>
            <w:tcW w:type="dxa" w:w="2498"/>
            <w:vAlign w:val="center"/>
            <w:shd w:fill="F1F5F9"/>
          </w:tcPr>
          <w:p>
            <w:pPr>
              <w:spacing w:after="20"/>
            </w:pPr>
            <w:r/>
            <w:r>
              <w:rPr>
                <w:rFonts w:ascii="Aptos" w:hAnsi="Aptos"/>
                <w:b w:val="0"/>
                <w:color w:val="334155"/>
                <w:sz w:val="14"/>
              </w:rPr>
              <w:t>Rename and validate order-level cancellation metrics.</w:t>
            </w:r>
          </w:p>
        </w:tc>
      </w:tr>
      <w:tr>
        <w:tc>
          <w:tcPr>
            <w:tcW w:type="dxa" w:w="2498"/>
            <w:vAlign w:val="center"/>
          </w:tcPr>
          <w:p>
            <w:pPr>
              <w:spacing w:after="20"/>
            </w:pPr>
            <w:r/>
            <w:r>
              <w:rPr>
                <w:rFonts w:ascii="Aptos" w:hAnsi="Aptos"/>
                <w:b w:val="0"/>
                <w:color w:val="334155"/>
                <w:sz w:val="14"/>
              </w:rPr>
              <w:t>Dashboard status</w:t>
            </w:r>
          </w:p>
        </w:tc>
        <w:tc>
          <w:tcPr>
            <w:tcW w:type="dxa" w:w="2498"/>
            <w:vAlign w:val="center"/>
          </w:tcPr>
          <w:p>
            <w:pPr>
              <w:spacing w:after="20"/>
            </w:pPr>
            <w:r/>
            <w:r>
              <w:rPr>
                <w:rFonts w:ascii="Aptos" w:hAnsi="Aptos"/>
                <w:b w:val="0"/>
                <w:color w:val="334155"/>
                <w:sz w:val="14"/>
              </w:rPr>
              <w:t>Model and measures started; full report not claimed complete.</w:t>
            </w:r>
          </w:p>
        </w:tc>
        <w:tc>
          <w:tcPr>
            <w:tcW w:type="dxa" w:w="2498"/>
            <w:vAlign w:val="center"/>
          </w:tcPr>
          <w:p>
            <w:pPr>
              <w:spacing w:after="20"/>
            </w:pPr>
            <w:r/>
            <w:r>
              <w:rPr>
                <w:rFonts w:ascii="Aptos" w:hAnsi="Aptos"/>
                <w:b w:val="0"/>
                <w:color w:val="334155"/>
                <w:sz w:val="14"/>
              </w:rPr>
              <w:t>Visual/interactivity requirements may remain unmet.</w:t>
            </w:r>
          </w:p>
        </w:tc>
        <w:tc>
          <w:tcPr>
            <w:tcW w:type="dxa" w:w="2498"/>
            <w:vAlign w:val="center"/>
          </w:tcPr>
          <w:p>
            <w:pPr>
              <w:spacing w:after="20"/>
            </w:pPr>
            <w:r/>
            <w:r>
              <w:rPr>
                <w:rFonts w:ascii="Aptos" w:hAnsi="Aptos"/>
                <w:b w:val="0"/>
                <w:color w:val="334155"/>
                <w:sz w:val="14"/>
              </w:rPr>
              <w:t>Finish a minimal accurate report if time permits; otherwise state status.</w:t>
            </w:r>
          </w:p>
        </w:tc>
      </w:tr>
      <w:tr>
        <w:tc>
          <w:tcPr>
            <w:tcW w:type="dxa" w:w="2498"/>
            <w:vAlign w:val="center"/>
            <w:shd w:fill="F1F5F9"/>
          </w:tcPr>
          <w:p>
            <w:pPr>
              <w:spacing w:after="20"/>
            </w:pPr>
            <w:r/>
            <w:r>
              <w:rPr>
                <w:rFonts w:ascii="Aptos" w:hAnsi="Aptos"/>
                <w:b w:val="0"/>
                <w:color w:val="334155"/>
                <w:sz w:val="14"/>
              </w:rPr>
              <w:t>Airflow scope</w:t>
            </w:r>
          </w:p>
        </w:tc>
        <w:tc>
          <w:tcPr>
            <w:tcW w:type="dxa" w:w="2498"/>
            <w:vAlign w:val="center"/>
            <w:shd w:fill="F1F5F9"/>
          </w:tcPr>
          <w:p>
            <w:pPr>
              <w:spacing w:after="20"/>
            </w:pPr>
            <w:r/>
            <w:r>
              <w:rPr>
                <w:rFonts w:ascii="Aptos" w:hAnsi="Aptos"/>
                <w:b w:val="0"/>
                <w:color w:val="334155"/>
                <w:sz w:val="14"/>
              </w:rPr>
              <w:t>Seven tasks succeeded but many verify existing state rather than rebuilding it.</w:t>
            </w:r>
          </w:p>
        </w:tc>
        <w:tc>
          <w:tcPr>
            <w:tcW w:type="dxa" w:w="2498"/>
            <w:vAlign w:val="center"/>
            <w:shd w:fill="F1F5F9"/>
          </w:tcPr>
          <w:p>
            <w:pPr>
              <w:spacing w:after="20"/>
            </w:pPr>
            <w:r/>
            <w:r>
              <w:rPr>
                <w:rFonts w:ascii="Aptos" w:hAnsi="Aptos"/>
                <w:b w:val="0"/>
                <w:color w:val="334155"/>
                <w:sz w:val="14"/>
              </w:rPr>
              <w:t>Green run does not prove full raw-to-warehouse ETL.</w:t>
            </w:r>
          </w:p>
        </w:tc>
        <w:tc>
          <w:tcPr>
            <w:tcW w:type="dxa" w:w="2498"/>
            <w:vAlign w:val="center"/>
            <w:shd w:fill="F1F5F9"/>
          </w:tcPr>
          <w:p>
            <w:pPr>
              <w:spacing w:after="20"/>
            </w:pPr>
            <w:r/>
            <w:r>
              <w:rPr>
                <w:rFonts w:ascii="Aptos" w:hAnsi="Aptos"/>
                <w:b w:val="0"/>
                <w:color w:val="334155"/>
                <w:sz w:val="14"/>
              </w:rPr>
              <w:t>Document accurately; improve idempotent raw-to-fact execution.</w:t>
            </w:r>
          </w:p>
        </w:tc>
      </w:tr>
    </w:tbl>
    <w:p>
      <w:pPr>
        <w:spacing w:after="20"/>
      </w:pPr>
    </w:p>
    <w:p>
      <w:pPr>
        <w:pStyle w:val="Heading1"/>
        <w:keepNext/>
      </w:pPr>
      <w:r>
        <w:t>9. Key learnings</w:t>
      </w:r>
    </w:p>
    <w:p>
      <w:pPr>
        <w:pStyle w:val="ListNumber"/>
        <w:spacing w:after="40"/>
      </w:pPr>
      <w:r>
        <w:t>Start with the grain. Understand what one row means in every source and fact table before joining datasets.</w:t>
      </w:r>
    </w:p>
    <w:p>
      <w:pPr>
        <w:pStyle w:val="ListNumber"/>
        <w:spacing w:after="40"/>
      </w:pPr>
      <w:r>
        <w:t>Make cleaning auditable. Preserve rejected records, reason codes, and before/after counts rather than silently dropping data.</w:t>
      </w:r>
    </w:p>
    <w:p>
      <w:pPr>
        <w:pStyle w:val="ListNumber"/>
        <w:spacing w:after="40"/>
      </w:pPr>
      <w:r>
        <w:t>Separate technical validity from business validity. A field can parse correctly and still be impossible or misleading.</w:t>
      </w:r>
    </w:p>
    <w:p>
      <w:pPr>
        <w:pStyle w:val="ListNumber"/>
        <w:spacing w:after="40"/>
      </w:pPr>
      <w:r>
        <w:t>Treat unknown keys as evidence of unresolved relationships. They preserve traceability but should remain visible in reports.</w:t>
      </w:r>
    </w:p>
    <w:p>
      <w:pPr>
        <w:pStyle w:val="ListNumber"/>
        <w:spacing w:after="40"/>
      </w:pPr>
      <w:r>
        <w:t>Reconcile measures at the correct grain. Order-level shipping fees and line-level sales, payment events, and returns cannot be mixed without explicit allocation or aggregation.</w:t>
      </w:r>
    </w:p>
    <w:p>
      <w:pPr>
        <w:pStyle w:val="ListNumber"/>
        <w:spacing w:after="40"/>
      </w:pPr>
      <w:r>
        <w:t>Validate metrics against definitions. Revenue, margin, return rate, cancellation rate, and on-time delivery need clear populations and denominators.</w:t>
      </w:r>
    </w:p>
    <w:p>
      <w:pPr>
        <w:pStyle w:val="ListNumber"/>
        <w:spacing w:after="40"/>
      </w:pPr>
      <w:r>
        <w:t>A successful orchestration run is not end-to-end reproducibility. Test from raw inputs in a clean state to prove a pipeline can rebuild outputs.</w:t>
      </w:r>
    </w:p>
    <w:p>
      <w:pPr>
        <w:pStyle w:val="ListNumber"/>
        <w:spacing w:after="40"/>
      </w:pPr>
      <w:r>
        <w:t>Report uncertainty. Small samples, unknown categories, missing dates, and inconsistent labels can materially affect conclusions.</w:t>
      </w:r>
    </w:p>
    <w:p>
      <w:pPr>
        <w:pStyle w:val="ListNumber"/>
        <w:spacing w:after="40"/>
      </w:pPr>
      <w:r>
        <w:t>Avoid causal overstatement. Differences across regions, payment methods, events, or delivery durations are associations unless stronger evidence supports causality.</w:t>
      </w:r>
    </w:p>
    <w:p>
      <w:pPr>
        <w:pStyle w:val="ListNumber"/>
        <w:spacing w:after="40"/>
      </w:pPr>
      <w:r>
        <w:t>Documentation is part of the engineering. Trace important results to a query, source, definition, and known limitation.</w:t>
      </w:r>
    </w:p>
    <w:p>
      <w:pPr>
        <w:pStyle w:val="Heading1"/>
        <w:keepNext/>
      </w:pPr>
      <w:r>
        <w:t>10. Evidence checklist for the repository</w:t>
      </w:r>
    </w:p>
    <w:tbl>
      <w:tblPr>
        <w:tblStyle w:val="TableGrid"/>
        <w:tblW w:type="auto" w:w="0"/>
        <w:jc w:val="center"/>
        <w:tblLook w:firstColumn="1" w:firstRow="1" w:lastColumn="0" w:lastRow="0" w:noHBand="0" w:noVBand="1" w:val="04A0"/>
      </w:tblPr>
      <w:tblGrid>
        <w:gridCol w:w="3331"/>
        <w:gridCol w:w="3331"/>
        <w:gridCol w:w="3331"/>
      </w:tblGrid>
      <w:tr>
        <w:tc>
          <w:tcPr>
            <w:tcW w:type="dxa" w:w="3331"/>
            <w:vAlign w:val="center"/>
            <w:shd w:fill="17324D"/>
          </w:tcPr>
          <w:p>
            <w:pPr>
              <w:spacing w:after="20"/>
            </w:pPr>
            <w:r/>
            <w:r>
              <w:rPr>
                <w:rFonts w:ascii="Aptos" w:hAnsi="Aptos"/>
                <w:b/>
                <w:color w:val="FFFFFF"/>
                <w:sz w:val="14"/>
              </w:rPr>
              <w:t>Evidence group</w:t>
            </w:r>
          </w:p>
        </w:tc>
        <w:tc>
          <w:tcPr>
            <w:tcW w:type="dxa" w:w="3331"/>
            <w:vAlign w:val="center"/>
            <w:shd w:fill="17324D"/>
          </w:tcPr>
          <w:p>
            <w:pPr>
              <w:spacing w:after="20"/>
            </w:pPr>
            <w:r/>
            <w:r>
              <w:rPr>
                <w:rFonts w:ascii="Aptos" w:hAnsi="Aptos"/>
                <w:b/>
                <w:color w:val="FFFFFF"/>
                <w:sz w:val="14"/>
              </w:rPr>
              <w:t>Recommended contents</w:t>
            </w:r>
          </w:p>
        </w:tc>
        <w:tc>
          <w:tcPr>
            <w:tcW w:type="dxa" w:w="3331"/>
            <w:vAlign w:val="center"/>
            <w:shd w:fill="17324D"/>
          </w:tcPr>
          <w:p>
            <w:pPr>
              <w:spacing w:after="20"/>
            </w:pPr>
            <w:r/>
            <w:r>
              <w:rPr>
                <w:rFonts w:ascii="Aptos" w:hAnsi="Aptos"/>
                <w:b/>
                <w:color w:val="FFFFFF"/>
                <w:sz w:val="14"/>
              </w:rPr>
              <w:t>What it demonstrates</w:t>
            </w:r>
          </w:p>
        </w:tc>
      </w:tr>
      <w:tr>
        <w:tc>
          <w:tcPr>
            <w:tcW w:type="dxa" w:w="3331"/>
            <w:vAlign w:val="center"/>
          </w:tcPr>
          <w:p>
            <w:pPr>
              <w:spacing w:after="20"/>
            </w:pPr>
            <w:r/>
            <w:r>
              <w:rPr>
                <w:rFonts w:ascii="Aptos" w:hAnsi="Aptos"/>
                <w:b w:val="0"/>
                <w:color w:val="334155"/>
                <w:sz w:val="14"/>
              </w:rPr>
              <w:t>Profiling and cleaning</w:t>
            </w:r>
          </w:p>
        </w:tc>
        <w:tc>
          <w:tcPr>
            <w:tcW w:type="dxa" w:w="3331"/>
            <w:vAlign w:val="center"/>
          </w:tcPr>
          <w:p>
            <w:pPr>
              <w:spacing w:after="20"/>
            </w:pPr>
            <w:r/>
            <w:r>
              <w:rPr>
                <w:rFonts w:ascii="Aptos" w:hAnsi="Aptos"/>
                <w:b w:val="0"/>
                <w:color w:val="334155"/>
                <w:sz w:val="14"/>
              </w:rPr>
              <w:t>Raw profile, cleaning notebook/script, row reconciliation, quality report, rejected examples with reason codes.</w:t>
            </w:r>
          </w:p>
        </w:tc>
        <w:tc>
          <w:tcPr>
            <w:tcW w:type="dxa" w:w="3331"/>
            <w:vAlign w:val="center"/>
          </w:tcPr>
          <w:p>
            <w:pPr>
              <w:spacing w:after="20"/>
            </w:pPr>
            <w:r/>
            <w:r>
              <w:rPr>
                <w:rFonts w:ascii="Aptos" w:hAnsi="Aptos"/>
                <w:b w:val="0"/>
                <w:color w:val="334155"/>
                <w:sz w:val="14"/>
              </w:rPr>
              <w:t>Cleaning decisions and measurable impact.</w:t>
            </w:r>
          </w:p>
        </w:tc>
      </w:tr>
      <w:tr>
        <w:tc>
          <w:tcPr>
            <w:tcW w:type="dxa" w:w="3331"/>
            <w:vAlign w:val="center"/>
            <w:shd w:fill="F1F5F9"/>
          </w:tcPr>
          <w:p>
            <w:pPr>
              <w:spacing w:after="20"/>
            </w:pPr>
            <w:r/>
            <w:r>
              <w:rPr>
                <w:rFonts w:ascii="Aptos" w:hAnsi="Aptos"/>
                <w:b w:val="0"/>
                <w:color w:val="334155"/>
                <w:sz w:val="14"/>
              </w:rPr>
              <w:t>SQL warehouse</w:t>
            </w:r>
          </w:p>
        </w:tc>
        <w:tc>
          <w:tcPr>
            <w:tcW w:type="dxa" w:w="3331"/>
            <w:vAlign w:val="center"/>
            <w:shd w:fill="F1F5F9"/>
          </w:tcPr>
          <w:p>
            <w:pPr>
              <w:spacing w:after="20"/>
            </w:pPr>
            <w:r/>
            <w:r>
              <w:rPr>
                <w:rFonts w:ascii="Aptos" w:hAnsi="Aptos"/>
                <w:b w:val="0"/>
                <w:color w:val="334155"/>
                <w:sz w:val="14"/>
              </w:rPr>
              <w:t>Create/load/validation scripts, star-schema diagram, table counts, relationship and unknown-member checks.</w:t>
            </w:r>
          </w:p>
        </w:tc>
        <w:tc>
          <w:tcPr>
            <w:tcW w:type="dxa" w:w="3331"/>
            <w:vAlign w:val="center"/>
            <w:shd w:fill="F1F5F9"/>
          </w:tcPr>
          <w:p>
            <w:pPr>
              <w:spacing w:after="20"/>
            </w:pPr>
            <w:r/>
            <w:r>
              <w:rPr>
                <w:rFonts w:ascii="Aptos" w:hAnsi="Aptos"/>
                <w:b w:val="0"/>
                <w:color w:val="334155"/>
                <w:sz w:val="14"/>
              </w:rPr>
              <w:t>Model, loading logic, and validation.</w:t>
            </w:r>
          </w:p>
        </w:tc>
      </w:tr>
      <w:tr>
        <w:tc>
          <w:tcPr>
            <w:tcW w:type="dxa" w:w="3331"/>
            <w:vAlign w:val="center"/>
          </w:tcPr>
          <w:p>
            <w:pPr>
              <w:spacing w:after="20"/>
            </w:pPr>
            <w:r/>
            <w:r>
              <w:rPr>
                <w:rFonts w:ascii="Aptos" w:hAnsi="Aptos"/>
                <w:b w:val="0"/>
                <w:color w:val="334155"/>
                <w:sz w:val="14"/>
              </w:rPr>
              <w:t>Business analysis</w:t>
            </w:r>
          </w:p>
        </w:tc>
        <w:tc>
          <w:tcPr>
            <w:tcW w:type="dxa" w:w="3331"/>
            <w:vAlign w:val="center"/>
          </w:tcPr>
          <w:p>
            <w:pPr>
              <w:spacing w:after="20"/>
            </w:pPr>
            <w:r/>
            <w:r>
              <w:rPr>
                <w:rFonts w:ascii="Aptos" w:hAnsi="Aptos"/>
                <w:b w:val="0"/>
                <w:color w:val="334155"/>
                <w:sz w:val="14"/>
              </w:rPr>
              <w:t>Q1–Q15 document, representative query outputs, SQL scripts, definitions and caveats.</w:t>
            </w:r>
          </w:p>
        </w:tc>
        <w:tc>
          <w:tcPr>
            <w:tcW w:type="dxa" w:w="3331"/>
            <w:vAlign w:val="center"/>
          </w:tcPr>
          <w:p>
            <w:pPr>
              <w:spacing w:after="20"/>
            </w:pPr>
            <w:r/>
            <w:r>
              <w:rPr>
                <w:rFonts w:ascii="Aptos" w:hAnsi="Aptos"/>
                <w:b w:val="0"/>
                <w:color w:val="334155"/>
                <w:sz w:val="14"/>
              </w:rPr>
              <w:t>Traceability from question to evidence.</w:t>
            </w:r>
          </w:p>
        </w:tc>
      </w:tr>
      <w:tr>
        <w:tc>
          <w:tcPr>
            <w:tcW w:type="dxa" w:w="3331"/>
            <w:vAlign w:val="center"/>
            <w:shd w:fill="F1F5F9"/>
          </w:tcPr>
          <w:p>
            <w:pPr>
              <w:spacing w:after="20"/>
            </w:pPr>
            <w:r/>
            <w:r>
              <w:rPr>
                <w:rFonts w:ascii="Aptos" w:hAnsi="Aptos"/>
                <w:b w:val="0"/>
                <w:color w:val="334155"/>
                <w:sz w:val="14"/>
              </w:rPr>
              <w:t>Airflow</w:t>
            </w:r>
          </w:p>
        </w:tc>
        <w:tc>
          <w:tcPr>
            <w:tcW w:type="dxa" w:w="3331"/>
            <w:vAlign w:val="center"/>
            <w:shd w:fill="F1F5F9"/>
          </w:tcPr>
          <w:p>
            <w:pPr>
              <w:spacing w:after="20"/>
            </w:pPr>
            <w:r/>
            <w:r>
              <w:rPr>
                <w:rFonts w:ascii="Aptos" w:hAnsi="Aptos"/>
                <w:b w:val="0"/>
                <w:color w:val="334155"/>
                <w:sz w:val="14"/>
              </w:rPr>
              <w:t>DAG graph, successful seven-task run, DAG source, requirements, sanitized connection instructions.</w:t>
            </w:r>
          </w:p>
        </w:tc>
        <w:tc>
          <w:tcPr>
            <w:tcW w:type="dxa" w:w="3331"/>
            <w:vAlign w:val="center"/>
            <w:shd w:fill="F1F5F9"/>
          </w:tcPr>
          <w:p>
            <w:pPr>
              <w:spacing w:after="20"/>
            </w:pPr>
            <w:r/>
            <w:r>
              <w:rPr>
                <w:rFonts w:ascii="Aptos" w:hAnsi="Aptos"/>
                <w:b w:val="0"/>
                <w:color w:val="334155"/>
                <w:sz w:val="14"/>
              </w:rPr>
              <w:t>Local orchestration setup and observed execution.</w:t>
            </w:r>
          </w:p>
        </w:tc>
      </w:tr>
      <w:tr>
        <w:tc>
          <w:tcPr>
            <w:tcW w:type="dxa" w:w="3331"/>
            <w:vAlign w:val="center"/>
          </w:tcPr>
          <w:p>
            <w:pPr>
              <w:spacing w:after="20"/>
            </w:pPr>
            <w:r/>
            <w:r>
              <w:rPr>
                <w:rFonts w:ascii="Aptos" w:hAnsi="Aptos"/>
                <w:b w:val="0"/>
                <w:color w:val="334155"/>
                <w:sz w:val="14"/>
              </w:rPr>
              <w:t>Power BI</w:t>
            </w:r>
          </w:p>
        </w:tc>
        <w:tc>
          <w:tcPr>
            <w:tcW w:type="dxa" w:w="3331"/>
            <w:vAlign w:val="center"/>
          </w:tcPr>
          <w:p>
            <w:pPr>
              <w:spacing w:after="20"/>
            </w:pPr>
            <w:r/>
            <w:r>
              <w:rPr>
                <w:rFonts w:ascii="Aptos" w:hAnsi="Aptos"/>
                <w:b w:val="0"/>
                <w:color w:val="334155"/>
                <w:sz w:val="14"/>
              </w:rPr>
              <w:t>Model relationship screenshot, exact DAX inventory, dashboard screenshot only if completed.</w:t>
            </w:r>
          </w:p>
        </w:tc>
        <w:tc>
          <w:tcPr>
            <w:tcW w:type="dxa" w:w="3331"/>
            <w:vAlign w:val="center"/>
          </w:tcPr>
          <w:p>
            <w:pPr>
              <w:spacing w:after="20"/>
            </w:pPr>
            <w:r/>
            <w:r>
              <w:rPr>
                <w:rFonts w:ascii="Aptos" w:hAnsi="Aptos"/>
                <w:b w:val="0"/>
                <w:color w:val="334155"/>
                <w:sz w:val="14"/>
              </w:rPr>
              <w:t>Semantic model and metric definitions without overclaiming completion.</w:t>
            </w:r>
          </w:p>
        </w:tc>
      </w:tr>
      <w:tr>
        <w:tc>
          <w:tcPr>
            <w:tcW w:type="dxa" w:w="3331"/>
            <w:vAlign w:val="center"/>
            <w:shd w:fill="F1F5F9"/>
          </w:tcPr>
          <w:p>
            <w:pPr>
              <w:spacing w:after="20"/>
            </w:pPr>
            <w:r/>
            <w:r>
              <w:rPr>
                <w:rFonts w:ascii="Aptos" w:hAnsi="Aptos"/>
                <w:b w:val="0"/>
                <w:color w:val="334155"/>
                <w:sz w:val="14"/>
              </w:rPr>
              <w:t>Repository</w:t>
            </w:r>
          </w:p>
        </w:tc>
        <w:tc>
          <w:tcPr>
            <w:tcW w:type="dxa" w:w="3331"/>
            <w:vAlign w:val="center"/>
            <w:shd w:fill="F1F5F9"/>
          </w:tcPr>
          <w:p>
            <w:pPr>
              <w:spacing w:after="20"/>
            </w:pPr>
            <w:r/>
            <w:r>
              <w:rPr>
                <w:rFonts w:ascii="Aptos" w:hAnsi="Aptos"/>
                <w:b w:val="0"/>
                <w:color w:val="334155"/>
                <w:sz w:val="14"/>
              </w:rPr>
              <w:t>README, setup/run instructions, folder map, limitations, safe dependency/data notes.</w:t>
            </w:r>
          </w:p>
        </w:tc>
        <w:tc>
          <w:tcPr>
            <w:tcW w:type="dxa" w:w="3331"/>
            <w:vAlign w:val="center"/>
            <w:shd w:fill="F1F5F9"/>
          </w:tcPr>
          <w:p>
            <w:pPr>
              <w:spacing w:after="20"/>
            </w:pPr>
            <w:r/>
            <w:r>
              <w:rPr>
                <w:rFonts w:ascii="Aptos" w:hAnsi="Aptos"/>
                <w:b w:val="0"/>
                <w:color w:val="334155"/>
                <w:sz w:val="14"/>
              </w:rPr>
              <w:t>A reviewer can understand and inspect the project.</w:t>
            </w:r>
          </w:p>
        </w:tc>
      </w:tr>
    </w:tbl>
    <w:p>
      <w:pPr>
        <w:spacing w:after="20"/>
      </w:pPr>
    </w:p>
    <w:p>
      <w:pPr>
        <w:pStyle w:val="Heading1"/>
        <w:keepNext/>
      </w:pPr>
      <w:r>
        <w:t>11. Final status statement</w:t>
      </w:r>
    </w:p>
    <w:p>
      <w:r>
        <w:t>The project demonstrates a broad analytics workflow: data profiling and cleaning, SQL Server dimensional modelling, business-question analysis, local Airflow orchestration, and initial Power BI semantic modelling. Strong evidence includes the cleaning and validation reports, populated warehouse tables, star-schema relationships, query outputs, and a successful seven-task Airflow run.</w:t>
      </w:r>
    </w:p>
    <w:p>
      <w:r>
        <w:t>The main constraints are incomplete raw-to-clean reproducibility, unresolved or quarantined source references, a shipping-fee reconciliation difference, unreliable delivery-date coverage, and an Airflow DAG that validates much of the existing state rather than rebuilding the entire pipeline. The dashboard and DAX inventory should be described according to their actual completion status.</w:t>
      </w:r>
    </w:p>
    <w:p>
      <w:r>
        <w:t>These limitations do not erase the work completed. Recording them accurately demonstrates critical evaluation of the results and a clear understanding of the next engineering steps.</w:t>
      </w:r>
    </w:p>
    <w:p/>
    <w:tbl>
      <w:tblPr>
        <w:tblW w:type="auto" w:w="0"/>
        <w:tblLook w:firstColumn="1" w:firstRow="1" w:lastColumn="0" w:lastRow="0" w:noHBand="0" w:noVBand="1" w:val="04A0"/>
      </w:tblPr>
      <w:tblGrid>
        <w:gridCol w:w="9994"/>
      </w:tblGrid>
      <w:tr>
        <w:tc>
          <w:tcPr>
            <w:tcW w:type="dxa" w:w="9994"/>
            <w:shd w:fill="E6F4F1"/>
          </w:tcPr>
          <w:p>
            <w:pPr>
              <w:spacing w:before="100" w:after="100"/>
            </w:pPr>
            <w:r/>
            <w:r>
              <w:rPr>
                <w:b/>
                <w:color w:val="0F766E"/>
                <w:sz w:val="18"/>
              </w:rPr>
              <w:t xml:space="preserve">SUBMISSION PRINCIPLE  </w:t>
            </w:r>
            <w:r>
              <w:rPr>
                <w:color w:val="1F2937"/>
                <w:sz w:val="18"/>
              </w:rPr>
              <w:t>Show the evidence, state the metric definition, disclose the limitation, and never claim a pipeline stage or dashboard feature that has not been verified.</w:t>
            </w:r>
          </w:p>
        </w:tc>
      </w:tr>
    </w:tbl>
    <w:sectPr w:rsidR="00FC693F" w:rsidRPr="0006063C" w:rsidSect="00034616">
      <w:headerReference w:type="default" r:id="rId9"/>
      <w:footerReference w:type="default" r:id="rId10"/>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748B"/>
        <w:sz w:val="16"/>
      </w:rPr>
      <w:t xml:space="preserve">Challenges, Learnings &amp; Limitations  •  Project documentation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b/>
        <w:color w:val="64748B"/>
        <w:sz w:val="16"/>
      </w:rPr>
      <w:t>CODECONNECT’26  |  NEXUSMART DATA ANALYTICS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4" w:lineRule="auto"/>
    </w:pPr>
    <w:rPr>
      <w:rFonts w:ascii="Aptos" w:hAnsi="Aptos"/>
      <w:color w:val="2A3441"/>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72554"/>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w:hAnsi="Aptos"/>
      <w:b/>
      <w:bCs/>
      <w:color w:val="0F766E"/>
      <w:sz w:val="24"/>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w:hAnsi="Aptos"/>
      <w:b/>
      <w:bCs/>
      <w:color w:val="334155"/>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Aptos Display" w:hAnsi="Aptos Display"/>
      <w:b/>
      <w:color w:val="172554"/>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