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60" w:after="20"/>
        <w:rPr/>
      </w:pPr>
      <w:r>
        <w:t>DAX Measures</w:t>
      </w:r>
    </w:p>
    <w:p w:rsidR="00000000" w:rsidDel="00000000" w:rsidP="00000000" w:rsidRDefault="00000000" w:rsidRPr="00000000" w14:paraId="00000002">
      <w:pPr>
        <w:pStyle w:val="Subtitle"/>
        <w:spacing w:after="140"/>
        <w:rPr/>
      </w:pPr>
      <w:r>
        <w:rPr>
          <w:rFonts w:ascii="Aptos" w:hAnsi="Aptos"/>
          <w:b/>
          <w:color w:val="475569"/>
          <w:sz w:val="24"/>
        </w:rPr>
        <w:t>NexusMart Data Analytics | CodeConnect’26</w:t>
      </w:r>
    </w:p>
    <w:p>
      <w:pPr>
        <w:spacing w:after="120"/>
      </w:pPr>
      <w:r>
        <w:rPr>
          <w:b/>
          <w:color w:val="0F766E"/>
        </w:rPr>
        <w:t xml:space="preserve">Implementation status. </w:t>
      </w:r>
      <w:r>
        <w:t>A complete dashboard could not be finished within the available time. Instead, work began on the Power BI semantic model and core DAX measures aligned with the metric definitions in the project brief. The screenshots below are preserved as captured implementation evidence.</w:t>
      </w:r>
    </w:p>
    <w:p>
      <w:pPr>
        <w:spacing w:after="120"/>
      </w:pPr>
      <w:r>
        <w:rPr>
          <w:b/>
          <w:color w:val="0F766E"/>
        </w:rPr>
        <w:t xml:space="preserve">Validation note. </w:t>
      </w:r>
      <w:r>
        <w:t>The formulas shown document the measures created during development; they should not automatically be treated as fully validated final metrics. Filter logic, denominator choices, rejected-return handling, and reconciliation against SQL totals should be checked before use in a finished report.</w:t>
      </w:r>
    </w:p>
    <w:p>
      <w:pPr>
        <w:pStyle w:val="Heading1"/>
        <w:keepNext/>
      </w:pPr>
      <w:r>
        <w:t>Metric definitions and DAX implementation evidence</w:t>
      </w:r>
    </w:p>
    <w:p w:rsidR="00000000" w:rsidDel="00000000" w:rsidP="00000000" w:rsidRDefault="00000000" w:rsidRPr="00000000" w14:paraId="00000003">
      <w:pPr>
        <w:keepLines/>
        <w:spacing w:after="100"/>
        <w:rPr/>
      </w:pPr>
      <w:r w:rsidDel="00000000" w:rsidR="00000000" w:rsidRPr="00000000">
        <w:rPr/>
        <w:drawing>
          <wp:inline distB="114300" distT="114300" distL="114300" distR="114300">
            <wp:extent cx="5591175" cy="4029075"/>
            <wp:effectExtent b="0" l="0" r="0" t="0"/>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591175"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spacing w:before="160" w:after="60"/>
        <w:rPr/>
      </w:pPr>
      <w:r w:rsidDel="00000000" w:rsidR="00000000" w:rsidRPr="00000000">
        <w:rPr>
          <w:rtl w:val="0"/>
        </w:rPr>
        <w:t xml:space="preserve">Active customers </w:t>
      </w:r>
    </w:p>
    <w:p w:rsidR="00000000" w:rsidDel="00000000" w:rsidP="00000000" w:rsidRDefault="00000000" w:rsidRPr="00000000" w14:paraId="00000006">
      <w:pPr>
        <w:keepLines/>
        <w:spacing w:after="100"/>
        <w:rPr/>
      </w:pPr>
      <w:r w:rsidDel="00000000" w:rsidR="00000000" w:rsidRPr="00000000">
        <w:rPr/>
        <w:drawing>
          <wp:inline distB="114300" distT="114300" distL="114300" distR="114300">
            <wp:extent cx="5248275" cy="1762125"/>
            <wp:effectExtent b="0" l="0" r="0" t="0"/>
            <wp:docPr id="1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2482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spacing w:before="160" w:after="60"/>
        <w:rPr/>
      </w:pPr>
      <w:r w:rsidDel="00000000" w:rsidR="00000000" w:rsidRPr="00000000">
        <w:rPr>
          <w:rtl w:val="0"/>
        </w:rPr>
        <w:t xml:space="preserve">Cancellation Rate</w:t>
      </w:r>
    </w:p>
    <w:p w:rsidR="00000000" w:rsidDel="00000000" w:rsidP="00000000" w:rsidRDefault="00000000" w:rsidRPr="00000000" w14:paraId="00000009">
      <w:pPr>
        <w:keepLines/>
        <w:spacing w:after="100"/>
        <w:rPr/>
      </w:pPr>
      <w:r w:rsidDel="00000000" w:rsidR="00000000" w:rsidRPr="00000000">
        <w:rPr/>
        <w:drawing>
          <wp:inline distB="114300" distT="114300" distL="114300" distR="114300">
            <wp:extent cx="5448300" cy="1400175"/>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4483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keepNext/>
        <w:spacing w:before="160" w:after="60"/>
        <w:rPr/>
      </w:pPr>
      <w:r w:rsidDel="00000000" w:rsidR="00000000" w:rsidRPr="00000000">
        <w:rPr>
          <w:rtl w:val="0"/>
        </w:rPr>
        <w:t xml:space="preserve">Cancelled Orders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Lines/>
        <w:spacing w:after="100"/>
        <w:rPr/>
      </w:pPr>
      <w:r w:rsidDel="00000000" w:rsidR="00000000" w:rsidRPr="00000000">
        <w:rPr/>
        <w:drawing>
          <wp:inline distB="114300" distT="114300" distL="114300" distR="114300">
            <wp:extent cx="4162425" cy="11430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624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keepNext/>
        <w:spacing w:before="160" w:after="60"/>
        <w:rPr/>
      </w:pPr>
      <w:r w:rsidDel="00000000" w:rsidR="00000000" w:rsidRPr="00000000">
        <w:rPr>
          <w:rtl w:val="0"/>
        </w:rPr>
        <w:t xml:space="preserve">COGS</w:t>
      </w:r>
    </w:p>
    <w:p w:rsidR="00000000" w:rsidDel="00000000" w:rsidP="00000000" w:rsidRDefault="00000000" w:rsidRPr="00000000" w14:paraId="0000000E">
      <w:pPr>
        <w:keepLines/>
        <w:spacing w:after="100"/>
        <w:rPr/>
      </w:pPr>
      <w:r w:rsidDel="00000000" w:rsidR="00000000" w:rsidRPr="00000000">
        <w:rPr/>
        <w:drawing>
          <wp:inline distB="114300" distT="114300" distL="114300" distR="114300">
            <wp:extent cx="4057650" cy="1543050"/>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0576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spacing w:before="160" w:after="60"/>
        <w:rPr/>
      </w:pPr>
      <w:r w:rsidDel="00000000" w:rsidR="00000000" w:rsidRPr="00000000">
        <w:rPr>
          <w:rtl w:val="0"/>
        </w:rPr>
        <w:t xml:space="preserve">Delivered Lines</w:t>
      </w:r>
    </w:p>
    <w:p w:rsidR="00000000" w:rsidDel="00000000" w:rsidP="00000000" w:rsidRDefault="00000000" w:rsidRPr="00000000" w14:paraId="00000011">
      <w:pPr>
        <w:keepLines/>
        <w:spacing w:after="100"/>
        <w:rPr/>
      </w:pPr>
      <w:r w:rsidDel="00000000" w:rsidR="00000000" w:rsidRPr="00000000">
        <w:rPr/>
        <w:drawing>
          <wp:inline distB="114300" distT="114300" distL="114300" distR="114300">
            <wp:extent cx="4905375" cy="1343025"/>
            <wp:effectExtent b="0" l="0" r="0" t="0"/>
            <wp:docPr id="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9053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spacing w:before="160" w:after="60"/>
        <w:rPr/>
      </w:pPr>
      <w:r w:rsidDel="00000000" w:rsidR="00000000" w:rsidRPr="00000000">
        <w:rPr>
          <w:rtl w:val="0"/>
        </w:rPr>
        <w:t xml:space="preserve">Gross Sales</w:t>
      </w:r>
    </w:p>
    <w:p w:rsidR="00000000" w:rsidDel="00000000" w:rsidP="00000000" w:rsidRDefault="00000000" w:rsidRPr="00000000" w14:paraId="00000014">
      <w:pPr>
        <w:keepLines/>
        <w:spacing w:after="100"/>
        <w:rPr/>
      </w:pPr>
      <w:r w:rsidDel="00000000" w:rsidR="00000000" w:rsidRPr="00000000">
        <w:rPr/>
        <w:drawing>
          <wp:inline distB="114300" distT="114300" distL="114300" distR="114300">
            <wp:extent cx="4448175" cy="14478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4481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spacing w:before="160" w:after="60"/>
        <w:rPr/>
      </w:pPr>
      <w:r w:rsidDel="00000000" w:rsidR="00000000" w:rsidRPr="00000000">
        <w:rPr>
          <w:rtl w:val="0"/>
        </w:rPr>
        <w:t xml:space="preserve">Margin Amount</w:t>
      </w:r>
    </w:p>
    <w:p w:rsidR="00000000" w:rsidDel="00000000" w:rsidP="00000000" w:rsidRDefault="00000000" w:rsidRPr="00000000" w14:paraId="00000017">
      <w:pPr>
        <w:keepLines/>
        <w:spacing w:after="100"/>
        <w:rPr/>
      </w:pPr>
      <w:r w:rsidDel="00000000" w:rsidR="00000000" w:rsidRPr="00000000">
        <w:rPr/>
        <w:drawing>
          <wp:inline distB="114300" distT="114300" distL="114300" distR="114300">
            <wp:extent cx="3019425" cy="685800"/>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0194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spacing w:before="160" w:after="60"/>
        <w:rPr/>
      </w:pPr>
      <w:r w:rsidDel="00000000" w:rsidR="00000000" w:rsidRPr="00000000">
        <w:rPr>
          <w:rtl w:val="0"/>
        </w:rPr>
        <w:t xml:space="preserve">Net Revenue</w:t>
      </w:r>
    </w:p>
    <w:p w:rsidR="00000000" w:rsidDel="00000000" w:rsidP="00000000" w:rsidRDefault="00000000" w:rsidRPr="00000000" w14:paraId="0000001A">
      <w:pPr>
        <w:keepLines/>
        <w:spacing w:after="100"/>
        <w:rPr/>
      </w:pPr>
      <w:r w:rsidDel="00000000" w:rsidR="00000000" w:rsidRPr="00000000">
        <w:rPr/>
        <w:drawing>
          <wp:inline distB="114300" distT="114300" distL="114300" distR="114300">
            <wp:extent cx="3067050" cy="542925"/>
            <wp:effectExtent b="0" l="0" r="0" t="0"/>
            <wp:docPr id="1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670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spacing w:before="160" w:after="60"/>
        <w:rPr/>
      </w:pPr>
      <w:r w:rsidDel="00000000" w:rsidR="00000000" w:rsidRPr="00000000">
        <w:rPr>
          <w:rtl w:val="0"/>
        </w:rPr>
        <w:t xml:space="preserve">Orders</w:t>
      </w:r>
    </w:p>
    <w:p w:rsidR="00000000" w:rsidDel="00000000" w:rsidP="00000000" w:rsidRDefault="00000000" w:rsidRPr="00000000" w14:paraId="0000001D">
      <w:pPr>
        <w:keepLines/>
        <w:spacing w:after="100"/>
        <w:rPr/>
      </w:pPr>
      <w:r w:rsidDel="00000000" w:rsidR="00000000" w:rsidRPr="00000000">
        <w:rPr/>
        <w:drawing>
          <wp:inline distB="114300" distT="114300" distL="114300" distR="114300">
            <wp:extent cx="4400550" cy="1114425"/>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4005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spacing w:before="160" w:after="60"/>
        <w:rPr/>
      </w:pPr>
      <w:r w:rsidDel="00000000" w:rsidR="00000000" w:rsidRPr="00000000">
        <w:rPr>
          <w:rtl w:val="0"/>
        </w:rPr>
        <w:t xml:space="preserve">Return Date</w:t>
      </w:r>
    </w:p>
    <w:p w:rsidR="00000000" w:rsidDel="00000000" w:rsidP="00000000" w:rsidRDefault="00000000" w:rsidRPr="00000000" w14:paraId="00000020">
      <w:pPr>
        <w:keepLines/>
        <w:spacing w:after="100"/>
        <w:rPr/>
      </w:pPr>
      <w:r w:rsidDel="00000000" w:rsidR="00000000" w:rsidRPr="00000000">
        <w:rPr/>
        <w:drawing>
          <wp:inline distB="114300" distT="114300" distL="114300" distR="114300">
            <wp:extent cx="4724400" cy="581025"/>
            <wp:effectExtent b="0" l="0" r="0" t="0"/>
            <wp:docPr id="1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7244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spacing w:before="160" w:after="60"/>
        <w:rPr/>
      </w:pPr>
      <w:r w:rsidDel="00000000" w:rsidR="00000000" w:rsidRPr="00000000">
        <w:rPr>
          <w:rtl w:val="0"/>
        </w:rPr>
        <w:t xml:space="preserve">Returned Line</w:t>
      </w:r>
    </w:p>
    <w:p w:rsidR="00000000" w:rsidDel="00000000" w:rsidP="00000000" w:rsidRDefault="00000000" w:rsidRPr="00000000" w14:paraId="00000023">
      <w:pPr>
        <w:keepLines/>
        <w:spacing w:after="100"/>
        <w:rPr/>
      </w:pPr>
      <w:r w:rsidDel="00000000" w:rsidR="00000000" w:rsidRPr="00000000">
        <w:rPr/>
        <w:drawing>
          <wp:inline distB="114300" distT="114300" distL="114300" distR="114300">
            <wp:extent cx="4400550" cy="1352550"/>
            <wp:effectExtent b="0" l="0" r="0" t="0"/>
            <wp:docPr id="1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4005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spacing w:before="160" w:after="60"/>
        <w:rPr/>
      </w:pPr>
      <w:r w:rsidDel="00000000" w:rsidR="00000000" w:rsidRPr="00000000">
        <w:rPr>
          <w:rtl w:val="0"/>
        </w:rPr>
        <w:t xml:space="preserve">Total discount</w:t>
      </w:r>
    </w:p>
    <w:p w:rsidR="00000000" w:rsidDel="00000000" w:rsidP="00000000" w:rsidRDefault="00000000" w:rsidRPr="00000000" w14:paraId="00000026">
      <w:pPr>
        <w:keepLines/>
        <w:spacing w:after="100"/>
        <w:rPr/>
      </w:pPr>
      <w:r w:rsidDel="00000000" w:rsidR="00000000" w:rsidRPr="00000000">
        <w:rPr/>
        <w:drawing>
          <wp:inline distB="114300" distT="114300" distL="114300" distR="114300">
            <wp:extent cx="3695700" cy="533400"/>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6957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spacing w:before="160" w:after="60"/>
        <w:rPr/>
      </w:pPr>
      <w:r w:rsidDel="00000000" w:rsidR="00000000" w:rsidRPr="00000000">
        <w:rPr>
          <w:rtl w:val="0"/>
        </w:rPr>
        <w:t xml:space="preserve">NMV</w:t>
      </w:r>
    </w:p>
    <w:p w:rsidR="00000000" w:rsidDel="00000000" w:rsidP="00000000" w:rsidRDefault="00000000" w:rsidRPr="00000000" w14:paraId="00000029">
      <w:pPr>
        <w:keepLines/>
        <w:spacing w:after="100"/>
        <w:rPr/>
      </w:pPr>
      <w:r w:rsidDel="00000000" w:rsidR="00000000" w:rsidRPr="00000000">
        <w:rPr/>
        <w:drawing>
          <wp:inline distB="114300" distT="114300" distL="114300" distR="114300">
            <wp:extent cx="4152900" cy="1257300"/>
            <wp:effectExtent b="0" l="0" r="0" t="0"/>
            <wp:docPr id="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1529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spacing w:before="160" w:after="60"/>
        <w:rPr/>
      </w:pPr>
      <w:r w:rsidDel="00000000" w:rsidR="00000000" w:rsidRPr="00000000">
        <w:rPr>
          <w:rtl w:val="0"/>
        </w:rPr>
        <w:t xml:space="preserve">Units Sold</w:t>
      </w:r>
    </w:p>
    <w:p w:rsidR="00000000" w:rsidDel="00000000" w:rsidP="00000000" w:rsidRDefault="00000000" w:rsidRPr="00000000" w14:paraId="0000002C">
      <w:pPr>
        <w:keepLines/>
        <w:spacing w:after="100"/>
        <w:rPr/>
      </w:pPr>
      <w:r w:rsidDel="00000000" w:rsidR="00000000" w:rsidRPr="00000000">
        <w:rPr/>
        <w:drawing>
          <wp:inline distB="114300" distT="114300" distL="114300" distR="114300">
            <wp:extent cx="4010025" cy="1200150"/>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0100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spacing w:before="160" w:after="60"/>
        <w:rPr/>
      </w:pPr>
      <w:r w:rsidDel="00000000" w:rsidR="00000000" w:rsidRPr="00000000">
        <w:rPr>
          <w:rtl w:val="0"/>
        </w:rPr>
        <w:t xml:space="preserve">Valid Refunds</w:t>
      </w:r>
    </w:p>
    <w:p w:rsidR="00000000" w:rsidDel="00000000" w:rsidP="00000000" w:rsidRDefault="00000000" w:rsidRPr="00000000" w14:paraId="0000002F">
      <w:pPr>
        <w:keepLines/>
        <w:spacing w:after="100"/>
        <w:rPr/>
      </w:pPr>
      <w:r w:rsidDel="00000000" w:rsidR="00000000" w:rsidRPr="00000000">
        <w:rPr/>
        <w:drawing>
          <wp:inline distB="114300" distT="114300" distL="114300" distR="114300">
            <wp:extent cx="3400425" cy="590550"/>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400425" cy="590550"/>
                    </a:xfrm>
                    <a:prstGeom prst="rect"/>
                    <a:ln/>
                  </pic:spPr>
                </pic:pic>
              </a:graphicData>
            </a:graphic>
          </wp:inline>
        </w:drawing>
      </w:r>
      <w:r w:rsidDel="00000000" w:rsidR="00000000" w:rsidRPr="00000000">
        <w:rPr>
          <w:rtl w:val="0"/>
        </w:rPr>
      </w:r>
    </w:p>
    <w:p>
      <w:pPr>
        <w:pStyle w:val="Heading1"/>
        <w:keepNext/>
      </w:pPr>
      <w:r>
        <w:t>Next validation steps</w:t>
      </w:r>
    </w:p>
    <w:p>
      <w:pPr>
        <w:spacing w:after="60"/>
        <w:ind w:left="317" w:hanging="259"/>
      </w:pPr>
      <w:r>
        <w:t>•  Reconcile NMV, net revenue, refunds, COGS, and margin against SQL warehouse totals.</w:t>
      </w:r>
    </w:p>
    <w:p>
      <w:pPr>
        <w:spacing w:after="60"/>
        <w:ind w:left="317" w:hanging="259"/>
      </w:pPr>
      <w:r>
        <w:t>•  Confirm return rate uses valid-return lines divided by delivered lines, as required.</w:t>
      </w:r>
    </w:p>
    <w:p>
      <w:pPr>
        <w:spacing w:after="60"/>
        <w:ind w:left="317" w:hanging="259"/>
      </w:pPr>
      <w:r>
        <w:t>•  Validate cancellation rate using distinct cancelled orders divided by all orders after duplicate removal.</w:t>
      </w:r>
    </w:p>
    <w:p>
      <w:pPr>
        <w:spacing w:after="60"/>
        <w:ind w:left="317" w:hanging="259"/>
      </w:pPr>
      <w:r>
        <w:t>•  Confirm valid refunds exclude rejected returns where required, and review unknown dimension members.</w:t>
      </w:r>
    </w:p>
    <w:p>
      <w:pPr>
        <w:spacing w:after="60"/>
        <w:ind w:left="317" w:hanging="259"/>
      </w:pPr>
      <w:r>
        <w:t>•  Use measures in report visuals only after their definitions and totals have been checked.</w:t>
      </w:r>
    </w:p>
    <w:sectPr>
      <w:headerReference w:type="default" r:id="rId22"/>
      <w:footerReference w:type="default" r:id="rId23"/>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DAX MEASURES  •  IMPLEMENTATION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CODECONNECT’26  |  NEXUSMART DATA ANALYTICS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Aptos" w:hAnsi="Aptos"/>
      <w:color w:val="2A3441"/>
      <w:sz w:val="20"/>
    </w:rPr>
  </w:style>
  <w:style w:type="paragraph" w:styleId="Heading1">
    <w:name w:val="heading 1"/>
    <w:basedOn w:val="Normal"/>
    <w:next w:val="Normal"/>
    <w:pPr>
      <w:keepNext w:val="1"/>
      <w:keepLines w:val="1"/>
      <w:pageBreakBefore w:val="0"/>
      <w:spacing w:after="100" w:before="200" w:lineRule="auto"/>
    </w:pPr>
    <w:rPr>
      <w:rFonts w:ascii="Aptos Display" w:hAnsi="Aptos Display"/>
      <w:b/>
      <w:color w:val="172554"/>
      <w:sz w:val="34"/>
      <w:szCs w:val="40"/>
    </w:rPr>
  </w:style>
  <w:style w:type="paragraph" w:styleId="Heading2">
    <w:name w:val="heading 2"/>
    <w:basedOn w:val="Normal"/>
    <w:next w:val="Normal"/>
    <w:pPr>
      <w:keepNext w:val="1"/>
      <w:keepLines w:val="1"/>
      <w:pageBreakBefore w:val="0"/>
      <w:spacing w:after="100" w:before="200" w:lineRule="auto"/>
    </w:pPr>
    <w:rPr>
      <w:rFonts w:ascii="Aptos" w:hAnsi="Aptos"/>
      <w:b/>
      <w:bCs w:val="0"/>
      <w:color w:val="0F766E"/>
      <w:sz w:val="24"/>
      <w:szCs w:val="32"/>
    </w:rPr>
  </w:style>
  <w:style w:type="paragraph" w:styleId="Heading3">
    <w:name w:val="heading 3"/>
    <w:basedOn w:val="Normal"/>
    <w:next w:val="Normal"/>
    <w:pPr>
      <w:keepNext w:val="1"/>
      <w:keepLines w:val="1"/>
      <w:pageBreakBefore w:val="0"/>
      <w:spacing w:after="100" w:before="200" w:lineRule="auto"/>
    </w:pPr>
    <w:rPr>
      <w:rFonts w:ascii="Aptos" w:hAnsi="Aptos"/>
      <w:b/>
      <w:bCs w:val="0"/>
      <w:color w:val="334155"/>
      <w:sz w:val="20"/>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100" w:before="200" w:lineRule="auto"/>
    </w:pPr>
    <w:rPr>
      <w:rFonts w:ascii="Aptos Display" w:hAnsi="Aptos Display"/>
      <w:b/>
      <w:color w:val="172554"/>
      <w:sz w:val="50"/>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6.png"/><Relationship Id="rId10" Type="http://schemas.openxmlformats.org/officeDocument/2006/relationships/image" Target="media/image12.png"/><Relationship Id="rId21"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0.png"/><Relationship Id="rId18"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13.png"/><Relationship Id="rId22" Type="http://schemas.openxmlformats.org/officeDocument/2006/relationships/header" Target="header1.xm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