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sz w:val="44"/>
        </w:rPr>
        <w:t>WEEK 2 INTERNSHIP REPORT</w:t>
      </w:r>
    </w:p>
    <w:p>
      <w:pPr>
        <w:jc w:val="center"/>
      </w:pPr>
      <w:r>
        <w:rPr>
          <w:b/>
          <w:sz w:val="36"/>
        </w:rPr>
        <w:t>Data Collection, Cleaning, and Preprocessing</w:t>
        <w:br/>
        <w:t>for Logistics Analysis</w:t>
      </w:r>
    </w:p>
    <w:p>
      <w:pPr>
        <w:spacing w:before="560"/>
        <w:jc w:val="center"/>
      </w:pPr>
      <w:r>
        <w:rPr>
          <w:b/>
          <w:sz w:val="24"/>
        </w:rPr>
        <w:t>Project: Data-Driven Delivery Time Prediction and Logistics Optimization</w:t>
      </w:r>
    </w:p>
    <w:p>
      <w:pPr>
        <w:spacing w:before="900"/>
        <w:jc w:val="center"/>
      </w:pPr>
      <w:r>
        <w:rPr>
          <w:b/>
        </w:rPr>
        <w:t>Submitted by</w:t>
        <w:br/>
      </w:r>
      <w:r>
        <w:t>Aakaash N</w:t>
        <w:br/>
        <w:t>SRM University</w:t>
        <w:br/>
        <w:t>02 September 2026</w:t>
      </w:r>
    </w:p>
    <w:p>
      <w:r>
        <w:br w:type="page"/>
      </w:r>
    </w:p>
    <w:p>
      <w:pPr>
        <w:pStyle w:val="Heading1"/>
      </w:pPr>
      <w:r>
        <w:t>Table of Contents</w:t>
      </w:r>
    </w:p>
    <w:p>
      <w:r>
        <w:t>1. Introduction</w:t>
      </w:r>
    </w:p>
    <w:p>
      <w:r>
        <w:t>2. Objective</w:t>
      </w:r>
    </w:p>
    <w:p>
      <w:r>
        <w:t>3. Data Collection Simulation</w:t>
      </w:r>
    </w:p>
    <w:p>
      <w:r>
        <w:t>4. Dataset Characteristics</w:t>
      </w:r>
    </w:p>
    <w:p>
      <w:r>
        <w:t>5. Data Quality Assessment</w:t>
      </w:r>
    </w:p>
    <w:p>
      <w:r>
        <w:t>6. Missing Value Analysis</w:t>
      </w:r>
    </w:p>
    <w:p>
      <w:r>
        <w:t>7. Duplicate Record Analysis</w:t>
      </w:r>
    </w:p>
    <w:p>
      <w:r>
        <w:t>8. Data Type Correction</w:t>
      </w:r>
    </w:p>
    <w:p>
      <w:r>
        <w:t>9. Outlier Detection and Treatment</w:t>
      </w:r>
    </w:p>
    <w:p>
      <w:r>
        <w:t>10. Normalization and Scaling</w:t>
      </w:r>
    </w:p>
    <w:p>
      <w:r>
        <w:t>11. Final Validation</w:t>
      </w:r>
    </w:p>
    <w:p>
      <w:r>
        <w:t>12. Python Code Documentation</w:t>
      </w:r>
    </w:p>
    <w:p>
      <w:r>
        <w:t>13. Before-and-After Summary</w:t>
      </w:r>
    </w:p>
    <w:p>
      <w:r>
        <w:t>14. Reflection</w:t>
      </w:r>
    </w:p>
    <w:p>
      <w:r>
        <w:t>15. Conclusion</w:t>
      </w:r>
    </w:p>
    <w:p>
      <w:r>
        <w:t>16. References</w:t>
      </w:r>
    </w:p>
    <w:p>
      <w:r>
        <w:br w:type="page"/>
      </w:r>
    </w:p>
    <w:p>
      <w:pPr>
        <w:pStyle w:val="Heading1"/>
      </w:pPr>
      <w:r>
        <w:t>1. Introduction</w:t>
      </w:r>
    </w:p>
    <w:p>
      <w:r>
        <w:t>Data preprocessing is a critical stage in logistics analytics and machine learning. Operational data can contain missing observations, duplicate records, unsuitable data types, extreme values, and variables measured on different scales. If these issues are not investigated before analysis, statistics and predictive models may produce misleading results. In logistics, this can affect delivery-time estimation, delay analysis, cost evaluation, resource planning, and service-level decisions.</w:t>
      </w:r>
    </w:p>
    <w:p>
      <w:r>
        <w:t>For Week 2, a public synthetic logistics dataset was used to simulate a real-world data collection and preprocessing workflow. Python, Pandas, NumPy, and Scikit-learn were used to inspect the data, assess quality, correct data types, detect and treat extreme observations, normalize selected numerical variables, validate the result, and create a cleaned dataset for later project stages.</w:t>
      </w:r>
    </w:p>
    <w:p>
      <w:pPr>
        <w:pStyle w:val="Heading1"/>
      </w:pPr>
      <w:r>
        <w:t>2. Objective</w:t>
      </w:r>
    </w:p>
    <w:p>
      <w:pPr>
        <w:pStyle w:val="ListBullet"/>
      </w:pPr>
      <w:r>
        <w:t>Simulate logistics data collection using a publicly available dataset.</w:t>
      </w:r>
    </w:p>
    <w:p>
      <w:pPr>
        <w:pStyle w:val="ListBullet"/>
      </w:pPr>
      <w:r>
        <w:t>Inspect the structure, size, and data types of the collected data.</w:t>
      </w:r>
    </w:p>
    <w:p>
      <w:pPr>
        <w:pStyle w:val="ListBullet"/>
      </w:pPr>
      <w:r>
        <w:t>Identify missing values and duplicate records.</w:t>
      </w:r>
    </w:p>
    <w:p>
      <w:pPr>
        <w:pStyle w:val="ListBullet"/>
      </w:pPr>
      <w:r>
        <w:t>Correct inappropriate data types, particularly the delivery-time fields.</w:t>
      </w:r>
    </w:p>
    <w:p>
      <w:pPr>
        <w:pStyle w:val="ListBullet"/>
      </w:pPr>
      <w:r>
        <w:t>Detect extreme numerical observations using the Interquartile Range (IQR) method.</w:t>
      </w:r>
    </w:p>
    <w:p>
      <w:pPr>
        <w:pStyle w:val="ListBullet"/>
      </w:pPr>
      <w:r>
        <w:t>Treat selected extreme values using IQR-based capping while preserving records.</w:t>
      </w:r>
    </w:p>
    <w:p>
      <w:pPr>
        <w:pStyle w:val="ListBullet"/>
      </w:pPr>
      <w:r>
        <w:t>Normalize selected numerical features using Min-Max scaling.</w:t>
      </w:r>
    </w:p>
    <w:p>
      <w:pPr>
        <w:pStyle w:val="ListBullet"/>
      </w:pPr>
      <w:r>
        <w:t>Validate and save the cleaned dataset for subsequent analysis.</w:t>
      </w:r>
    </w:p>
    <w:p>
      <w:pPr>
        <w:pStyle w:val="Heading1"/>
      </w:pPr>
      <w:r>
        <w:t>3. Data Collection Simulation</w:t>
      </w:r>
    </w:p>
    <w:p>
      <w:r>
        <w:t>The reference dataset is the Kaggle “Delivery Logistics Dataset (India – Multi-Partner)” by Kundan Sagar Bedmutha. It is a synthetically generated public logistics dataset containing 25,000 delivery records and variables covering delivery partners, package characteristics, vehicle types, delivery modes, regions, weather, distance, package weight, actual and expected delivery time, delay, delivery status, rating, and cost.</w:t>
      </w:r>
    </w:p>
    <w:p>
      <w:r>
        <w:t>For this internship task, the dataset is treated as a simulated historical logistics data source. This allows the preprocessing pipeline to be demonstrated without claiming access to confidential or proprietary company data.</w:t>
      </w:r>
    </w:p>
    <w:p>
      <w:pPr>
        <w:pStyle w:val="Heading1"/>
      </w:pPr>
      <w:r>
        <w:t>4. Dataset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Characteristic</w:t>
            </w:r>
          </w:p>
        </w:tc>
        <w:tc>
          <w:tcPr>
            <w:tcW w:type="dxa" w:w="3312"/>
            <w:vAlign w:val="center"/>
            <w:shd w:fill="D9EAF7"/>
          </w:tcPr>
          <w:p>
            <w:r/>
            <w:r>
              <w:rPr>
                <w:b/>
                <w:sz w:val="18"/>
              </w:rPr>
              <w:t>Value</w:t>
            </w:r>
          </w:p>
        </w:tc>
        <w:tc>
          <w:tcPr>
            <w:tcW w:type="dxa" w:w="3312"/>
            <w:vAlign w:val="center"/>
            <w:shd w:fill="D9EAF7"/>
          </w:tcPr>
          <w:p>
            <w:r/>
            <w:r>
              <w:rPr>
                <w:b/>
                <w:sz w:val="18"/>
              </w:rPr>
              <w:t>Observation</w:t>
            </w:r>
          </w:p>
        </w:tc>
      </w:tr>
      <w:tr>
        <w:tc>
          <w:tcPr>
            <w:tcW w:type="dxa" w:w="3312"/>
            <w:vAlign w:val="center"/>
          </w:tcPr>
          <w:p>
            <w:r/>
            <w:r>
              <w:rPr>
                <w:b w:val="0"/>
                <w:sz w:val="18"/>
              </w:rPr>
              <w:t>Records</w:t>
            </w:r>
          </w:p>
        </w:tc>
        <w:tc>
          <w:tcPr>
            <w:tcW w:type="dxa" w:w="3312"/>
            <w:vAlign w:val="center"/>
          </w:tcPr>
          <w:p>
            <w:r/>
            <w:r>
              <w:rPr>
                <w:b w:val="0"/>
                <w:sz w:val="18"/>
              </w:rPr>
              <w:t>25,000</w:t>
            </w:r>
          </w:p>
        </w:tc>
        <w:tc>
          <w:tcPr>
            <w:tcW w:type="dxa" w:w="3312"/>
            <w:vAlign w:val="center"/>
          </w:tcPr>
          <w:p>
            <w:r/>
            <w:r>
              <w:rPr>
                <w:b w:val="0"/>
                <w:sz w:val="18"/>
              </w:rPr>
              <w:t>Delivery observations</w:t>
            </w:r>
          </w:p>
        </w:tc>
      </w:tr>
      <w:tr>
        <w:tc>
          <w:tcPr>
            <w:tcW w:type="dxa" w:w="3312"/>
            <w:vAlign w:val="center"/>
          </w:tcPr>
          <w:p>
            <w:r/>
            <w:r>
              <w:rPr>
                <w:b w:val="0"/>
                <w:sz w:val="18"/>
              </w:rPr>
              <w:t>Variables</w:t>
            </w:r>
          </w:p>
        </w:tc>
        <w:tc>
          <w:tcPr>
            <w:tcW w:type="dxa" w:w="3312"/>
            <w:vAlign w:val="center"/>
          </w:tcPr>
          <w:p>
            <w:r/>
            <w:r>
              <w:rPr>
                <w:b w:val="0"/>
                <w:sz w:val="18"/>
              </w:rPr>
              <w:t>15</w:t>
            </w:r>
          </w:p>
        </w:tc>
        <w:tc>
          <w:tcPr>
            <w:tcW w:type="dxa" w:w="3312"/>
            <w:vAlign w:val="center"/>
          </w:tcPr>
          <w:p>
            <w:r/>
            <w:r>
              <w:rPr>
                <w:b w:val="0"/>
                <w:sz w:val="18"/>
              </w:rPr>
              <w:t>Mixed numerical and categorical fields</w:t>
            </w:r>
          </w:p>
        </w:tc>
      </w:tr>
      <w:tr>
        <w:tc>
          <w:tcPr>
            <w:tcW w:type="dxa" w:w="3312"/>
            <w:vAlign w:val="center"/>
          </w:tcPr>
          <w:p>
            <w:r/>
            <w:r>
              <w:rPr>
                <w:b w:val="0"/>
                <w:sz w:val="18"/>
              </w:rPr>
              <w:t>Missing values</w:t>
            </w:r>
          </w:p>
        </w:tc>
        <w:tc>
          <w:tcPr>
            <w:tcW w:type="dxa" w:w="3312"/>
            <w:vAlign w:val="center"/>
          </w:tcPr>
          <w:p>
            <w:r/>
            <w:r>
              <w:rPr>
                <w:b w:val="0"/>
                <w:sz w:val="18"/>
              </w:rPr>
              <w:t>0</w:t>
            </w:r>
          </w:p>
        </w:tc>
        <w:tc>
          <w:tcPr>
            <w:tcW w:type="dxa" w:w="3312"/>
            <w:vAlign w:val="center"/>
          </w:tcPr>
          <w:p>
            <w:r/>
            <w:r>
              <w:rPr>
                <w:b w:val="0"/>
                <w:sz w:val="18"/>
              </w:rPr>
              <w:t>No null values detected</w:t>
            </w:r>
          </w:p>
        </w:tc>
      </w:tr>
      <w:tr>
        <w:tc>
          <w:tcPr>
            <w:tcW w:type="dxa" w:w="3312"/>
            <w:vAlign w:val="center"/>
          </w:tcPr>
          <w:p>
            <w:r/>
            <w:r>
              <w:rPr>
                <w:b w:val="0"/>
                <w:sz w:val="18"/>
              </w:rPr>
              <w:t>Duplicate rows</w:t>
            </w:r>
          </w:p>
        </w:tc>
        <w:tc>
          <w:tcPr>
            <w:tcW w:type="dxa" w:w="3312"/>
            <w:vAlign w:val="center"/>
          </w:tcPr>
          <w:p>
            <w:r/>
            <w:r>
              <w:rPr>
                <w:b w:val="0"/>
                <w:sz w:val="18"/>
              </w:rPr>
              <w:t>0</w:t>
            </w:r>
          </w:p>
        </w:tc>
        <w:tc>
          <w:tcPr>
            <w:tcW w:type="dxa" w:w="3312"/>
            <w:vAlign w:val="center"/>
          </w:tcPr>
          <w:p>
            <w:r/>
            <w:r>
              <w:rPr>
                <w:b w:val="0"/>
                <w:sz w:val="18"/>
              </w:rPr>
              <w:t>No complete duplicate records</w:t>
            </w:r>
          </w:p>
        </w:tc>
      </w:tr>
      <w:tr>
        <w:tc>
          <w:tcPr>
            <w:tcW w:type="dxa" w:w="3312"/>
            <w:vAlign w:val="center"/>
          </w:tcPr>
          <w:p>
            <w:r/>
            <w:r>
              <w:rPr>
                <w:b w:val="0"/>
                <w:sz w:val="18"/>
              </w:rPr>
              <w:t>Initial time-field type</w:t>
            </w:r>
          </w:p>
        </w:tc>
        <w:tc>
          <w:tcPr>
            <w:tcW w:type="dxa" w:w="3312"/>
            <w:vAlign w:val="center"/>
          </w:tcPr>
          <w:p>
            <w:r/>
            <w:r>
              <w:rPr>
                <w:b w:val="0"/>
                <w:sz w:val="18"/>
              </w:rPr>
              <w:t>object</w:t>
            </w:r>
          </w:p>
        </w:tc>
        <w:tc>
          <w:tcPr>
            <w:tcW w:type="dxa" w:w="3312"/>
            <w:vAlign w:val="center"/>
          </w:tcPr>
          <w:p>
            <w:r/>
            <w:r>
              <w:rPr>
                <w:b w:val="0"/>
                <w:sz w:val="18"/>
              </w:rPr>
              <w:t>Required conversion</w:t>
            </w:r>
          </w:p>
        </w:tc>
      </w:tr>
      <w:tr>
        <w:tc>
          <w:tcPr>
            <w:tcW w:type="dxa" w:w="3312"/>
            <w:vAlign w:val="center"/>
          </w:tcPr>
          <w:p>
            <w:r/>
            <w:r>
              <w:rPr>
                <w:b w:val="0"/>
                <w:sz w:val="18"/>
              </w:rPr>
              <w:t>Final time-field type</w:t>
            </w:r>
          </w:p>
        </w:tc>
        <w:tc>
          <w:tcPr>
            <w:tcW w:type="dxa" w:w="3312"/>
            <w:vAlign w:val="center"/>
          </w:tcPr>
          <w:p>
            <w:r/>
            <w:r>
              <w:rPr>
                <w:b w:val="0"/>
                <w:sz w:val="18"/>
              </w:rPr>
              <w:t>float64</w:t>
            </w:r>
          </w:p>
        </w:tc>
        <w:tc>
          <w:tcPr>
            <w:tcW w:type="dxa" w:w="3312"/>
            <w:vAlign w:val="center"/>
          </w:tcPr>
          <w:p>
            <w:r/>
            <w:r>
              <w:rPr>
                <w:b w:val="0"/>
                <w:sz w:val="18"/>
              </w:rPr>
              <w:t>Suitable for numerical analysis</w:t>
            </w:r>
          </w:p>
        </w:tc>
      </w:tr>
    </w:tbl>
    <w:p>
      <w:r>
        <w:t>Key numerical and categorical variables inspected during preprocessing:</w:t>
      </w:r>
    </w:p>
    <w:p>
      <w:pPr>
        <w:pStyle w:val="ListBullet"/>
      </w:pPr>
      <w:r>
        <w:t>Numerical: delivery_id, distance_km, package_weight_kg, delivery_time_hours, expected_time_hours, delivery_rating, delivery_cost.</w:t>
      </w:r>
    </w:p>
    <w:p>
      <w:pPr>
        <w:pStyle w:val="ListBullet"/>
      </w:pPr>
      <w:r>
        <w:t>Categorical: delivery_partner, package_type, vehicle_type, delivery_mode, region, weather_condition, delayed, delivery_status.</w:t>
      </w:r>
    </w:p>
    <w:p>
      <w:pPr>
        <w:pStyle w:val="Heading1"/>
      </w:pPr>
      <w:r>
        <w:t>5. Data Quality Assessment</w:t>
      </w:r>
    </w:p>
    <w:p>
      <w:r>
        <w:t>The dataset was first inspected using df.info(), missing-value checks, duplicate checks, and direct inspection of the delivery-time fields. Pandas reported 25,000 non-null values for every column. The duplicate check returned zero duplicate rows. The main issue identified was that delivery_time_hours and expected_time_hours were stored as object values and displayed in timestamp-like form, such as 1970-01-01 00:00:00.000000008. These fields needed to be represented numerically for later calculations and predictive modeling.</w:t>
      </w:r>
    </w:p>
    <w:p>
      <w:pPr>
        <w:pStyle w:val="Heading1"/>
      </w:pPr>
      <w:r>
        <w:t>6. Missing Value Analysis</w:t>
      </w:r>
    </w:p>
    <w:p>
      <w:r>
        <w:t>Missing values were checked using Pandas isnull().sum() and converted to percentages relative to the total number of records. Every column returned a missing-value count of zero and a missing-value percentage of 0.0%. Therefore, no imputation or deletion was required.</w:t>
      </w:r>
    </w:p>
    <w:p>
      <w:pPr>
        <w:spacing w:after="120"/>
        <w:ind w:left="288"/>
      </w:pPr>
      <w:r>
        <w:rPr>
          <w:rFonts w:ascii="Consolas" w:hAnsi="Consolas"/>
          <w:sz w:val="17"/>
        </w:rPr>
        <w:t>print(df.isnull().sum())</w:t>
        <w:br/>
        <w:t>print((df.isnull().sum() / len(df)) * 100)</w:t>
      </w:r>
    </w:p>
    <w:p>
      <w:r>
        <w:t>Not applying imputation is appropriate here because adding estimated values would be unnecessary when the source dataset already contains complete observations.</w:t>
      </w:r>
    </w:p>
    <w:p>
      <w:pPr>
        <w:pStyle w:val="Heading1"/>
      </w:pPr>
      <w:r>
        <w:t>7. Duplicate Record Analysis</w:t>
      </w:r>
    </w:p>
    <w:p>
      <w:r>
        <w:t>Complete duplicate rows were checked using duplicated().sum(). The result was zero duplicate rows, so no duplicate records were removed. This preserves the available 25,000 observations for subsequent analysis.</w:t>
      </w:r>
    </w:p>
    <w:p>
      <w:pPr>
        <w:spacing w:after="120"/>
        <w:ind w:left="288"/>
      </w:pPr>
      <w:r>
        <w:rPr>
          <w:rFonts w:ascii="Consolas" w:hAnsi="Consolas"/>
          <w:sz w:val="17"/>
        </w:rPr>
        <w:t>duplicate_count = df.duplicated().sum()</w:t>
        <w:br/>
        <w:t>print("Duplicate rows:", duplicate_count)</w:t>
      </w:r>
    </w:p>
    <w:p>
      <w:pPr>
        <w:pStyle w:val="Heading1"/>
      </w:pPr>
      <w:r>
        <w:t>8. Data Type Correction</w:t>
      </w:r>
    </w:p>
    <w:p>
      <w:r>
        <w:t>The initial inspection showed that delivery_time_hours and expected_time_hours were stored as object rather than numeric fields. Inspection of the values showed a consistent timestamp-like representation in which the meaningful hour value appeared at the end of the string. The trailing numerical component was extracted and converted to float.</w:t>
      </w:r>
    </w:p>
    <w:p>
      <w:pPr>
        <w:spacing w:after="120"/>
        <w:ind w:left="288"/>
      </w:pPr>
      <w:r>
        <w:rPr>
          <w:rFonts w:ascii="Consolas" w:hAnsi="Consolas"/>
          <w:sz w:val="17"/>
        </w:rPr>
        <w:t>df["delivery_time_hours"] = (</w:t>
        <w:br/>
        <w:t xml:space="preserve">    df["delivery_time_hours"].astype(str)</w:t>
        <w:br/>
        <w:t xml:space="preserve">    .str.extract(r'(\d+)$')[0].astype(float)</w:t>
        <w:br/>
        <w:t>)</w:t>
        <w:br/>
        <w:br/>
        <w:t>df["expected_time_hours"] = (</w:t>
        <w:br/>
        <w:t xml:space="preserve">    df["expected_time_hours"].astype(str)</w:t>
        <w:br/>
        <w:t xml:space="preserve">    .str.extract(r'(\d+)$')[0].astype(float)</w:t>
        <w:br/>
        <w:t>)</w:t>
        <w:br/>
        <w:br/>
        <w:t>print(df[["delivery_time_hours", "expected_time_hours"]].dtypes)</w:t>
      </w:r>
    </w:p>
    <w:p>
      <w:r>
        <w:t>After conversion, both fields were represented as float64, making them suitable for arithmetic operations, statistical analysis, visualization, and later predictive modeling.</w:t>
      </w:r>
    </w:p>
    <w:p>
      <w:pPr>
        <w:pStyle w:val="Heading1"/>
      </w:pPr>
      <w:r>
        <w:t>9. Outlier Detection and Treatment</w:t>
      </w:r>
    </w:p>
    <w:p>
      <w:r>
        <w:t>Extreme numerical observations were investigated using the Interquartile Range (IQR) method. The IQR is calculated as Q3 − Q1, where Q1 and Q3 are the first and third quartiles. Values below Q1 − 1.5×IQR or above Q3 + 1.5×IQR are flagged for investigation.</w:t>
      </w:r>
    </w:p>
    <w:p>
      <w:pPr>
        <w:spacing w:after="120"/>
        <w:ind w:left="288"/>
      </w:pPr>
      <w:r>
        <w:rPr>
          <w:rFonts w:ascii="Consolas" w:hAnsi="Consolas"/>
          <w:sz w:val="17"/>
        </w:rPr>
        <w:t>numeric_columns = [</w:t>
        <w:br/>
        <w:t xml:space="preserve">    "distance_km", "package_weight_kg",</w:t>
        <w:br/>
        <w:t xml:space="preserve">    "delivery_time_hours", "expected_time_hours",</w:t>
        <w:br/>
        <w:t xml:space="preserve">    "delivery_rating", "delivery_cost"</w:t>
        <w:br/>
        <w:t>]</w:t>
        <w:br/>
        <w:br/>
        <w:t>for column in numeric_columns:</w:t>
        <w:br/>
        <w:t xml:space="preserve">    Q1 = df[column].quantile(0.25)</w:t>
        <w:br/>
        <w:t xml:space="preserve">    Q3 = df[column].quantile(0.75)</w:t>
        <w:br/>
        <w:t xml:space="preserve">    IQR = Q3 - Q1</w:t>
        <w:br/>
        <w:t xml:space="preserve">    lower_bound = Q1 - 1.5 * IQR</w:t>
        <w:br/>
        <w:t xml:space="preserve">    upper_bound = Q3 + 1.5 * IQR</w:t>
        <w:br/>
        <w:br/>
        <w:t xml:space="preserve">    outliers = df[</w:t>
        <w:br/>
        <w:t xml:space="preserve">        (df[column] &lt; lower_bound) |</w:t>
        <w:br/>
        <w:t xml:space="preserve">        (df[column] &gt; upper_bound)</w:t>
        <w:br/>
        <w:t xml:space="preserve">    ]</w:t>
        <w:br/>
        <w:t xml:space="preserve">    print(column, len(outliers))</w:t>
      </w:r>
    </w:p>
    <w:p>
      <w:r>
        <w:t>The main continuous operational variables were treated with IQR-based capping. Capping was selected instead of automatically deleting every statistical outlier because unusually long deliveries, high package weights, or high costs can be legitimate logistics situations.</w:t>
      </w:r>
    </w:p>
    <w:p>
      <w:pPr>
        <w:spacing w:after="120"/>
        <w:ind w:left="288"/>
      </w:pPr>
      <w:r>
        <w:rPr>
          <w:rFonts w:ascii="Consolas" w:hAnsi="Consolas"/>
          <w:sz w:val="17"/>
        </w:rPr>
        <w:t>for column in [</w:t>
        <w:br/>
        <w:t xml:space="preserve">    "distance_km", "package_weight_kg",</w:t>
        <w:br/>
        <w:t xml:space="preserve">    "delivery_time_hours", "expected_time_hours",</w:t>
        <w:br/>
        <w:t xml:space="preserve">    "delivery_cost"</w:t>
        <w:br/>
        <w:t>]:</w:t>
        <w:br/>
        <w:t xml:space="preserve">    Q1 = df[column].quantile(0.25)</w:t>
        <w:br/>
        <w:t xml:space="preserve">    Q3 = df[column].quantile(0.75)</w:t>
        <w:br/>
        <w:t xml:space="preserve">    IQR = Q3 - Q1</w:t>
        <w:br/>
        <w:t xml:space="preserve">    lower = Q1 - 1.5 * IQR</w:t>
        <w:br/>
        <w:t xml:space="preserve">    upper = Q3 + 1.5 * IQR</w:t>
        <w:br/>
        <w:t xml:space="preserve">    df[column] = df[column].clip(lower=lower, upper=upper)</w:t>
      </w:r>
    </w:p>
    <w:p>
      <w:pPr>
        <w:pStyle w:val="Heading1"/>
      </w:pPr>
      <w:r>
        <w:t>10. Normalization and Scaling</w:t>
      </w:r>
    </w:p>
    <w:p>
      <w:r>
        <w:t>Min-Max normalization was applied to distance_km, package_weight_kg, and delivery_cost. These features can have different numerical ranges, and scaling them to a comparable range is useful for later machine-learning and distance-based methods such as clustering.</w:t>
      </w:r>
    </w:p>
    <w:p>
      <w:pPr>
        <w:spacing w:after="120"/>
        <w:ind w:left="288"/>
      </w:pPr>
      <w:r>
        <w:rPr>
          <w:rFonts w:ascii="Consolas" w:hAnsi="Consolas"/>
          <w:sz w:val="17"/>
        </w:rPr>
        <w:t>from sklearn.preprocessing import MinMaxScaler</w:t>
        <w:br/>
        <w:br/>
        <w:t>scaler = MinMaxScaler()</w:t>
        <w:br/>
        <w:t>scale_columns = [</w:t>
        <w:br/>
        <w:t xml:space="preserve">    "distance_km",</w:t>
        <w:br/>
        <w:t xml:space="preserve">    "package_weight_kg",</w:t>
        <w:br/>
        <w:t xml:space="preserve">    "delivery_cost"</w:t>
        <w:br/>
        <w:t>]</w:t>
        <w:br/>
        <w:br/>
        <w:t>df[scale_columns] = scaler.fit_transform(df[scale_columns])</w:t>
      </w:r>
    </w:p>
    <w:p>
      <w:r>
        <w:t>The delivery_time_hours field was not normalized because it is planned as the target variable for the Week 4 delivery-time prediction problem. delivery_rating was also retained on its original rating scale because the scale has direct operational meaning.</w:t>
      </w:r>
    </w:p>
    <w:p>
      <w:pPr>
        <w:pStyle w:val="Heading1"/>
      </w:pPr>
      <w:r>
        <w:t>11. Final Validation</w:t>
      </w:r>
    </w:p>
    <w:p>
      <w:r>
        <w:t>The processed dataset was validated after cleaning. The final checks confirmed zero missing values and zero duplicate rows. The two delivery-time fields were stored as float64, while selected numerical features were available in their processed form.</w:t>
      </w:r>
    </w:p>
    <w:p>
      <w:pPr>
        <w:spacing w:after="120"/>
        <w:ind w:left="288"/>
      </w:pPr>
      <w:r>
        <w:rPr>
          <w:rFonts w:ascii="Consolas" w:hAnsi="Consolas"/>
          <w:sz w:val="17"/>
        </w:rPr>
        <w:t>print("Final dataset shape:", df.shape)</w:t>
        <w:br/>
        <w:t>print("Missing values:")</w:t>
        <w:br/>
        <w:t>print(df.isnull().sum())</w:t>
        <w:br/>
        <w:t>print("Duplicate rows:", df.duplicated().sum())</w:t>
        <w:br/>
        <w:t>print("Data types:")</w:t>
        <w:br/>
        <w:t>print(df.dtypes)</w:t>
      </w:r>
    </w:p>
    <w:p>
      <w:pPr>
        <w:pStyle w:val="Heading1"/>
      </w:pPr>
      <w:r>
        <w:t>12. Python Code Documentation</w:t>
      </w:r>
    </w:p>
    <w:p>
      <w:r>
        <w:t>The workflow was implemented in Google Colab. The major stages—loading, inspection, missing-value assessment, duplicate checking, data-type correction, IQR treatment, normalization, validation, and saving—were performed using Python libraries.</w:t>
      </w:r>
    </w:p>
    <w:p>
      <w:pPr>
        <w:spacing w:after="120"/>
        <w:ind w:left="288"/>
      </w:pPr>
      <w:r>
        <w:rPr>
          <w:rFonts w:ascii="Consolas" w:hAnsi="Consolas"/>
          <w:sz w:val="17"/>
        </w:rPr>
        <w:t># Save the cleaned dataset</w:t>
        <w:br/>
        <w:t>df.to_csv("Delivery_Logistics_Cleaned.csv", index=False)</w:t>
        <w:br/>
        <w:t>print("Cleaned dataset saved successfully!")</w:t>
      </w:r>
    </w:p>
    <w:p>
      <w:r>
        <w:t>The resulting file, Delivery_Logistics_Cleaned.csv, is used as the processed dataset for the next project stages.</w:t>
      </w:r>
    </w:p>
    <w:p>
      <w:pPr>
        <w:pStyle w:val="Heading1"/>
      </w:pPr>
      <w:r>
        <w:t>13. Before-and-After Data Quality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Quality Aspect</w:t>
            </w:r>
          </w:p>
        </w:tc>
        <w:tc>
          <w:tcPr>
            <w:tcW w:type="dxa" w:w="3312"/>
            <w:vAlign w:val="center"/>
            <w:shd w:fill="D9EAF7"/>
          </w:tcPr>
          <w:p>
            <w:r/>
            <w:r>
              <w:rPr>
                <w:b/>
                <w:sz w:val="18"/>
              </w:rPr>
              <w:t>Before</w:t>
            </w:r>
          </w:p>
        </w:tc>
        <w:tc>
          <w:tcPr>
            <w:tcW w:type="dxa" w:w="3312"/>
            <w:vAlign w:val="center"/>
            <w:shd w:fill="D9EAF7"/>
          </w:tcPr>
          <w:p>
            <w:r/>
            <w:r>
              <w:rPr>
                <w:b/>
                <w:sz w:val="18"/>
              </w:rPr>
              <w:t>After</w:t>
            </w:r>
          </w:p>
        </w:tc>
      </w:tr>
      <w:tr>
        <w:tc>
          <w:tcPr>
            <w:tcW w:type="dxa" w:w="3312"/>
            <w:vAlign w:val="center"/>
          </w:tcPr>
          <w:p>
            <w:r/>
            <w:r>
              <w:rPr>
                <w:b w:val="0"/>
                <w:sz w:val="18"/>
              </w:rPr>
              <w:t>Dataset size</w:t>
            </w:r>
          </w:p>
        </w:tc>
        <w:tc>
          <w:tcPr>
            <w:tcW w:type="dxa" w:w="3312"/>
            <w:vAlign w:val="center"/>
          </w:tcPr>
          <w:p>
            <w:r/>
            <w:r>
              <w:rPr>
                <w:b w:val="0"/>
                <w:sz w:val="18"/>
              </w:rPr>
              <w:t>25,000 × 15</w:t>
            </w:r>
          </w:p>
        </w:tc>
        <w:tc>
          <w:tcPr>
            <w:tcW w:type="dxa" w:w="3312"/>
            <w:vAlign w:val="center"/>
          </w:tcPr>
          <w:p>
            <w:r/>
            <w:r>
              <w:rPr>
                <w:b w:val="0"/>
                <w:sz w:val="18"/>
              </w:rPr>
              <w:t>25,000 × 15</w:t>
            </w:r>
          </w:p>
        </w:tc>
      </w:tr>
      <w:tr>
        <w:tc>
          <w:tcPr>
            <w:tcW w:type="dxa" w:w="3312"/>
            <w:vAlign w:val="center"/>
          </w:tcPr>
          <w:p>
            <w:r/>
            <w:r>
              <w:rPr>
                <w:b w:val="0"/>
                <w:sz w:val="18"/>
              </w:rPr>
              <w:t>Missing values</w:t>
            </w:r>
          </w:p>
        </w:tc>
        <w:tc>
          <w:tcPr>
            <w:tcW w:type="dxa" w:w="3312"/>
            <w:vAlign w:val="center"/>
          </w:tcPr>
          <w:p>
            <w:r/>
            <w:r>
              <w:rPr>
                <w:b w:val="0"/>
                <w:sz w:val="18"/>
              </w:rPr>
              <w:t>0</w:t>
            </w:r>
          </w:p>
        </w:tc>
        <w:tc>
          <w:tcPr>
            <w:tcW w:type="dxa" w:w="3312"/>
            <w:vAlign w:val="center"/>
          </w:tcPr>
          <w:p>
            <w:r/>
            <w:r>
              <w:rPr>
                <w:b w:val="0"/>
                <w:sz w:val="18"/>
              </w:rPr>
              <w:t>0</w:t>
            </w:r>
          </w:p>
        </w:tc>
      </w:tr>
      <w:tr>
        <w:tc>
          <w:tcPr>
            <w:tcW w:type="dxa" w:w="3312"/>
            <w:vAlign w:val="center"/>
          </w:tcPr>
          <w:p>
            <w:r/>
            <w:r>
              <w:rPr>
                <w:b w:val="0"/>
                <w:sz w:val="18"/>
              </w:rPr>
              <w:t>Duplicate rows</w:t>
            </w:r>
          </w:p>
        </w:tc>
        <w:tc>
          <w:tcPr>
            <w:tcW w:type="dxa" w:w="3312"/>
            <w:vAlign w:val="center"/>
          </w:tcPr>
          <w:p>
            <w:r/>
            <w:r>
              <w:rPr>
                <w:b w:val="0"/>
                <w:sz w:val="18"/>
              </w:rPr>
              <w:t>0</w:t>
            </w:r>
          </w:p>
        </w:tc>
        <w:tc>
          <w:tcPr>
            <w:tcW w:type="dxa" w:w="3312"/>
            <w:vAlign w:val="center"/>
          </w:tcPr>
          <w:p>
            <w:r/>
            <w:r>
              <w:rPr>
                <w:b w:val="0"/>
                <w:sz w:val="18"/>
              </w:rPr>
              <w:t>0</w:t>
            </w:r>
          </w:p>
        </w:tc>
      </w:tr>
      <w:tr>
        <w:tc>
          <w:tcPr>
            <w:tcW w:type="dxa" w:w="3312"/>
            <w:vAlign w:val="center"/>
          </w:tcPr>
          <w:p>
            <w:r/>
            <w:r>
              <w:rPr>
                <w:b w:val="0"/>
                <w:sz w:val="18"/>
              </w:rPr>
              <w:t>delivery_time_hours</w:t>
            </w:r>
          </w:p>
        </w:tc>
        <w:tc>
          <w:tcPr>
            <w:tcW w:type="dxa" w:w="3312"/>
            <w:vAlign w:val="center"/>
          </w:tcPr>
          <w:p>
            <w:r/>
            <w:r>
              <w:rPr>
                <w:b w:val="0"/>
                <w:sz w:val="18"/>
              </w:rPr>
              <w:t>object</w:t>
            </w:r>
          </w:p>
        </w:tc>
        <w:tc>
          <w:tcPr>
            <w:tcW w:type="dxa" w:w="3312"/>
            <w:vAlign w:val="center"/>
          </w:tcPr>
          <w:p>
            <w:r/>
            <w:r>
              <w:rPr>
                <w:b w:val="0"/>
                <w:sz w:val="18"/>
              </w:rPr>
              <w:t>float64</w:t>
            </w:r>
          </w:p>
        </w:tc>
      </w:tr>
      <w:tr>
        <w:tc>
          <w:tcPr>
            <w:tcW w:type="dxa" w:w="3312"/>
            <w:vAlign w:val="center"/>
          </w:tcPr>
          <w:p>
            <w:r/>
            <w:r>
              <w:rPr>
                <w:b w:val="0"/>
                <w:sz w:val="18"/>
              </w:rPr>
              <w:t>expected_time_hours</w:t>
            </w:r>
          </w:p>
        </w:tc>
        <w:tc>
          <w:tcPr>
            <w:tcW w:type="dxa" w:w="3312"/>
            <w:vAlign w:val="center"/>
          </w:tcPr>
          <w:p>
            <w:r/>
            <w:r>
              <w:rPr>
                <w:b w:val="0"/>
                <w:sz w:val="18"/>
              </w:rPr>
              <w:t>object</w:t>
            </w:r>
          </w:p>
        </w:tc>
        <w:tc>
          <w:tcPr>
            <w:tcW w:type="dxa" w:w="3312"/>
            <w:vAlign w:val="center"/>
          </w:tcPr>
          <w:p>
            <w:r/>
            <w:r>
              <w:rPr>
                <w:b w:val="0"/>
                <w:sz w:val="18"/>
              </w:rPr>
              <w:t>float64</w:t>
            </w:r>
          </w:p>
        </w:tc>
      </w:tr>
      <w:tr>
        <w:tc>
          <w:tcPr>
            <w:tcW w:type="dxa" w:w="3312"/>
            <w:vAlign w:val="center"/>
          </w:tcPr>
          <w:p>
            <w:r/>
            <w:r>
              <w:rPr>
                <w:b w:val="0"/>
                <w:sz w:val="18"/>
              </w:rPr>
              <w:t>Extreme continuous values</w:t>
            </w:r>
          </w:p>
        </w:tc>
        <w:tc>
          <w:tcPr>
            <w:tcW w:type="dxa" w:w="3312"/>
            <w:vAlign w:val="center"/>
          </w:tcPr>
          <w:p>
            <w:r/>
            <w:r>
              <w:rPr>
                <w:b w:val="0"/>
                <w:sz w:val="18"/>
              </w:rPr>
              <w:t>Investigated with IQR</w:t>
            </w:r>
          </w:p>
        </w:tc>
        <w:tc>
          <w:tcPr>
            <w:tcW w:type="dxa" w:w="3312"/>
            <w:vAlign w:val="center"/>
          </w:tcPr>
          <w:p>
            <w:r/>
            <w:r>
              <w:rPr>
                <w:b w:val="0"/>
                <w:sz w:val="18"/>
              </w:rPr>
              <w:t>IQR-based capping</w:t>
            </w:r>
          </w:p>
        </w:tc>
      </w:tr>
      <w:tr>
        <w:tc>
          <w:tcPr>
            <w:tcW w:type="dxa" w:w="3312"/>
            <w:vAlign w:val="center"/>
          </w:tcPr>
          <w:p>
            <w:r/>
            <w:r>
              <w:rPr>
                <w:b w:val="0"/>
                <w:sz w:val="18"/>
              </w:rPr>
              <w:t>Selected numerical features</w:t>
            </w:r>
          </w:p>
        </w:tc>
        <w:tc>
          <w:tcPr>
            <w:tcW w:type="dxa" w:w="3312"/>
            <w:vAlign w:val="center"/>
          </w:tcPr>
          <w:p>
            <w:r/>
            <w:r>
              <w:rPr>
                <w:b w:val="0"/>
                <w:sz w:val="18"/>
              </w:rPr>
              <w:t>Different ranges</w:t>
            </w:r>
          </w:p>
        </w:tc>
        <w:tc>
          <w:tcPr>
            <w:tcW w:type="dxa" w:w="3312"/>
            <w:vAlign w:val="center"/>
          </w:tcPr>
          <w:p>
            <w:r/>
            <w:r>
              <w:rPr>
                <w:b w:val="0"/>
                <w:sz w:val="18"/>
              </w:rPr>
              <w:t>Min-Max normalized</w:t>
            </w:r>
          </w:p>
        </w:tc>
      </w:tr>
    </w:tbl>
    <w:p>
      <w:pPr>
        <w:pStyle w:val="Heading1"/>
      </w:pPr>
      <w:r>
        <w:t>14. Reflection</w:t>
      </w:r>
    </w:p>
    <w:p>
      <w:r>
        <w:t>This task demonstrated that data quality is directly connected to the reliability of logistics decisions. A field stored as text cannot be reliably used in numerical calculations or regression. Extreme observations also require business-aware investigation: a long-distance delivery may be unusual statistically but still valid operationally.</w:t>
      </w:r>
    </w:p>
    <w:p>
      <w:r>
        <w:t>The preprocessing process therefore combined statistical techniques with the meaning of the logistics variables. Missing values and duplicates were checked rather than assumed. IQR was used to identify extreme values, and capping was selected to reduce the influence of extremes without discarding delivery records. Min-Max normalization placed selected numerical predictors on a comparable scale. The resulting dataset provides a stronger foundation for Week 3 exploratory analysis and Week 4 predictive modeling and optimization.</w:t>
      </w:r>
    </w:p>
    <w:p>
      <w:pPr>
        <w:pStyle w:val="Heading1"/>
      </w:pPr>
      <w:r>
        <w:t>15. Conclusion</w:t>
      </w:r>
    </w:p>
    <w:p>
      <w:r>
        <w:t>Week 2 completed the data collection simulation, cleaning, and preprocessing stage of the logistics project. The 25,000-row, 15-column dataset contained no missing values and no duplicate rows. The timestamp-like delivery-time fields were corrected from object to float64, extreme continuous observations were treated using IQR-based capping, and selected numerical features were normalized using Min-Max scaling.</w:t>
      </w:r>
    </w:p>
    <w:p>
      <w:r>
        <w:t>The final validation confirmed a consistent dataset suitable for further analysis. The processed file was saved as Delivery_Logistics_Cleaned.csv. This work establishes the data-quality foundation required for the Week 3 visualization and exploratory analysis stage and the Week 4 prediction and optimization stage.</w:t>
      </w:r>
    </w:p>
    <w:p>
      <w:pPr>
        <w:pStyle w:val="Heading1"/>
      </w:pPr>
      <w:r>
        <w:t>16. References</w:t>
      </w:r>
    </w:p>
    <w:p>
      <w:r>
        <w:t>Kaggle. Delivery Logistics Dataset (India – Multi-Partner), by Kundan Sagar Bedmutha. Public synthetic logistics dataset used for the internship exercise.</w:t>
      </w:r>
    </w:p>
    <w:p>
      <w:r>
        <w:t>https://www.kaggle.com/datasets/kundanbedmutha/delivery-logistics-dataset-india-multi-partner</w:t>
      </w:r>
    </w:p>
    <w:p>
      <w:r>
        <w:t>Pandas Documentation: https://pandas.pydata.org/docs/</w:t>
      </w:r>
    </w:p>
    <w:p>
      <w:r>
        <w:t>Scikit-learn Documentation: https://scikit-learn.org/stable/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Logistics Data Preprocessing | Aakaash 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