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GC practical 03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Name :- Aakanksha Balode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Roll.No. :- 03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Pip : percent identity plot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985" w:dyaOrig="6593">
          <v:rect xmlns:o="urn:schemas-microsoft-com:office:office" xmlns:v="urn:schemas-microsoft-com:vml" id="rectole0000000000" style="width:449.250000pt;height:329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Icons along the top of the box have the following meanings.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White pointed boxes are L1 repeats.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Light gray triangles are SINEs other than MIR.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Black triangles are MIRs.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Black pointed boxes are LINE2s.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Dark gray triangles and pointed boxes are other kinds of interspersed repeats, such as LTR elements and DNA transposons.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Short dark gray boxes are CpG islands where the ratio CpG/GpC exceeds 0.75.</w:t>
      </w:r>
    </w:p>
    <w:p>
      <w:pPr>
        <w:numPr>
          <w:ilvl w:val="0"/>
          <w:numId w:val="2"/>
        </w:numPr>
        <w:spacing w:before="0" w:after="2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Short white boxes are CpG islands where the ratio CpG/GpC lies between 0.6 and 0.75.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8985" w:dyaOrig="5402">
          <v:rect xmlns:o="urn:schemas-microsoft-com:office:office" xmlns:v="urn:schemas-microsoft-com:vml" id="rectole0000000001" style="width:449.250000pt;height:270.1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Consize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5587" w:dyaOrig="9230">
          <v:rect xmlns:o="urn:schemas-microsoft-com:office:office" xmlns:v="urn:schemas-microsoft-com:vml" id="rectole0000000002" style="width:279.350000pt;height:461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  (A compressed form of the alignments. This information is useful for precisely identifying sequence positions corresponding to conserved regions indicated in the pip. There is a one-to-one correspondence between lines in this file and the small horizontal line segments in the pip (each of which corresponds to the region between successive gaps in a local alignment). For instance, suppose that after studying the pip at the top of this page, you become interested in the three blips around position 3k.)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Parameters: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4752" w:dyaOrig="4147">
          <v:rect xmlns:o="urn:schemas-microsoft-com:office:office" xmlns:v="urn:schemas-microsoft-com:vml" id="rectole0000000003" style="width:237.600000pt;height:207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object w:dxaOrig="9172" w:dyaOrig="1267">
          <v:rect xmlns:o="urn:schemas-microsoft-com:office:office" xmlns:v="urn:schemas-microsoft-com:vml" id="rectole0000000004" style="width:458.600000pt;height:63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