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INTERNSHIP REPORT</w:t>
        <w:br/>
      </w:r>
      <w:r>
        <w:rPr>
          <w:b/>
          <w:sz w:val="28"/>
        </w:rPr>
        <w:t>Data Collection, Cleaning and Preprocessing for Logistics Analysis</w:t>
      </w:r>
    </w:p>
    <w:p>
      <w:pPr>
        <w:jc w:val="center"/>
      </w:pPr>
      <w:r>
        <w:rPr>
          <w:i/>
        </w:rPr>
        <w:t>Dataset: Delivery_Logistics(4).csv</w:t>
      </w:r>
    </w:p>
    <w:p>
      <w:pPr>
        <w:pStyle w:val="Heading1"/>
      </w:pPr>
      <w:r>
        <w:t>1. Introduction</w:t>
      </w:r>
    </w:p>
    <w:p>
      <w:r>
        <w:t>This report documents a reproducible logistics data-preprocessing workflow using the actual uploaded Delivery_Logistics(4).csv file. The raw file was preserved and was not overwritten. Python, Pandas, NumPy and Scikit-learn were used for inspection, correction, validation and normalization.</w:t>
      </w:r>
    </w:p>
    <w:p>
      <w:pPr>
        <w:pStyle w:val="Heading1"/>
      </w:pPr>
      <w:r>
        <w:t>2. Objectives</w:t>
      </w:r>
    </w:p>
    <w:p>
      <w:pPr>
        <w:pStyle w:val="ListBullet"/>
      </w:pPr>
      <w:r>
        <w:t>Understand the structure and business meaning of the logistics dataset.</w:t>
      </w:r>
    </w:p>
    <w:p>
      <w:pPr>
        <w:pStyle w:val="ListBullet"/>
      </w:pPr>
      <w:r>
        <w:t>Audit missing values, duplicates, IDs, data types, invalid values, categorical consistency, outliers and logical relationships.</w:t>
      </w:r>
    </w:p>
    <w:p>
      <w:pPr>
        <w:pStyle w:val="ListBullet"/>
      </w:pPr>
      <w:r>
        <w:t>Correct confirmed source-data problems without blindly deleting observations.</w:t>
      </w:r>
    </w:p>
    <w:p>
      <w:pPr>
        <w:pStyle w:val="ListBullet"/>
      </w:pPr>
      <w:r>
        <w:t>Create a clean business-unit dataset and a separate normalized analytical dataset.</w:t>
      </w:r>
    </w:p>
    <w:p>
      <w:pPr>
        <w:pStyle w:val="ListBullet"/>
      </w:pPr>
      <w:r>
        <w:t>Document decisions in a professional internship-ready format.</w:t>
      </w:r>
    </w:p>
    <w:p>
      <w:pPr>
        <w:pStyle w:val="Heading1"/>
      </w:pPr>
      <w:r>
        <w:t>3. Dataset Description</w:t>
      </w:r>
    </w:p>
    <w:p>
      <w:r>
        <w:t>The dataset contains 25,000 records and 15 fields. It represents delivery operations including delivery partner, package type, vehicle, delivery mode, region, weather, distance, weight, actual and expected delivery time, delay flag, delivery status, rating and delivery cost.</w:t>
      </w:r>
    </w:p>
    <w:tbl>
      <w:tblPr>
        <w:tblW w:type="auto" w:w="0"/>
        <w:jc w:val="center"/>
        <w:tblLook w:firstColumn="1" w:firstRow="1" w:lastColumn="0" w:lastRow="0" w:noHBand="0" w:noVBand="1" w:val="04A0"/>
      </w:tblPr>
      <w:tblGrid>
        <w:gridCol w:w="2880"/>
        <w:gridCol w:w="2880"/>
        <w:gridCol w:w="2880"/>
      </w:tblGrid>
      <w:tr>
        <w:tc>
          <w:tcPr>
            <w:tcW w:type="dxa" w:w="2880"/>
          </w:tcPr>
          <w:p>
            <w:r>
              <w:t>Column</w:t>
            </w:r>
          </w:p>
        </w:tc>
        <w:tc>
          <w:tcPr>
            <w:tcW w:type="dxa" w:w="2880"/>
          </w:tcPr>
          <w:p>
            <w:r>
              <w:t>Raw Type</w:t>
            </w:r>
          </w:p>
        </w:tc>
        <w:tc>
          <w:tcPr>
            <w:tcW w:type="dxa" w:w="2880"/>
          </w:tcPr>
          <w:p>
            <w:r>
              <w:t>Business Meaning</w:t>
            </w:r>
          </w:p>
        </w:tc>
      </w:tr>
      <w:tr>
        <w:tc>
          <w:tcPr>
            <w:tcW w:type="dxa" w:w="2880"/>
          </w:tcPr>
          <w:p>
            <w:r>
              <w:t>delivery_id</w:t>
            </w:r>
          </w:p>
        </w:tc>
        <w:tc>
          <w:tcPr>
            <w:tcW w:type="dxa" w:w="2880"/>
          </w:tcPr>
          <w:p>
            <w:r>
              <w:t>float64</w:t>
            </w:r>
          </w:p>
        </w:tc>
        <w:tc>
          <w:tcPr>
            <w:tcW w:type="dxa" w:w="2880"/>
          </w:tcPr>
          <w:p>
            <w:r>
              <w:t>Delivery identifier</w:t>
            </w:r>
          </w:p>
        </w:tc>
      </w:tr>
      <w:tr>
        <w:tc>
          <w:tcPr>
            <w:tcW w:type="dxa" w:w="2880"/>
          </w:tcPr>
          <w:p>
            <w:r>
              <w:t>delivery_partner</w:t>
            </w:r>
          </w:p>
        </w:tc>
        <w:tc>
          <w:tcPr>
            <w:tcW w:type="dxa" w:w="2880"/>
          </w:tcPr>
          <w:p>
            <w:r>
              <w:t>object</w:t>
            </w:r>
          </w:p>
        </w:tc>
        <w:tc>
          <w:tcPr>
            <w:tcW w:type="dxa" w:w="2880"/>
          </w:tcPr>
          <w:p>
            <w:r>
              <w:t>Delivery/logistics partner</w:t>
            </w:r>
          </w:p>
        </w:tc>
      </w:tr>
      <w:tr>
        <w:tc>
          <w:tcPr>
            <w:tcW w:type="dxa" w:w="2880"/>
          </w:tcPr>
          <w:p>
            <w:r>
              <w:t>package_type</w:t>
            </w:r>
          </w:p>
        </w:tc>
        <w:tc>
          <w:tcPr>
            <w:tcW w:type="dxa" w:w="2880"/>
          </w:tcPr>
          <w:p>
            <w:r>
              <w:t>object</w:t>
            </w:r>
          </w:p>
        </w:tc>
        <w:tc>
          <w:tcPr>
            <w:tcW w:type="dxa" w:w="2880"/>
          </w:tcPr>
          <w:p>
            <w:r>
              <w:t>Shipment category</w:t>
            </w:r>
          </w:p>
        </w:tc>
      </w:tr>
      <w:tr>
        <w:tc>
          <w:tcPr>
            <w:tcW w:type="dxa" w:w="2880"/>
          </w:tcPr>
          <w:p>
            <w:r>
              <w:t>vehicle_type</w:t>
            </w:r>
          </w:p>
        </w:tc>
        <w:tc>
          <w:tcPr>
            <w:tcW w:type="dxa" w:w="2880"/>
          </w:tcPr>
          <w:p>
            <w:r>
              <w:t>object</w:t>
            </w:r>
          </w:p>
        </w:tc>
        <w:tc>
          <w:tcPr>
            <w:tcW w:type="dxa" w:w="2880"/>
          </w:tcPr>
          <w:p>
            <w:r>
              <w:t>Vehicle used</w:t>
            </w:r>
          </w:p>
        </w:tc>
      </w:tr>
      <w:tr>
        <w:tc>
          <w:tcPr>
            <w:tcW w:type="dxa" w:w="2880"/>
          </w:tcPr>
          <w:p>
            <w:r>
              <w:t>delivery_mode</w:t>
            </w:r>
          </w:p>
        </w:tc>
        <w:tc>
          <w:tcPr>
            <w:tcW w:type="dxa" w:w="2880"/>
          </w:tcPr>
          <w:p>
            <w:r>
              <w:t>object</w:t>
            </w:r>
          </w:p>
        </w:tc>
        <w:tc>
          <w:tcPr>
            <w:tcW w:type="dxa" w:w="2880"/>
          </w:tcPr>
          <w:p>
            <w:r>
              <w:t>Service/delivery mode</w:t>
            </w:r>
          </w:p>
        </w:tc>
      </w:tr>
      <w:tr>
        <w:tc>
          <w:tcPr>
            <w:tcW w:type="dxa" w:w="2880"/>
          </w:tcPr>
          <w:p>
            <w:r>
              <w:t>region</w:t>
            </w:r>
          </w:p>
        </w:tc>
        <w:tc>
          <w:tcPr>
            <w:tcW w:type="dxa" w:w="2880"/>
          </w:tcPr>
          <w:p>
            <w:r>
              <w:t>object</w:t>
            </w:r>
          </w:p>
        </w:tc>
        <w:tc>
          <w:tcPr>
            <w:tcW w:type="dxa" w:w="2880"/>
          </w:tcPr>
          <w:p>
            <w:r>
              <w:t>Operational region</w:t>
            </w:r>
          </w:p>
        </w:tc>
      </w:tr>
      <w:tr>
        <w:tc>
          <w:tcPr>
            <w:tcW w:type="dxa" w:w="2880"/>
          </w:tcPr>
          <w:p>
            <w:r>
              <w:t>weather_condition</w:t>
            </w:r>
          </w:p>
        </w:tc>
        <w:tc>
          <w:tcPr>
            <w:tcW w:type="dxa" w:w="2880"/>
          </w:tcPr>
          <w:p>
            <w:r>
              <w:t>object</w:t>
            </w:r>
          </w:p>
        </w:tc>
        <w:tc>
          <w:tcPr>
            <w:tcW w:type="dxa" w:w="2880"/>
          </w:tcPr>
          <w:p>
            <w:r>
              <w:t>Weather during delivery</w:t>
            </w:r>
          </w:p>
        </w:tc>
      </w:tr>
      <w:tr>
        <w:tc>
          <w:tcPr>
            <w:tcW w:type="dxa" w:w="2880"/>
          </w:tcPr>
          <w:p>
            <w:r>
              <w:t>distance_km</w:t>
            </w:r>
          </w:p>
        </w:tc>
        <w:tc>
          <w:tcPr>
            <w:tcW w:type="dxa" w:w="2880"/>
          </w:tcPr>
          <w:p>
            <w:r>
              <w:t>float64</w:t>
            </w:r>
          </w:p>
        </w:tc>
        <w:tc>
          <w:tcPr>
            <w:tcW w:type="dxa" w:w="2880"/>
          </w:tcPr>
          <w:p>
            <w:r>
              <w:t>Distance in kilometres</w:t>
            </w:r>
          </w:p>
        </w:tc>
      </w:tr>
      <w:tr>
        <w:tc>
          <w:tcPr>
            <w:tcW w:type="dxa" w:w="2880"/>
          </w:tcPr>
          <w:p>
            <w:r>
              <w:t>package_weight_kg</w:t>
            </w:r>
          </w:p>
        </w:tc>
        <w:tc>
          <w:tcPr>
            <w:tcW w:type="dxa" w:w="2880"/>
          </w:tcPr>
          <w:p>
            <w:r>
              <w:t>float64</w:t>
            </w:r>
          </w:p>
        </w:tc>
        <w:tc>
          <w:tcPr>
            <w:tcW w:type="dxa" w:w="2880"/>
          </w:tcPr>
          <w:p>
            <w:r>
              <w:t>Package weight in kilograms</w:t>
            </w:r>
          </w:p>
        </w:tc>
      </w:tr>
      <w:tr>
        <w:tc>
          <w:tcPr>
            <w:tcW w:type="dxa" w:w="2880"/>
          </w:tcPr>
          <w:p>
            <w:r>
              <w:t>delivery_time_hours</w:t>
            </w:r>
          </w:p>
        </w:tc>
        <w:tc>
          <w:tcPr>
            <w:tcW w:type="dxa" w:w="2880"/>
          </w:tcPr>
          <w:p>
            <w:r>
              <w:t>object</w:t>
            </w:r>
          </w:p>
        </w:tc>
        <w:tc>
          <w:tcPr>
            <w:tcW w:type="dxa" w:w="2880"/>
          </w:tcPr>
          <w:p>
            <w:r>
              <w:t>Actual delivery duration</w:t>
            </w:r>
          </w:p>
        </w:tc>
      </w:tr>
      <w:tr>
        <w:tc>
          <w:tcPr>
            <w:tcW w:type="dxa" w:w="2880"/>
          </w:tcPr>
          <w:p>
            <w:r>
              <w:t>expected_time_hours</w:t>
            </w:r>
          </w:p>
        </w:tc>
        <w:tc>
          <w:tcPr>
            <w:tcW w:type="dxa" w:w="2880"/>
          </w:tcPr>
          <w:p>
            <w:r>
              <w:t>object</w:t>
            </w:r>
          </w:p>
        </w:tc>
        <w:tc>
          <w:tcPr>
            <w:tcW w:type="dxa" w:w="2880"/>
          </w:tcPr>
          <w:p>
            <w:r>
              <w:t>Expected/SLA duration</w:t>
            </w:r>
          </w:p>
        </w:tc>
      </w:tr>
      <w:tr>
        <w:tc>
          <w:tcPr>
            <w:tcW w:type="dxa" w:w="2880"/>
          </w:tcPr>
          <w:p>
            <w:r>
              <w:t>delayed</w:t>
            </w:r>
          </w:p>
        </w:tc>
        <w:tc>
          <w:tcPr>
            <w:tcW w:type="dxa" w:w="2880"/>
          </w:tcPr>
          <w:p>
            <w:r>
              <w:t>object</w:t>
            </w:r>
          </w:p>
        </w:tc>
        <w:tc>
          <w:tcPr>
            <w:tcW w:type="dxa" w:w="2880"/>
          </w:tcPr>
          <w:p>
            <w:r>
              <w:t>Delay indicator</w:t>
            </w:r>
          </w:p>
        </w:tc>
      </w:tr>
      <w:tr>
        <w:tc>
          <w:tcPr>
            <w:tcW w:type="dxa" w:w="2880"/>
          </w:tcPr>
          <w:p>
            <w:r>
              <w:t>delivery_status</w:t>
            </w:r>
          </w:p>
        </w:tc>
        <w:tc>
          <w:tcPr>
            <w:tcW w:type="dxa" w:w="2880"/>
          </w:tcPr>
          <w:p>
            <w:r>
              <w:t>object</w:t>
            </w:r>
          </w:p>
        </w:tc>
        <w:tc>
          <w:tcPr>
            <w:tcW w:type="dxa" w:w="2880"/>
          </w:tcPr>
          <w:p>
            <w:r>
              <w:t>Delivery outcome</w:t>
            </w:r>
          </w:p>
        </w:tc>
      </w:tr>
      <w:tr>
        <w:tc>
          <w:tcPr>
            <w:tcW w:type="dxa" w:w="2880"/>
          </w:tcPr>
          <w:p>
            <w:r>
              <w:t>delivery_rating</w:t>
            </w:r>
          </w:p>
        </w:tc>
        <w:tc>
          <w:tcPr>
            <w:tcW w:type="dxa" w:w="2880"/>
          </w:tcPr>
          <w:p>
            <w:r>
              <w:t>int64</w:t>
            </w:r>
          </w:p>
        </w:tc>
        <w:tc>
          <w:tcPr>
            <w:tcW w:type="dxa" w:w="2880"/>
          </w:tcPr>
          <w:p>
            <w:r>
              <w:t>Rating on 1–5 scale</w:t>
            </w:r>
          </w:p>
        </w:tc>
      </w:tr>
      <w:tr>
        <w:tc>
          <w:tcPr>
            <w:tcW w:type="dxa" w:w="2880"/>
          </w:tcPr>
          <w:p>
            <w:r>
              <w:t>delivery_cost</w:t>
            </w:r>
          </w:p>
        </w:tc>
        <w:tc>
          <w:tcPr>
            <w:tcW w:type="dxa" w:w="2880"/>
          </w:tcPr>
          <w:p>
            <w:r>
              <w:t>float64</w:t>
            </w:r>
          </w:p>
        </w:tc>
        <w:tc>
          <w:tcPr>
            <w:tcW w:type="dxa" w:w="2880"/>
          </w:tcPr>
          <w:p>
            <w:r>
              <w:t>Delivery cost</w:t>
            </w:r>
          </w:p>
        </w:tc>
      </w:tr>
    </w:tbl>
    <w:p>
      <w:pPr>
        <w:pStyle w:val="Heading1"/>
      </w:pPr>
      <w:r>
        <w:t>4. Data Collection Simulation</w:t>
      </w:r>
    </w:p>
    <w:p>
      <w:r>
        <w:t>In a real logistics organization, these fields could be collected from transportation management systems, delivery-partner systems, warehouse/order systems, GPS/telematics and customer feedback systems. The simulation begins by preserving the raw extract and creating a reproducible preprocessing pipeline.</w:t>
      </w:r>
    </w:p>
    <w:p>
      <w:pPr>
        <w:pStyle w:val="Heading1"/>
      </w:pPr>
      <w:r>
        <w:t>5. Initial Data Exploration</w:t>
      </w:r>
    </w:p>
    <w:p>
      <w:r>
        <w:t>Raw size: 25,000 rows × 15 columns. There are no missing cells. delivery_id is float64 because of two suspicious decimal values. delivery_time_hours and expected_time_hours are object fields because they contain timestamp-like strings. The remaining numerical fields are stored as numeric types.</w:t>
      </w:r>
    </w:p>
    <w:p>
      <w:pPr>
        <w:pStyle w:val="Heading1"/>
      </w:pPr>
      <w:r>
        <w:t>6. Data Quality Issues Identified</w:t>
      </w:r>
    </w:p>
    <w:p>
      <w:pPr>
        <w:pStyle w:val="ListBullet"/>
      </w:pPr>
      <w:r>
        <w:t>Missing values: 0.</w:t>
      </w:r>
    </w:p>
    <w:p>
      <w:pPr>
        <w:pStyle w:val="ListBullet"/>
      </w:pPr>
      <w:r>
        <w:t>Exact duplicate rows: 0.</w:t>
      </w:r>
    </w:p>
    <w:p>
      <w:pPr>
        <w:pStyle w:val="ListBullet"/>
      </w:pPr>
      <w:r>
        <w:t>Duplicate delivery_id occurrences: 498; these arise from the two repeated suspicious ID values.</w:t>
      </w:r>
    </w:p>
    <w:p>
      <w:pPr>
        <w:pStyle w:val="ListBullet"/>
      </w:pPr>
      <w:r>
        <w:t>Time columns contain epoch-based timestamp strings such as 1970-01-01 00:00:00.000000008 instead of ordinary hour numbers.</w:t>
      </w:r>
    </w:p>
    <w:p>
      <w:pPr>
        <w:pStyle w:val="ListBullet"/>
      </w:pPr>
      <w:r>
        <w:t>delivery_id contains 250 occurrences of 250.99 and 250 occurrences of 24750.01; the middle 24,500 IDs follow the expected sequence.</w:t>
      </w:r>
    </w:p>
    <w:p>
      <w:pPr>
        <w:pStyle w:val="ListBullet"/>
      </w:pPr>
      <w:r>
        <w:t>Observed categorical values are already consistent in case and spacing.</w:t>
      </w:r>
    </w:p>
    <w:p>
      <w:pPr>
        <w:pStyle w:val="ListBullet"/>
      </w:pPr>
      <w:r>
        <w:t>No non-positive distance, package weight or cost values were found, and all ratings are within 1–5.</w:t>
      </w:r>
    </w:p>
    <w:p>
      <w:pPr>
        <w:pStyle w:val="ListBullet"/>
      </w:pPr>
      <w:r>
        <w:t>IQR flags 203 delivery-time observations above 14 hours; these are retained pending business validation.</w:t>
      </w:r>
    </w:p>
    <w:p>
      <w:pPr>
        <w:pStyle w:val="ListBullet"/>
      </w:pPr>
      <w:r>
        <w:t>The simple rule actual_time &gt; expected_time disagrees with delayed=yes for 1,203 rows.</w:t>
      </w:r>
    </w:p>
    <w:p>
      <w:pPr>
        <w:pStyle w:val="ListBullet"/>
      </w:pPr>
      <w:r>
        <w:t>Delay/status consistency violations: 0.</w:t>
      </w:r>
    </w:p>
    <w:p>
      <w:pPr>
        <w:pStyle w:val="Heading1"/>
      </w:pPr>
      <w:r>
        <w:t>7. Data Cleaning Methodology</w:t>
      </w:r>
    </w:p>
    <w:p>
      <w:r>
        <w:t>The methodology is evidence-based: inspect first, correct confirmed representation errors, preserve legitimate extremes, and validate after every major transformation. Exact duplicate rows would be removed only if present. Missing numerical values would use median and missing categorical values would use 'unknown' if they appeared. No imputation was needed in the actual file.</w:t>
      </w:r>
    </w:p>
    <w:p>
      <w:pPr>
        <w:pStyle w:val="Heading1"/>
      </w:pPr>
      <w:r>
        <w:t>8. Missing Value Handling</w:t>
      </w:r>
    </w:p>
    <w:p>
      <w:r>
        <w:t>The actual dataset contains zero missing cells. Therefore, no artificial missing values were created and no imputation was performed. This preserves the original observations. The executable code includes guarded median/mode-style handling for future extracts, but those branches do not alter this dataset.</w:t>
      </w:r>
    </w:p>
    <w:p>
      <w:pPr>
        <w:pStyle w:val="Heading1"/>
      </w:pPr>
      <w:r>
        <w:t>9. Duplicate Handling</w:t>
      </w:r>
    </w:p>
    <w:p>
      <w:r>
        <w:t>No exact duplicate rows exist. There are 498 duplicate-ID occurrences caused by the two corrupted blocks. The IDs were investigated instead of simply rounded.</w:t>
      </w:r>
    </w:p>
    <w:p>
      <w:pPr>
        <w:pStyle w:val="Heading1"/>
      </w:pPr>
      <w:r>
        <w:t>10. Data-Type Correction</w:t>
      </w:r>
    </w:p>
    <w:p>
      <w:r>
        <w:t>The final cleaned dataset uses integer delivery_id and numerical types for distance, weight, actual time, expected time, rating and cost. The time fields were corrected only after determining what their timestamp encoding represented.</w:t>
      </w:r>
    </w:p>
    <w:p>
      <w:pPr>
        <w:pStyle w:val="Heading1"/>
      </w:pPr>
      <w:r>
        <w:t>11. Important Time-Column Investigation</w:t>
      </w:r>
    </w:p>
    <w:p>
      <w:r>
        <w:t>The strings 1970-01-01 00:00:00.000000008, 1970-01-01 00:00:00.000000016, etc. parse as Unix epoch plus a very small number of nanoseconds. Their unique values are 0–19 for actual time and 2, 3, 4, 5, 6, 7, 8, 16 and 24 for expected time. Because the fields are named in hours and these integer nanosecond values form the intended hour values, the nanosecond integer is extracted and used as the numerical hour.</w:t>
      </w:r>
    </w:p>
    <w:p>
      <w:r>
        <w:t>This avoids the incorrect interpretation that the deliveries occurred on 1 January 1970. After correction, actual delivery time is 0–19 hours and expected time is 2–24 hours.</w:t>
      </w:r>
    </w:p>
    <w:p>
      <w:pPr>
        <w:pStyle w:val="Heading1"/>
      </w:pPr>
      <w:r>
        <w:t>12. Delivery ID Investigation</w:t>
      </w:r>
    </w:p>
    <w:p>
      <w:r>
        <w:t>The ID sequence provides strong evidence for the repair. Rows 1–250 contain 250.99, and the next record is 251. The preceding record before the final corrupted block is 24750, while the final 250 rows contain 24750.01. There are no mismatches in the middle 24,500 rows. Therefore the first block is reconstructed as IDs 1–250 and the final block as IDs 24751–25000. This is sequence reconstruction based on neighboring evidence, not blind rounding.</w:t>
      </w:r>
    </w:p>
    <w:p>
      <w:pPr>
        <w:pStyle w:val="Heading1"/>
      </w:pPr>
      <w:r>
        <w:t>13. Categorical Data Cleaning</w:t>
      </w:r>
    </w:p>
    <w:p>
      <w:r>
        <w:t>The fields delivery_partner, package_type, vehicle_type, delivery_mode, region, weather_condition, delayed and delivery_status were inspected. There are no leading/trailing spaces and no capitalization/spelling variants in the observed values. The pipeline still applies strip/lower for reproducibility, without changing the observed business categories.</w:t>
      </w:r>
    </w:p>
    <w:p>
      <w:pPr>
        <w:pStyle w:val="Heading1"/>
      </w:pPr>
      <w:r>
        <w:t>14. Outlier Detection</w:t>
      </w:r>
    </w:p>
    <w:tbl>
      <w:tblPr>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IQR Upper Bound</w:t>
            </w:r>
          </w:p>
        </w:tc>
        <w:tc>
          <w:tcPr>
            <w:tcW w:type="dxa" w:w="2160"/>
          </w:tcPr>
          <w:p>
            <w:r>
              <w:t>Outliers</w:t>
            </w:r>
          </w:p>
        </w:tc>
        <w:tc>
          <w:tcPr>
            <w:tcW w:type="dxa" w:w="2160"/>
          </w:tcPr>
          <w:p>
            <w:r>
              <w:t>Decision</w:t>
            </w:r>
          </w:p>
        </w:tc>
      </w:tr>
      <w:tr>
        <w:tc>
          <w:tcPr>
            <w:tcW w:type="dxa" w:w="2160"/>
          </w:tcPr>
          <w:p>
            <w:r>
              <w:t>distance_km</w:t>
            </w:r>
          </w:p>
        </w:tc>
        <w:tc>
          <w:tcPr>
            <w:tcW w:type="dxa" w:w="2160"/>
          </w:tcPr>
          <w:p>
            <w:r>
              <w:t>448.400</w:t>
            </w:r>
          </w:p>
        </w:tc>
        <w:tc>
          <w:tcPr>
            <w:tcW w:type="dxa" w:w="2160"/>
          </w:tcPr>
          <w:p>
            <w:r>
              <w:t>0</w:t>
            </w:r>
          </w:p>
        </w:tc>
        <w:tc>
          <w:tcPr>
            <w:tcW w:type="dxa" w:w="2160"/>
          </w:tcPr>
          <w:p>
            <w:r>
              <w:t>No IQR outliers; no action.</w:t>
            </w:r>
          </w:p>
        </w:tc>
      </w:tr>
      <w:tr>
        <w:tc>
          <w:tcPr>
            <w:tcW w:type="dxa" w:w="2160"/>
          </w:tcPr>
          <w:p>
            <w:r>
              <w:t>package_weight_kg</w:t>
            </w:r>
          </w:p>
        </w:tc>
        <w:tc>
          <w:tcPr>
            <w:tcW w:type="dxa" w:w="2160"/>
          </w:tcPr>
          <w:p>
            <w:r>
              <w:t>75.130</w:t>
            </w:r>
          </w:p>
        </w:tc>
        <w:tc>
          <w:tcPr>
            <w:tcW w:type="dxa" w:w="2160"/>
          </w:tcPr>
          <w:p>
            <w:r>
              <w:t>0</w:t>
            </w:r>
          </w:p>
        </w:tc>
        <w:tc>
          <w:tcPr>
            <w:tcW w:type="dxa" w:w="2160"/>
          </w:tcPr>
          <w:p>
            <w:r>
              <w:t>No IQR outliers; no action.</w:t>
            </w:r>
          </w:p>
        </w:tc>
      </w:tr>
      <w:tr>
        <w:tc>
          <w:tcPr>
            <w:tcW w:type="dxa" w:w="2160"/>
          </w:tcPr>
          <w:p>
            <w:r>
              <w:t>delivery_time_hours</w:t>
            </w:r>
          </w:p>
        </w:tc>
        <w:tc>
          <w:tcPr>
            <w:tcW w:type="dxa" w:w="2160"/>
          </w:tcPr>
          <w:p>
            <w:r>
              <w:t>14.000</w:t>
            </w:r>
          </w:p>
        </w:tc>
        <w:tc>
          <w:tcPr>
            <w:tcW w:type="dxa" w:w="2160"/>
          </w:tcPr>
          <w:p>
            <w:r>
              <w:t>203</w:t>
            </w:r>
          </w:p>
        </w:tc>
        <w:tc>
          <w:tcPr>
            <w:tcW w:type="dxa" w:w="2160"/>
          </w:tcPr>
          <w:p>
            <w:r>
              <w:t>Retain; investigate as potentially genuine long deliveries.</w:t>
            </w:r>
          </w:p>
        </w:tc>
      </w:tr>
      <w:tr>
        <w:tc>
          <w:tcPr>
            <w:tcW w:type="dxa" w:w="2160"/>
          </w:tcPr>
          <w:p>
            <w:r>
              <w:t>expected_time_hours</w:t>
            </w:r>
          </w:p>
        </w:tc>
        <w:tc>
          <w:tcPr>
            <w:tcW w:type="dxa" w:w="2160"/>
          </w:tcPr>
          <w:p>
            <w:r>
              <w:t>28.000</w:t>
            </w:r>
          </w:p>
        </w:tc>
        <w:tc>
          <w:tcPr>
            <w:tcW w:type="dxa" w:w="2160"/>
          </w:tcPr>
          <w:p>
            <w:r>
              <w:t>0</w:t>
            </w:r>
          </w:p>
        </w:tc>
        <w:tc>
          <w:tcPr>
            <w:tcW w:type="dxa" w:w="2160"/>
          </w:tcPr>
          <w:p>
            <w:r>
              <w:t>No IQR outliers; no action.</w:t>
            </w:r>
          </w:p>
        </w:tc>
      </w:tr>
      <w:tr>
        <w:tc>
          <w:tcPr>
            <w:tcW w:type="dxa" w:w="2160"/>
          </w:tcPr>
          <w:p>
            <w:r>
              <w:t>delivery_rating</w:t>
            </w:r>
          </w:p>
        </w:tc>
        <w:tc>
          <w:tcPr>
            <w:tcW w:type="dxa" w:w="2160"/>
          </w:tcPr>
          <w:p>
            <w:r>
              <w:t>8.000</w:t>
            </w:r>
          </w:p>
        </w:tc>
        <w:tc>
          <w:tcPr>
            <w:tcW w:type="dxa" w:w="2160"/>
          </w:tcPr>
          <w:p>
            <w:r>
              <w:t>0</w:t>
            </w:r>
          </w:p>
        </w:tc>
        <w:tc>
          <w:tcPr>
            <w:tcW w:type="dxa" w:w="2160"/>
          </w:tcPr>
          <w:p>
            <w:r>
              <w:t>No IQR outliers; no action.</w:t>
            </w:r>
          </w:p>
        </w:tc>
      </w:tr>
      <w:tr>
        <w:tc>
          <w:tcPr>
            <w:tcW w:type="dxa" w:w="2160"/>
          </w:tcPr>
          <w:p>
            <w:r>
              <w:t>delivery_cost</w:t>
            </w:r>
          </w:p>
        </w:tc>
        <w:tc>
          <w:tcPr>
            <w:tcW w:type="dxa" w:w="2160"/>
          </w:tcPr>
          <w:p>
            <w:r>
              <w:t>2358.575</w:t>
            </w:r>
          </w:p>
        </w:tc>
        <w:tc>
          <w:tcPr>
            <w:tcW w:type="dxa" w:w="2160"/>
          </w:tcPr>
          <w:p>
            <w:r>
              <w:t>0</w:t>
            </w:r>
          </w:p>
        </w:tc>
        <w:tc>
          <w:tcPr>
            <w:tcW w:type="dxa" w:w="2160"/>
          </w:tcPr>
          <w:p>
            <w:r>
              <w:t>No IQR outliers; no action.</w:t>
            </w:r>
          </w:p>
        </w:tc>
      </w:tr>
    </w:tbl>
    <w:p>
      <w:r>
        <w:t>IQR identifies statistical extremes, not automatically invalid records. The 203 high delivery-time observations are retained because they may represent genuine operational cases.</w:t>
      </w:r>
    </w:p>
    <w:p>
      <w:pPr>
        <w:pStyle w:val="Heading1"/>
      </w:pPr>
      <w:r>
        <w:t>15. Logical Consistency Checks</w:t>
      </w:r>
    </w:p>
    <w:p>
      <w:r>
        <w:t>5,466 rows have actual delivery time greater than expected time, while 6,669 have delayed=yes. There are 1,203 differences between these two indicators.</w:t>
      </w:r>
    </w:p>
    <w:p>
      <w:r>
        <w:t>The delay/status relationship is internally consistent: delayed=no occurs with delivered, while delayed=yes occurs with delayed or failed. The 1,203 time-vs-delay differences are retained because the dataset does not prove that the delayed flag is defined solely by actual time exceeding expected time. A business may mark a shipment delayed because of an SLA/cutoff rule, operational exception or failed attempt.</w:t>
      </w:r>
    </w:p>
    <w:p>
      <w:pPr>
        <w:pStyle w:val="Heading1"/>
      </w:pPr>
      <w:r>
        <w:t>16. Normalization</w:t>
      </w:r>
    </w:p>
    <w:p>
      <w:r>
        <w:t>Min-Max scaling maps a variable to [0,1]. Standardization maps it to a zero-mean, unit-standard-deviation scale. Min-Max normalization is used here because the variables have very different units and a bounded common scale is convenient for modelling.</w:t>
      </w:r>
    </w:p>
    <w:p>
      <w:r>
        <w:t>The main cleaned dataset remains in business units for SQL/Power BI interpretation. A separate normalized file is created for distance_km, package_weight_kg, delivery_time_hours, expected_time_hours and delivery_cost.</w:t>
      </w:r>
    </w:p>
    <w:p>
      <w:pPr>
        <w:pStyle w:val="Heading1"/>
      </w:pPr>
      <w:r>
        <w:t>17. Python Implementation</w:t>
      </w:r>
    </w:p>
    <w:p>
      <w:r>
        <w:t>The complete executable script is provided separately as Week2_Logistics_Preprocessing.py. It includes loading, inspection, missing-value checks, duplicate checks, ID investigation and repair, time correction, categorical standardization, invalid-value checks, IQR detection, logical checks, normalization, final validation and export.</w:t>
      </w:r>
    </w:p>
    <w:p>
      <w:pPr>
        <w:pStyle w:val="Heading1"/>
      </w:pPr>
      <w:r>
        <w:t>18. Before vs After Comparison</w:t>
      </w:r>
    </w:p>
    <w:tbl>
      <w:tblPr>
        <w:tblW w:type="auto" w:w="0"/>
        <w:tblLook w:firstColumn="1" w:firstRow="1" w:lastColumn="0" w:lastRow="0" w:noHBand="0" w:noVBand="1" w:val="04A0"/>
      </w:tblPr>
      <w:tblGrid>
        <w:gridCol w:w="2160"/>
        <w:gridCol w:w="2160"/>
        <w:gridCol w:w="2160"/>
        <w:gridCol w:w="2160"/>
      </w:tblGrid>
      <w:tr>
        <w:tc>
          <w:tcPr>
            <w:tcW w:type="dxa" w:w="2160"/>
          </w:tcPr>
          <w:p>
            <w:r>
              <w:t>Quality Check</w:t>
            </w:r>
          </w:p>
        </w:tc>
        <w:tc>
          <w:tcPr>
            <w:tcW w:type="dxa" w:w="2160"/>
          </w:tcPr>
          <w:p>
            <w:r>
              <w:t>Before</w:t>
            </w:r>
          </w:p>
        </w:tc>
        <w:tc>
          <w:tcPr>
            <w:tcW w:type="dxa" w:w="2160"/>
          </w:tcPr>
          <w:p>
            <w:r>
              <w:t>After</w:t>
            </w:r>
          </w:p>
        </w:tc>
        <w:tc>
          <w:tcPr>
            <w:tcW w:type="dxa" w:w="2160"/>
          </w:tcPr>
          <w:p>
            <w:r>
              <w:t>Action Taken</w:t>
            </w:r>
          </w:p>
        </w:tc>
      </w:tr>
      <w:tr>
        <w:tc>
          <w:tcPr>
            <w:tcW w:type="dxa" w:w="2160"/>
          </w:tcPr>
          <w:p>
            <w:r>
              <w:t>Rows</w:t>
            </w:r>
          </w:p>
        </w:tc>
        <w:tc>
          <w:tcPr>
            <w:tcW w:type="dxa" w:w="2160"/>
          </w:tcPr>
          <w:p>
            <w:r>
              <w:t>25,000</w:t>
            </w:r>
          </w:p>
        </w:tc>
        <w:tc>
          <w:tcPr>
            <w:tcW w:type="dxa" w:w="2160"/>
          </w:tcPr>
          <w:p>
            <w:r>
              <w:t>25,000</w:t>
            </w:r>
          </w:p>
        </w:tc>
        <w:tc>
          <w:tcPr>
            <w:tcW w:type="dxa" w:w="2160"/>
          </w:tcPr>
          <w:p>
            <w:r>
              <w:t>No exact duplicate rows; no rows removed.</w:t>
            </w:r>
          </w:p>
        </w:tc>
      </w:tr>
      <w:tr>
        <w:tc>
          <w:tcPr>
            <w:tcW w:type="dxa" w:w="2160"/>
          </w:tcPr>
          <w:p>
            <w:r>
              <w:t>Missing Values</w:t>
            </w:r>
          </w:p>
        </w:tc>
        <w:tc>
          <w:tcPr>
            <w:tcW w:type="dxa" w:w="2160"/>
          </w:tcPr>
          <w:p>
            <w:r>
              <w:t>0</w:t>
            </w:r>
          </w:p>
        </w:tc>
        <w:tc>
          <w:tcPr>
            <w:tcW w:type="dxa" w:w="2160"/>
          </w:tcPr>
          <w:p>
            <w:r>
              <w:t>0</w:t>
            </w:r>
          </w:p>
        </w:tc>
        <w:tc>
          <w:tcPr>
            <w:tcW w:type="dxa" w:w="2160"/>
          </w:tcPr>
          <w:p>
            <w:r>
              <w:t>No imputation required.</w:t>
            </w:r>
          </w:p>
        </w:tc>
      </w:tr>
      <w:tr>
        <w:tc>
          <w:tcPr>
            <w:tcW w:type="dxa" w:w="2160"/>
          </w:tcPr>
          <w:p>
            <w:r>
              <w:t>Duplicate Rows</w:t>
            </w:r>
          </w:p>
        </w:tc>
        <w:tc>
          <w:tcPr>
            <w:tcW w:type="dxa" w:w="2160"/>
          </w:tcPr>
          <w:p>
            <w:r>
              <w:t>0</w:t>
            </w:r>
          </w:p>
        </w:tc>
        <w:tc>
          <w:tcPr>
            <w:tcW w:type="dxa" w:w="2160"/>
          </w:tcPr>
          <w:p>
            <w:r>
              <w:t>0</w:t>
            </w:r>
          </w:p>
        </w:tc>
        <w:tc>
          <w:tcPr>
            <w:tcW w:type="dxa" w:w="2160"/>
          </w:tcPr>
          <w:p>
            <w:r>
              <w:t>None present.</w:t>
            </w:r>
          </w:p>
        </w:tc>
      </w:tr>
      <w:tr>
        <w:tc>
          <w:tcPr>
            <w:tcW w:type="dxa" w:w="2160"/>
          </w:tcPr>
          <w:p>
            <w:r>
              <w:t>Duplicate IDs</w:t>
            </w:r>
          </w:p>
        </w:tc>
        <w:tc>
          <w:tcPr>
            <w:tcW w:type="dxa" w:w="2160"/>
          </w:tcPr>
          <w:p>
            <w:r>
              <w:t>498</w:t>
            </w:r>
          </w:p>
        </w:tc>
        <w:tc>
          <w:tcPr>
            <w:tcW w:type="dxa" w:w="2160"/>
          </w:tcPr>
          <w:p>
            <w:r>
              <w:t>0</w:t>
            </w:r>
          </w:p>
        </w:tc>
        <w:tc>
          <w:tcPr>
            <w:tcW w:type="dxa" w:w="2160"/>
          </w:tcPr>
          <w:p>
            <w:r>
              <w:t>Reconstructed two corrupted ID blocks.</w:t>
            </w:r>
          </w:p>
        </w:tc>
      </w:tr>
      <w:tr>
        <w:tc>
          <w:tcPr>
            <w:tcW w:type="dxa" w:w="2160"/>
          </w:tcPr>
          <w:p>
            <w:r>
              <w:t>Incorrect Data Types</w:t>
            </w:r>
          </w:p>
        </w:tc>
        <w:tc>
          <w:tcPr>
            <w:tcW w:type="dxa" w:w="2160"/>
          </w:tcPr>
          <w:p>
            <w:r>
              <w:t>ID float; hour fields object</w:t>
            </w:r>
          </w:p>
        </w:tc>
        <w:tc>
          <w:tcPr>
            <w:tcW w:type="dxa" w:w="2160"/>
          </w:tcPr>
          <w:p>
            <w:r>
              <w:t>ID integer; hours numeric</w:t>
            </w:r>
          </w:p>
        </w:tc>
        <w:tc>
          <w:tcPr>
            <w:tcW w:type="dxa" w:w="2160"/>
          </w:tcPr>
          <w:p>
            <w:r>
              <w:t>Corrected after investigation.</w:t>
            </w:r>
          </w:p>
        </w:tc>
      </w:tr>
      <w:tr>
        <w:tc>
          <w:tcPr>
            <w:tcW w:type="dxa" w:w="2160"/>
          </w:tcPr>
          <w:p>
            <w:r>
              <w:t>Time Format Problems</w:t>
            </w:r>
          </w:p>
        </w:tc>
        <w:tc>
          <w:tcPr>
            <w:tcW w:type="dxa" w:w="2160"/>
          </w:tcPr>
          <w:p>
            <w:r>
              <w:t>Timestamp-like hour strings</w:t>
            </w:r>
          </w:p>
        </w:tc>
        <w:tc>
          <w:tcPr>
            <w:tcW w:type="dxa" w:w="2160"/>
          </w:tcPr>
          <w:p>
            <w:r>
              <w:t>Numeric hours 0–19 / 2–24</w:t>
            </w:r>
          </w:p>
        </w:tc>
        <w:tc>
          <w:tcPr>
            <w:tcW w:type="dxa" w:w="2160"/>
          </w:tcPr>
          <w:p>
            <w:r>
              <w:t>Decoded encoded values.</w:t>
            </w:r>
          </w:p>
        </w:tc>
      </w:tr>
      <w:tr>
        <w:tc>
          <w:tcPr>
            <w:tcW w:type="dxa" w:w="2160"/>
          </w:tcPr>
          <w:p>
            <w:r>
              <w:t>Categorical Issues</w:t>
            </w:r>
          </w:p>
        </w:tc>
        <w:tc>
          <w:tcPr>
            <w:tcW w:type="dxa" w:w="2160"/>
          </w:tcPr>
          <w:p>
            <w:r>
              <w:t>No observed spacing/case issues</w:t>
            </w:r>
          </w:p>
        </w:tc>
        <w:tc>
          <w:tcPr>
            <w:tcW w:type="dxa" w:w="2160"/>
          </w:tcPr>
          <w:p>
            <w:r>
              <w:t>Standardized strings</w:t>
            </w:r>
          </w:p>
        </w:tc>
        <w:tc>
          <w:tcPr>
            <w:tcW w:type="dxa" w:w="2160"/>
          </w:tcPr>
          <w:p>
            <w:r>
              <w:t>strip/lower applied reproducibly.</w:t>
            </w:r>
          </w:p>
        </w:tc>
      </w:tr>
      <w:tr>
        <w:tc>
          <w:tcPr>
            <w:tcW w:type="dxa" w:w="2160"/>
          </w:tcPr>
          <w:p>
            <w:r>
              <w:t>Outliers</w:t>
            </w:r>
          </w:p>
        </w:tc>
        <w:tc>
          <w:tcPr>
            <w:tcW w:type="dxa" w:w="2160"/>
          </w:tcPr>
          <w:p>
            <w:r>
              <w:t>203 delivery-time IQR flags</w:t>
            </w:r>
          </w:p>
        </w:tc>
        <w:tc>
          <w:tcPr>
            <w:tcW w:type="dxa" w:w="2160"/>
          </w:tcPr>
          <w:p>
            <w:r>
              <w:t>203 retained</w:t>
            </w:r>
          </w:p>
        </w:tc>
        <w:tc>
          <w:tcPr>
            <w:tcW w:type="dxa" w:w="2160"/>
          </w:tcPr>
          <w:p>
            <w:r>
              <w:t>No automatic deletion.</w:t>
            </w:r>
          </w:p>
        </w:tc>
      </w:tr>
      <w:tr>
        <w:tc>
          <w:tcPr>
            <w:tcW w:type="dxa" w:w="2160"/>
          </w:tcPr>
          <w:p>
            <w:r>
              <w:t>Logical Differences</w:t>
            </w:r>
          </w:p>
        </w:tc>
        <w:tc>
          <w:tcPr>
            <w:tcW w:type="dxa" w:w="2160"/>
          </w:tcPr>
          <w:p>
            <w:r>
              <w:t>1203</w:t>
            </w:r>
          </w:p>
        </w:tc>
        <w:tc>
          <w:tcPr>
            <w:tcW w:type="dxa" w:w="2160"/>
          </w:tcPr>
          <w:p>
            <w:r>
              <w:t>1203</w:t>
            </w:r>
          </w:p>
        </w:tc>
        <w:tc>
          <w:tcPr>
            <w:tcW w:type="dxa" w:w="2160"/>
          </w:tcPr>
          <w:p>
            <w:r>
              <w:t>Retained and documented; no unsupported overwrite.</w:t>
            </w:r>
          </w:p>
        </w:tc>
      </w:tr>
    </w:tbl>
    <w:p>
      <w:pPr>
        <w:pStyle w:val="Heading1"/>
      </w:pPr>
      <w:r>
        <w:t>19. Impact on Logistics Analytics</w:t>
      </w:r>
    </w:p>
    <w:p>
      <w:pPr>
        <w:pStyle w:val="ListBullet"/>
      </w:pPr>
      <w:r>
        <w:t>Correct time fields support reliable delivery-time and SLA analysis.</w:t>
      </w:r>
    </w:p>
    <w:p>
      <w:pPr>
        <w:pStyle w:val="ListBullet"/>
      </w:pPr>
      <w:r>
        <w:t>Correct IDs prevent duplicate counting and improve traceability.</w:t>
      </w:r>
    </w:p>
    <w:p>
      <w:pPr>
        <w:pStyle w:val="ListBullet"/>
      </w:pPr>
      <w:r>
        <w:t>Consistent categories enable reliable partner, region, vehicle and mode comparisons.</w:t>
      </w:r>
    </w:p>
    <w:p>
      <w:pPr>
        <w:pStyle w:val="ListBullet"/>
      </w:pPr>
      <w:r>
        <w:t>Preserving legitimate outliers avoids biased operational KPIs.</w:t>
      </w:r>
    </w:p>
    <w:p>
      <w:pPr>
        <w:pStyle w:val="ListBullet"/>
      </w:pPr>
      <w:r>
        <w:t>Business-unit data remains interpretable for Power BI and SQL.</w:t>
      </w:r>
    </w:p>
    <w:p>
      <w:pPr>
        <w:pStyle w:val="ListBullet"/>
      </w:pPr>
      <w:r>
        <w:t>Normalized data supports modelling methods that are sensitive to feature scale.</w:t>
      </w:r>
    </w:p>
    <w:p>
      <w:pPr>
        <w:pStyle w:val="Heading1"/>
      </w:pPr>
      <w:r>
        <w:t>20. Challenges Encountered</w:t>
      </w:r>
    </w:p>
    <w:p>
      <w:pPr>
        <w:pStyle w:val="ListBullet"/>
      </w:pPr>
      <w:r>
        <w:t>The hour fields required investigation because they were timestamp-formatted instead of numeric.</w:t>
      </w:r>
    </w:p>
    <w:p>
      <w:pPr>
        <w:pStyle w:val="ListBullet"/>
      </w:pPr>
      <w:r>
        <w:t>The delivery_id field contained two corrupted decimal blocks; sequence evidence was required before repair.</w:t>
      </w:r>
    </w:p>
    <w:p>
      <w:pPr>
        <w:pStyle w:val="ListBullet"/>
      </w:pPr>
      <w:r>
        <w:t>The delay flag is not perfectly explained by actual-versus-expected time alone.</w:t>
      </w:r>
    </w:p>
    <w:p>
      <w:pPr>
        <w:pStyle w:val="ListBullet"/>
      </w:pPr>
      <w:r>
        <w:t>IQR flagged high delivery-time values, but statistical unusualness alone is not enough to call them errors.</w:t>
      </w:r>
    </w:p>
    <w:p>
      <w:pPr>
        <w:pStyle w:val="Heading1"/>
      </w:pPr>
      <w:r>
        <w:t>21. Reflection</w:t>
      </w:r>
    </w:p>
    <w:p>
      <w:r>
        <w:t>Data quality directly affects logistics decision quality. Incorrect times can distort on-time delivery and SLA metrics; incorrect IDs can inflate delivery volumes; inconsistent categories can fragment analysis; and inappropriate outlier deletion can hide real operational events. A professional preprocessing workflow combines statistical checks with business logic and documents every transformation.</w:t>
      </w:r>
    </w:p>
    <w:p>
      <w:pPr>
        <w:pStyle w:val="Heading1"/>
      </w:pPr>
      <w:r>
        <w:t>22. Conclusion</w:t>
      </w:r>
    </w:p>
    <w:p>
      <w:r>
        <w:t>The actual 25,000-record dataset was processed without overwriting the source. The main confirmed source issues were encoded hour fields and two corrupted ID blocks. Missing values and exact duplicate rows were absent. Categorical values were already consistent, numerical ranges were valid, and delivery-time outliers were retained for business review. The final outputs separate an interpretable cleaned dataset from a normalized analytical dataset.</w:t>
      </w:r>
    </w:p>
    <w:p>
      <w:pPr>
        <w:pStyle w:val="Heading1"/>
      </w:pPr>
      <w:r>
        <w:t>23. Appendix — Core Python Snippets</w:t>
      </w:r>
    </w:p>
    <w:p>
      <w:r>
        <w:rPr>
          <w:rFonts w:ascii="Courier New" w:hAnsi="Courier New"/>
          <w:sz w:val="17"/>
        </w:rPr>
        <w:t># Time correction</w:t>
        <w:br/>
        <w:t>def decode_hour_column(series):</w:t>
        <w:br/>
        <w:t xml:space="preserve">    dt = pd.to_datetime(series, errors="coerce")</w:t>
        <w:br/>
        <w:t xml:space="preserve">    if dt.isna().any():</w:t>
        <w:br/>
        <w:t xml:space="preserve">        raise ValueError("Unexpected value in encoded hour column.")</w:t>
        <w:br/>
        <w:t xml:space="preserve">    return dt.astype("int64").astype("int64")</w:t>
      </w:r>
    </w:p>
    <w:p>
      <w:r>
        <w:rPr>
          <w:rFonts w:ascii="Courier New" w:hAnsi="Courier New"/>
          <w:sz w:val="17"/>
        </w:rPr>
        <w:t># ID reconstruction after sequence validation</w:t>
        <w:br/>
        <w:t>expected_id = pd.Series(np.arange(1, len(df) + 1), index=df.index)</w:t>
        <w:br/>
        <w:t>df.loc[df["delivery_id"].eq(250.99), "delivery_id"] = expected_id[df["delivery_id"].eq(250.99)]</w:t>
        <w:br/>
        <w:t>df.loc[df["delivery_id"].eq(24750.01), "delivery_id"] = expected_id[df["delivery_id"].eq(24750.01)]</w:t>
        <w:br/>
        <w:t>df["delivery_id"] = df["delivery_id"].astype("int64")</w:t>
      </w:r>
    </w:p>
    <w:p>
      <w:r>
        <w:rPr>
          <w:rFonts w:ascii="Courier New" w:hAnsi="Courier New"/>
          <w:sz w:val="17"/>
        </w:rPr>
        <w:t># IQR</w:t>
        <w:br/>
        <w:t>q1 = df[column].quantile(0.25)</w:t>
        <w:br/>
        <w:t>q3 = df[column].quantile(0.75)</w:t>
        <w:br/>
        <w:t>iqr = q3 - q1</w:t>
        <w:br/>
        <w:t>lower = q1 - 1.5 * iqr</w:t>
        <w:br/>
        <w:t>upper = q3 + 1.5 * iqr</w:t>
      </w:r>
    </w:p>
    <w:p>
      <w:r>
        <w:rPr>
          <w:rFonts w:ascii="Courier New" w:hAnsi="Courier New"/>
          <w:sz w:val="17"/>
        </w:rPr>
        <w:t># Normalization</w:t>
        <w:br/>
        <w:t>normalized = df.copy()</w:t>
        <w:br/>
        <w:t>scaler = MinMaxScaler()</w:t>
        <w:br/>
        <w:t>normalized[normalize_cols] = scaler.fit_transform(normalized[normalize_cols])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