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ED492">
      <w:pPr>
        <w:spacing w:before="1200" w:after="100"/>
        <w:jc w:val="both"/>
      </w:pPr>
      <w:r>
        <w:rPr>
          <w:b/>
          <w:bCs/>
          <w:color w:val="1F3864"/>
          <w:sz w:val="40"/>
          <w:szCs w:val="40"/>
        </w:rPr>
        <w:t>DIGITAL ASSIGNMENT — MINI-PROJECT</w:t>
      </w:r>
    </w:p>
    <w:p w14:paraId="2321F4A8">
      <w:pPr>
        <w:pBdr>
          <w:bottom w:val="single" w:color="1F3864" w:sz="8" w:space="10"/>
        </w:pBdr>
        <w:spacing w:after="400"/>
        <w:jc w:val="center"/>
      </w:pPr>
      <w:r>
        <w:rPr>
          <w:color w:val="444444"/>
          <w:sz w:val="26"/>
          <w:szCs w:val="26"/>
        </w:rPr>
        <w:t>Student Handout — DA1 · DA2 · DA3</w:t>
      </w:r>
    </w:p>
    <w:tbl>
      <w:tblPr>
        <w:tblStyle w:val="6"/>
        <w:tblW w:w="9020" w:type="dxa"/>
        <w:tblInd w:w="0" w:type="dxa"/>
        <w:tblBorders>
          <w:top w:val="single" w:color="9DB0D0" w:sz="4" w:space="0"/>
          <w:left w:val="single" w:color="9DB0D0" w:sz="4" w:space="0"/>
          <w:bottom w:val="single" w:color="9DB0D0" w:sz="4" w:space="0"/>
          <w:right w:val="single" w:color="9DB0D0" w:sz="4" w:space="0"/>
          <w:insideH w:val="single" w:color="C7D2E6" w:sz="2" w:space="0"/>
          <w:insideV w:val="single" w:color="C7D2E6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0"/>
      </w:tblGrid>
      <w:tr w14:paraId="5207736C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43D256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22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D0D91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14:paraId="5C93C3D6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BBB7DF">
            <w:pPr>
              <w:spacing w:before="20" w:after="20"/>
            </w:pPr>
            <w:r>
              <w:rPr>
                <w:sz w:val="20"/>
                <w:szCs w:val="20"/>
              </w:rPr>
              <w:t>Programme</w:t>
            </w:r>
          </w:p>
        </w:tc>
        <w:tc>
          <w:tcPr>
            <w:tcW w:w="62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089FC0">
            <w:pPr>
              <w:spacing w:before="20" w:after="20"/>
            </w:pPr>
            <w:r>
              <w:rPr>
                <w:sz w:val="20"/>
                <w:szCs w:val="20"/>
              </w:rPr>
              <w:t>B.Tech (Artificial Intelligence)</w:t>
            </w:r>
          </w:p>
        </w:tc>
      </w:tr>
      <w:tr w14:paraId="47D2F3E2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9DD60F">
            <w:pPr>
              <w:spacing w:before="20" w:after="20"/>
            </w:pPr>
            <w:r>
              <w:rPr>
                <w:sz w:val="20"/>
                <w:szCs w:val="20"/>
              </w:rPr>
              <w:t>Course Code / Title</w:t>
            </w:r>
          </w:p>
        </w:tc>
        <w:tc>
          <w:tcPr>
            <w:tcW w:w="622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F101CC">
            <w:pPr>
              <w:spacing w:before="20" w:after="2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BCSE306L</w:t>
            </w:r>
          </w:p>
        </w:tc>
      </w:tr>
      <w:tr w14:paraId="54EFE345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74CBE">
            <w:pPr>
              <w:spacing w:before="20" w:after="20"/>
            </w:pPr>
            <w:r>
              <w:rPr>
                <w:sz w:val="20"/>
                <w:szCs w:val="20"/>
              </w:rPr>
              <w:t>Faculty</w:t>
            </w:r>
          </w:p>
        </w:tc>
        <w:tc>
          <w:tcPr>
            <w:tcW w:w="62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11AE0C">
            <w:pPr>
              <w:spacing w:before="20" w:after="20"/>
              <w:rPr>
                <w:rFonts w:hint="default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Dr. Vijayaprabakaran K</w:t>
            </w:r>
          </w:p>
        </w:tc>
      </w:tr>
      <w:tr w14:paraId="4C7E225F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C0FABF">
            <w:pPr>
              <w:spacing w:before="20" w:after="20"/>
            </w:pPr>
            <w:r>
              <w:rPr>
                <w:sz w:val="20"/>
                <w:szCs w:val="20"/>
              </w:rPr>
              <w:t>Academic Year / Semester</w:t>
            </w:r>
          </w:p>
        </w:tc>
        <w:tc>
          <w:tcPr>
            <w:tcW w:w="622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4D3276">
            <w:pPr>
              <w:spacing w:before="20" w:after="20"/>
              <w:rPr>
                <w:rFonts w:hint="default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2026-27 / Fall Semester</w:t>
            </w:r>
          </w:p>
        </w:tc>
      </w:tr>
      <w:tr w14:paraId="3928D8F4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6DC4A">
            <w:pPr>
              <w:spacing w:before="20" w:after="20"/>
            </w:pPr>
            <w:r>
              <w:rPr>
                <w:sz w:val="20"/>
                <w:szCs w:val="20"/>
              </w:rPr>
              <w:t>Total Weightage</w:t>
            </w:r>
          </w:p>
        </w:tc>
        <w:tc>
          <w:tcPr>
            <w:tcW w:w="62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43EFE7">
            <w:pPr>
              <w:spacing w:before="20" w:after="20"/>
            </w:pPr>
            <w:r>
              <w:rPr>
                <w:sz w:val="20"/>
                <w:szCs w:val="20"/>
              </w:rPr>
              <w:t>30 Marks  (DA1: 10  |  DA2: 10  |  DA3: 10)</w:t>
            </w:r>
          </w:p>
        </w:tc>
      </w:tr>
      <w:tr w14:paraId="4B87DB24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F716F8">
            <w:pPr>
              <w:spacing w:before="20" w:after="20"/>
            </w:pPr>
            <w:r>
              <w:rPr>
                <w:sz w:val="20"/>
                <w:szCs w:val="20"/>
              </w:rPr>
              <w:t>Team Size</w:t>
            </w:r>
          </w:p>
        </w:tc>
        <w:tc>
          <w:tcPr>
            <w:tcW w:w="622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C73516">
            <w:pPr>
              <w:spacing w:before="20" w:after="20"/>
            </w:pPr>
            <w:r>
              <w:rPr>
                <w:sz w:val="20"/>
                <w:szCs w:val="20"/>
              </w:rPr>
              <w:t>2–3 students</w:t>
            </w:r>
          </w:p>
        </w:tc>
      </w:tr>
    </w:tbl>
    <w:p w14:paraId="6253FB91">
      <w:pPr>
        <w:spacing w:after="0"/>
      </w:pPr>
    </w:p>
    <w:p w14:paraId="45CDB350">
      <w:pPr>
        <w:spacing w:after="0"/>
      </w:pPr>
    </w:p>
    <w:p w14:paraId="664C27E3">
      <w:r>
        <w:rPr>
          <w:b/>
          <w:bCs/>
          <w:color w:val="1F3864"/>
          <w:sz w:val="30"/>
          <w:szCs w:val="30"/>
        </w:rPr>
        <w:t>1.  Purpose of the Assignment</w:t>
      </w:r>
    </w:p>
    <w:p w14:paraId="10936CAA">
      <w:pPr>
        <w:pStyle w:val="7"/>
        <w:numPr>
          <w:ilvl w:val="0"/>
          <w:numId w:val="1"/>
        </w:numPr>
        <w:spacing w:before="40" w:after="60" w:line="276" w:lineRule="auto"/>
      </w:pPr>
      <w:r>
        <w:rPr>
          <w:sz w:val="21"/>
          <w:szCs w:val="21"/>
        </w:rPr>
        <w:t xml:space="preserve">Read and critically compare recent research papers rather than merely </w:t>
      </w:r>
      <w:r>
        <w:rPr>
          <w:sz w:val="21"/>
          <w:szCs w:val="21"/>
          <w:lang w:val="en-IN"/>
        </w:rPr>
        <w:t>summarize</w:t>
      </w:r>
      <w:r>
        <w:rPr>
          <w:sz w:val="21"/>
          <w:szCs w:val="21"/>
        </w:rPr>
        <w:t xml:space="preserve"> them.</w:t>
      </w:r>
    </w:p>
    <w:p w14:paraId="5F5D74D7">
      <w:pPr>
        <w:pStyle w:val="7"/>
        <w:numPr>
          <w:ilvl w:val="0"/>
          <w:numId w:val="1"/>
        </w:numPr>
        <w:spacing w:before="40" w:after="60" w:line="276" w:lineRule="auto"/>
      </w:pPr>
      <w:r>
        <w:rPr>
          <w:sz w:val="21"/>
          <w:szCs w:val="21"/>
        </w:rPr>
        <w:t>Convert a broad application area into a specific, testable problem statement.</w:t>
      </w:r>
    </w:p>
    <w:p w14:paraId="58BBD621">
      <w:pPr>
        <w:pStyle w:val="7"/>
        <w:numPr>
          <w:ilvl w:val="0"/>
          <w:numId w:val="1"/>
        </w:numPr>
        <w:spacing w:before="40" w:after="60" w:line="276" w:lineRule="auto"/>
      </w:pPr>
      <w:r>
        <w:rPr>
          <w:sz w:val="21"/>
          <w:szCs w:val="21"/>
        </w:rPr>
        <w:t>Design and implement a system, and benchmark it against published baselines.</w:t>
      </w:r>
    </w:p>
    <w:p w14:paraId="3EBA7CFD">
      <w:pPr>
        <w:pStyle w:val="7"/>
        <w:numPr>
          <w:ilvl w:val="0"/>
          <w:numId w:val="1"/>
        </w:numPr>
        <w:spacing w:before="40" w:after="60" w:line="276" w:lineRule="auto"/>
      </w:pPr>
      <w:r>
        <w:rPr>
          <w:sz w:val="21"/>
          <w:szCs w:val="21"/>
        </w:rPr>
        <w:t>Communicate technical work in IEEE conference format or in a patent disclosure format.</w:t>
      </w:r>
      <w:r>
        <w:rPr>
          <w:rFonts w:hint="default"/>
          <w:sz w:val="21"/>
          <w:szCs w:val="21"/>
          <w:lang w:val="en-IN"/>
        </w:rPr>
        <w:t xml:space="preserve"> (Publishing is not mandatory but document submission is mandatory). </w:t>
      </w:r>
    </w:p>
    <w:p w14:paraId="32CEFDDE">
      <w:pPr>
        <w:pStyle w:val="2"/>
        <w:spacing w:before="320" w:after="160"/>
      </w:pPr>
      <w:r>
        <w:rPr>
          <w:b/>
          <w:bCs/>
          <w:color w:val="1F3864"/>
          <w:sz w:val="30"/>
          <w:szCs w:val="30"/>
        </w:rPr>
        <w:t>2.  Team Formation and General Rules</w:t>
      </w:r>
    </w:p>
    <w:tbl>
      <w:tblPr>
        <w:tblStyle w:val="6"/>
        <w:tblW w:w="9020" w:type="dxa"/>
        <w:tblInd w:w="0" w:type="dxa"/>
        <w:tblBorders>
          <w:top w:val="single" w:color="9DB0D0" w:sz="4" w:space="0"/>
          <w:left w:val="single" w:color="9DB0D0" w:sz="4" w:space="0"/>
          <w:bottom w:val="single" w:color="9DB0D0" w:sz="4" w:space="0"/>
          <w:right w:val="single" w:color="9DB0D0" w:sz="4" w:space="0"/>
          <w:insideH w:val="single" w:color="C7D2E6" w:sz="2" w:space="0"/>
          <w:insideV w:val="single" w:color="C7D2E6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0"/>
      </w:tblGrid>
      <w:tr w14:paraId="1DF7A329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0C2E6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62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80B33E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Rule</w:t>
            </w:r>
          </w:p>
        </w:tc>
      </w:tr>
      <w:tr w14:paraId="0C3BD566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CF1F29">
            <w:pPr>
              <w:spacing w:before="20" w:after="20"/>
            </w:pPr>
            <w:r>
              <w:rPr>
                <w:sz w:val="20"/>
                <w:szCs w:val="20"/>
              </w:rPr>
              <w:t>Team size</w:t>
            </w:r>
          </w:p>
        </w:tc>
        <w:tc>
          <w:tcPr>
            <w:tcW w:w="66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E72415">
            <w:pPr>
              <w:spacing w:before="20" w:after="20"/>
            </w:pPr>
            <w:r>
              <w:rPr>
                <w:rFonts w:hint="default"/>
                <w:sz w:val="20"/>
                <w:szCs w:val="20"/>
                <w:lang w:val="en-IN"/>
              </w:rPr>
              <w:t>1</w:t>
            </w:r>
            <w:r>
              <w:rPr>
                <w:sz w:val="20"/>
                <w:szCs w:val="20"/>
              </w:rPr>
              <w:t xml:space="preserve">–3 students. </w:t>
            </w:r>
          </w:p>
        </w:tc>
      </w:tr>
      <w:tr w14:paraId="5C173643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1A3DC4">
            <w:pPr>
              <w:spacing w:before="20" w:after="20"/>
            </w:pPr>
            <w:r>
              <w:rPr>
                <w:sz w:val="20"/>
                <w:szCs w:val="20"/>
              </w:rPr>
              <w:t>Topic approval</w:t>
            </w:r>
          </w:p>
        </w:tc>
        <w:tc>
          <w:tcPr>
            <w:tcW w:w="662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4017E1">
            <w:pPr>
              <w:spacing w:before="20" w:after="20"/>
            </w:pPr>
            <w:r>
              <w:rPr>
                <w:sz w:val="20"/>
                <w:szCs w:val="20"/>
              </w:rPr>
              <w:t>Mandatory. The topic must be locked befor</w:t>
            </w:r>
            <w:r>
              <w:rPr>
                <w:rFonts w:hint="default"/>
                <w:sz w:val="20"/>
                <w:szCs w:val="20"/>
                <w:lang w:val="en-IN"/>
              </w:rPr>
              <w:t xml:space="preserve">e </w:t>
            </w:r>
            <w:r>
              <w:rPr>
                <w:rFonts w:hint="default"/>
                <w:b/>
                <w:bCs/>
                <w:sz w:val="20"/>
                <w:szCs w:val="20"/>
                <w:lang w:val="en-IN"/>
              </w:rPr>
              <w:t>25.07.2026</w:t>
            </w:r>
            <w:r>
              <w:rPr>
                <w:b/>
                <w:bCs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No two teams may take the same problem statement.</w:t>
            </w:r>
          </w:p>
        </w:tc>
      </w:tr>
      <w:tr w14:paraId="06CE7572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93F09D">
            <w:pPr>
              <w:spacing w:before="20" w:after="20"/>
            </w:pPr>
            <w:r>
              <w:rPr>
                <w:sz w:val="20"/>
                <w:szCs w:val="20"/>
              </w:rPr>
              <w:t>Contribution</w:t>
            </w:r>
          </w:p>
        </w:tc>
        <w:tc>
          <w:tcPr>
            <w:tcW w:w="662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70E11">
            <w:pPr>
              <w:spacing w:before="20" w:after="20"/>
            </w:pPr>
            <w:r>
              <w:rPr>
                <w:sz w:val="20"/>
                <w:szCs w:val="20"/>
              </w:rPr>
              <w:t>Every team must submit a contribution matrix (who did what, % effort) with each DA.</w:t>
            </w:r>
          </w:p>
        </w:tc>
      </w:tr>
      <w:tr w14:paraId="5F6D2A8E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F747AB">
            <w:pPr>
              <w:spacing w:before="20" w:after="20"/>
            </w:pPr>
            <w:r>
              <w:rPr>
                <w:sz w:val="20"/>
                <w:szCs w:val="20"/>
              </w:rPr>
              <w:t>Code hosting</w:t>
            </w:r>
          </w:p>
        </w:tc>
        <w:tc>
          <w:tcPr>
            <w:tcW w:w="66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8C0FA8">
            <w:pPr>
              <w:spacing w:before="20" w:after="20"/>
            </w:pPr>
            <w:r>
              <w:rPr>
                <w:sz w:val="20"/>
                <w:szCs w:val="20"/>
              </w:rPr>
              <w:t>A GitHub repository is mandatory from DA1 onwards. Commit history will be checked.</w:t>
            </w:r>
          </w:p>
        </w:tc>
      </w:tr>
      <w:tr w14:paraId="5C2B60A6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08F68A">
            <w:pPr>
              <w:spacing w:before="20" w:after="20"/>
            </w:pPr>
            <w:r>
              <w:rPr>
                <w:sz w:val="20"/>
                <w:szCs w:val="20"/>
              </w:rPr>
              <w:t>Datasets</w:t>
            </w:r>
          </w:p>
        </w:tc>
        <w:tc>
          <w:tcPr>
            <w:tcW w:w="662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B777AD">
            <w:pPr>
              <w:spacing w:before="20" w:after="20"/>
            </w:pPr>
            <w:r>
              <w:rPr>
                <w:sz w:val="20"/>
                <w:szCs w:val="20"/>
              </w:rPr>
              <w:t xml:space="preserve">Public benchmark datasets are acceptable. </w:t>
            </w:r>
          </w:p>
        </w:tc>
      </w:tr>
    </w:tbl>
    <w:p w14:paraId="6C015969">
      <w:pPr>
        <w:pStyle w:val="2"/>
        <w:spacing w:before="320" w:after="160"/>
        <w:rPr>
          <w:b/>
          <w:bCs/>
          <w:color w:val="1F3864"/>
          <w:sz w:val="30"/>
          <w:szCs w:val="30"/>
        </w:rPr>
      </w:pPr>
    </w:p>
    <w:p w14:paraId="24E218EA">
      <w:pPr>
        <w:pStyle w:val="2"/>
        <w:spacing w:before="320" w:after="160"/>
      </w:pPr>
      <w:r>
        <w:rPr>
          <w:b/>
          <w:bCs/>
          <w:color w:val="1F3864"/>
          <w:sz w:val="30"/>
          <w:szCs w:val="30"/>
        </w:rPr>
        <w:t>3.  Timeline</w:t>
      </w:r>
    </w:p>
    <w:tbl>
      <w:tblPr>
        <w:tblStyle w:val="6"/>
        <w:tblW w:w="9020" w:type="dxa"/>
        <w:tblInd w:w="0" w:type="dxa"/>
        <w:tblBorders>
          <w:top w:val="single" w:color="9DB0D0" w:sz="4" w:space="0"/>
          <w:left w:val="single" w:color="9DB0D0" w:sz="4" w:space="0"/>
          <w:bottom w:val="single" w:color="9DB0D0" w:sz="4" w:space="0"/>
          <w:right w:val="single" w:color="9DB0D0" w:sz="4" w:space="0"/>
          <w:insideH w:val="single" w:color="C7D2E6" w:sz="2" w:space="0"/>
          <w:insideV w:val="single" w:color="C7D2E6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700"/>
        <w:gridCol w:w="1300"/>
        <w:gridCol w:w="1450"/>
        <w:gridCol w:w="1270"/>
      </w:tblGrid>
      <w:tr w14:paraId="75EEFBA6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1BB385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370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D61A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Deliverable</w:t>
            </w:r>
          </w:p>
        </w:tc>
        <w:tc>
          <w:tcPr>
            <w:tcW w:w="130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F69A7F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45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8023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Submission</w:t>
            </w:r>
          </w:p>
        </w:tc>
        <w:tc>
          <w:tcPr>
            <w:tcW w:w="127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5D5BC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Marks</w:t>
            </w:r>
          </w:p>
        </w:tc>
      </w:tr>
      <w:tr w14:paraId="2A215E47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0BC464">
            <w:pPr>
              <w:spacing w:before="20" w:after="20"/>
            </w:pPr>
            <w:r>
              <w:rPr>
                <w:sz w:val="20"/>
                <w:szCs w:val="20"/>
              </w:rPr>
              <w:t>Topic Approval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396D1A">
            <w:pPr>
              <w:spacing w:before="20" w:after="20"/>
            </w:pPr>
            <w:r>
              <w:rPr>
                <w:sz w:val="20"/>
                <w:szCs w:val="20"/>
              </w:rPr>
              <w:t>One-page topic proposal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D4F30">
            <w:pPr>
              <w:spacing w:before="20" w:after="20"/>
            </w:pPr>
          </w:p>
        </w:tc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660241">
            <w:pPr>
              <w:spacing w:before="20" w:after="2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25</w:t>
            </w:r>
            <w:r>
              <w:rPr>
                <w:rFonts w:hint="default"/>
                <w:vertAlign w:val="superscript"/>
                <w:lang w:val="en-IN"/>
              </w:rPr>
              <w:t>th</w:t>
            </w:r>
            <w:r>
              <w:rPr>
                <w:rFonts w:hint="default"/>
                <w:lang w:val="en-IN"/>
              </w:rPr>
              <w:t xml:space="preserve"> July</w:t>
            </w:r>
          </w:p>
        </w:tc>
        <w:tc>
          <w:tcPr>
            <w:tcW w:w="12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25DD7B">
            <w:pPr>
              <w:spacing w:before="20" w:after="20"/>
            </w:pPr>
            <w:r>
              <w:rPr>
                <w:sz w:val="20"/>
                <w:szCs w:val="20"/>
              </w:rPr>
              <w:t>—</w:t>
            </w:r>
          </w:p>
        </w:tc>
      </w:tr>
      <w:tr w14:paraId="7ABCD96A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6F894E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DA1</w:t>
            </w:r>
          </w:p>
        </w:tc>
        <w:tc>
          <w:tcPr>
            <w:tcW w:w="37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51C983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Problem identification, literature survey, problem statement, proposed architecture</w:t>
            </w:r>
          </w:p>
        </w:tc>
        <w:tc>
          <w:tcPr>
            <w:tcW w:w="13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96A6FF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Weeks 2–5</w:t>
            </w:r>
          </w:p>
        </w:tc>
        <w:tc>
          <w:tcPr>
            <w:tcW w:w="145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DB6B42">
            <w:pPr>
              <w:spacing w:before="20" w:after="20"/>
              <w:rPr>
                <w:rFonts w:hint="default"/>
                <w:b/>
                <w:bCs/>
                <w:lang w:val="en-I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IN"/>
              </w:rPr>
              <w:t>07.08.2026</w:t>
            </w:r>
          </w:p>
        </w:tc>
        <w:tc>
          <w:tcPr>
            <w:tcW w:w="127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A94EF3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14:paraId="5561C63B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4F9A4">
            <w:pPr>
              <w:spacing w:before="20" w:after="20"/>
            </w:pPr>
            <w:r>
              <w:rPr>
                <w:sz w:val="20"/>
                <w:szCs w:val="20"/>
              </w:rPr>
              <w:t>DA2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CE72AE">
            <w:pPr>
              <w:spacing w:before="20" w:after="20"/>
            </w:pPr>
            <w:r>
              <w:rPr>
                <w:sz w:val="20"/>
                <w:szCs w:val="20"/>
              </w:rPr>
              <w:t>Implementation and comparison with SOTA baselines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61F26A">
            <w:pPr>
              <w:spacing w:before="20" w:after="20"/>
            </w:pPr>
            <w:r>
              <w:rPr>
                <w:sz w:val="20"/>
                <w:szCs w:val="20"/>
              </w:rPr>
              <w:t>Weeks 6–11</w:t>
            </w:r>
          </w:p>
        </w:tc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3EE444">
            <w:pPr>
              <w:spacing w:before="20" w:after="20"/>
              <w:rPr>
                <w:rFonts w:hint="default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20.09.2026</w:t>
            </w:r>
          </w:p>
        </w:tc>
        <w:tc>
          <w:tcPr>
            <w:tcW w:w="12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2A8EA1">
            <w:pPr>
              <w:spacing w:before="20" w:after="20"/>
            </w:pPr>
            <w:r>
              <w:rPr>
                <w:sz w:val="20"/>
                <w:szCs w:val="20"/>
              </w:rPr>
              <w:t>10</w:t>
            </w:r>
          </w:p>
        </w:tc>
      </w:tr>
      <w:tr w14:paraId="62E8D740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F42599">
            <w:pPr>
              <w:spacing w:before="20" w:after="20"/>
            </w:pPr>
            <w:r>
              <w:rPr>
                <w:sz w:val="20"/>
                <w:szCs w:val="20"/>
              </w:rPr>
              <w:t>DA3</w:t>
            </w:r>
          </w:p>
        </w:tc>
        <w:tc>
          <w:tcPr>
            <w:tcW w:w="37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3B6731">
            <w:pPr>
              <w:spacing w:before="20" w:after="20"/>
            </w:pPr>
            <w:r>
              <w:rPr>
                <w:sz w:val="20"/>
                <w:szCs w:val="20"/>
              </w:rPr>
              <w:t>IEEE-format paper or patent draft, with result analysis</w:t>
            </w:r>
          </w:p>
        </w:tc>
        <w:tc>
          <w:tcPr>
            <w:tcW w:w="13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5012E6">
            <w:pPr>
              <w:spacing w:before="20" w:after="20"/>
            </w:pPr>
            <w:r>
              <w:rPr>
                <w:sz w:val="20"/>
                <w:szCs w:val="20"/>
              </w:rPr>
              <w:t>Weeks 12–14</w:t>
            </w:r>
          </w:p>
        </w:tc>
        <w:tc>
          <w:tcPr>
            <w:tcW w:w="145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2ADA1">
            <w:pPr>
              <w:spacing w:before="20" w:after="20"/>
              <w:rPr>
                <w:rFonts w:hint="default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20.10.2026</w:t>
            </w:r>
          </w:p>
        </w:tc>
        <w:tc>
          <w:tcPr>
            <w:tcW w:w="127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2D61F">
            <w:pPr>
              <w:spacing w:before="20" w:after="20"/>
            </w:pPr>
            <w:r>
              <w:rPr>
                <w:sz w:val="20"/>
                <w:szCs w:val="20"/>
              </w:rPr>
              <w:t>10</w:t>
            </w:r>
          </w:p>
        </w:tc>
      </w:tr>
    </w:tbl>
    <w:p w14:paraId="0EDE9DB9"/>
    <w:p w14:paraId="53B9AB91">
      <w:pPr>
        <w:pStyle w:val="2"/>
        <w:spacing w:before="320" w:after="160"/>
      </w:pPr>
      <w:r>
        <w:rPr>
          <w:b/>
          <w:bCs/>
          <w:color w:val="1F3864"/>
          <w:sz w:val="30"/>
          <w:szCs w:val="30"/>
        </w:rPr>
        <w:t>4.  DA1 — Problem Identification, Literature Survey, Problem Statement and Proposed Architecture</w:t>
      </w:r>
    </w:p>
    <w:p w14:paraId="6AE5DDF6">
      <w:pPr>
        <w:spacing w:before="60" w:after="120" w:line="276" w:lineRule="auto"/>
      </w:pPr>
      <w:r>
        <w:rPr>
          <w:b/>
          <w:bCs/>
          <w:sz w:val="21"/>
          <w:szCs w:val="21"/>
        </w:rPr>
        <w:t xml:space="preserve">Weightage: </w:t>
      </w:r>
      <w:r>
        <w:rPr>
          <w:sz w:val="21"/>
          <w:szCs w:val="21"/>
        </w:rPr>
        <w:t xml:space="preserve">10 marks     |     </w:t>
      </w:r>
      <w:r>
        <w:rPr>
          <w:b/>
          <w:bCs/>
          <w:sz w:val="21"/>
          <w:szCs w:val="21"/>
        </w:rPr>
        <w:t xml:space="preserve">Suggested length: </w:t>
      </w:r>
      <w:r>
        <w:rPr>
          <w:rFonts w:hint="default"/>
          <w:b/>
          <w:bCs/>
          <w:sz w:val="21"/>
          <w:szCs w:val="21"/>
          <w:lang w:val="en-IN"/>
        </w:rPr>
        <w:t>4</w:t>
      </w:r>
      <w:r>
        <w:rPr>
          <w:sz w:val="21"/>
          <w:szCs w:val="21"/>
        </w:rPr>
        <w:t>–</w:t>
      </w:r>
      <w:r>
        <w:rPr>
          <w:rFonts w:hint="default"/>
          <w:sz w:val="21"/>
          <w:szCs w:val="21"/>
          <w:lang w:val="en-IN"/>
        </w:rPr>
        <w:t>5</w:t>
      </w:r>
      <w:r>
        <w:rPr>
          <w:sz w:val="21"/>
          <w:szCs w:val="21"/>
        </w:rPr>
        <w:t xml:space="preserve"> pages</w:t>
      </w:r>
    </w:p>
    <w:p w14:paraId="44F35C39">
      <w:pPr>
        <w:pStyle w:val="3"/>
        <w:spacing w:before="240" w:after="120"/>
      </w:pPr>
      <w:r>
        <w:rPr>
          <w:b/>
          <w:bCs/>
          <w:color w:val="1F3864"/>
          <w:sz w:val="24"/>
          <w:szCs w:val="24"/>
        </w:rPr>
        <w:t>4.1  What to Submit</w:t>
      </w:r>
    </w:p>
    <w:p w14:paraId="02003C19">
      <w:pPr>
        <w:pStyle w:val="4"/>
        <w:spacing w:before="200" w:after="100"/>
      </w:pPr>
      <w:r>
        <w:rPr>
          <w:b/>
          <w:bCs/>
          <w:color w:val="2E2E2E"/>
          <w:sz w:val="22"/>
          <w:szCs w:val="22"/>
        </w:rPr>
        <w:t>(a)  Problem Identification — Domain and Motivation</w:t>
      </w:r>
    </w:p>
    <w:p w14:paraId="2BCC7EF2">
      <w:pPr>
        <w:pStyle w:val="7"/>
        <w:numPr>
          <w:ilvl w:val="0"/>
          <w:numId w:val="2"/>
        </w:numPr>
        <w:spacing w:before="40" w:after="60" w:line="276" w:lineRule="auto"/>
      </w:pPr>
      <w:r>
        <w:rPr>
          <w:sz w:val="21"/>
          <w:szCs w:val="21"/>
        </w:rPr>
        <w:t>Describe the application domain and why it matters. Quantify it using credible sources (WHO, government reports, peer-reviewed surveys) rather than vague claims.</w:t>
      </w:r>
    </w:p>
    <w:p w14:paraId="5616B268">
      <w:pPr>
        <w:pStyle w:val="7"/>
        <w:numPr>
          <w:ilvl w:val="0"/>
          <w:numId w:val="2"/>
        </w:numPr>
        <w:spacing w:before="40" w:after="60" w:line="276" w:lineRule="auto"/>
      </w:pPr>
      <w:r>
        <w:rPr>
          <w:sz w:val="21"/>
          <w:szCs w:val="21"/>
        </w:rPr>
        <w:t>Identify the stakeholder and the decision your system supports.</w:t>
      </w:r>
    </w:p>
    <w:p w14:paraId="013E0B26">
      <w:pPr>
        <w:pStyle w:val="4"/>
        <w:spacing w:before="200" w:after="100"/>
      </w:pPr>
      <w:r>
        <w:rPr>
          <w:b/>
          <w:bCs/>
          <w:color w:val="2E2E2E"/>
          <w:sz w:val="22"/>
          <w:szCs w:val="22"/>
        </w:rPr>
        <w:t>(b)  Literature Survey</w:t>
      </w:r>
    </w:p>
    <w:p w14:paraId="19A98094">
      <w:pPr>
        <w:pStyle w:val="7"/>
        <w:numPr>
          <w:ilvl w:val="0"/>
          <w:numId w:val="2"/>
        </w:numPr>
        <w:spacing w:before="40" w:after="60" w:line="276" w:lineRule="auto"/>
      </w:pPr>
      <w:r>
        <w:rPr>
          <w:sz w:val="21"/>
          <w:szCs w:val="21"/>
        </w:rPr>
        <w:t>Minimum 15 papers, of which at least 10 must be from the last three years and from reputed venues (IEEE, Elsevier, Springer, MICCAI, CVPR, NeurIPS, ACL, or Q1/Q2 journals).</w:t>
      </w:r>
    </w:p>
    <w:p w14:paraId="1F113AA9">
      <w:pPr>
        <w:pStyle w:val="7"/>
        <w:numPr>
          <w:ilvl w:val="0"/>
          <w:numId w:val="2"/>
        </w:numPr>
        <w:spacing w:before="40" w:after="60" w:line="276" w:lineRule="auto"/>
      </w:pPr>
      <w:r>
        <w:rPr>
          <w:rFonts w:hint="default"/>
          <w:sz w:val="21"/>
          <w:szCs w:val="21"/>
          <w:lang w:val="en-IN"/>
        </w:rPr>
        <w:t>Conference</w:t>
      </w:r>
      <w:r>
        <w:rPr>
          <w:sz w:val="21"/>
          <w:szCs w:val="21"/>
        </w:rPr>
        <w:t xml:space="preserve"> </w:t>
      </w:r>
      <w:r>
        <w:rPr>
          <w:rFonts w:hint="default"/>
          <w:sz w:val="21"/>
          <w:szCs w:val="21"/>
          <w:lang w:val="en-IN"/>
        </w:rPr>
        <w:t xml:space="preserve">papers </w:t>
      </w:r>
      <w:r>
        <w:rPr>
          <w:sz w:val="21"/>
          <w:szCs w:val="21"/>
        </w:rPr>
        <w:t>and unreviewed preprints may be cited as supporting material only, and must not exceed three references.</w:t>
      </w:r>
    </w:p>
    <w:p w14:paraId="3E6557C5">
      <w:pPr>
        <w:pStyle w:val="7"/>
        <w:numPr>
          <w:ilvl w:val="0"/>
          <w:numId w:val="2"/>
        </w:numPr>
        <w:spacing w:before="40" w:after="60" w:line="276" w:lineRule="auto"/>
      </w:pPr>
      <w:r>
        <w:rPr>
          <w:sz w:val="21"/>
          <w:szCs w:val="21"/>
        </w:rPr>
        <w:t>Present the survey as a comparison table, not as paragraph-wise summaries:</w:t>
      </w:r>
    </w:p>
    <w:p w14:paraId="7237BE9D">
      <w:pPr>
        <w:spacing w:after="0"/>
      </w:pPr>
    </w:p>
    <w:tbl>
      <w:tblPr>
        <w:tblStyle w:val="6"/>
        <w:tblW w:w="9020" w:type="dxa"/>
        <w:tblInd w:w="0" w:type="dxa"/>
        <w:tblBorders>
          <w:top w:val="single" w:color="9DB0D0" w:sz="4" w:space="0"/>
          <w:left w:val="single" w:color="9DB0D0" w:sz="4" w:space="0"/>
          <w:bottom w:val="single" w:color="9DB0D0" w:sz="4" w:space="0"/>
          <w:right w:val="single" w:color="9DB0D0" w:sz="4" w:space="0"/>
          <w:insideH w:val="single" w:color="C7D2E6" w:sz="2" w:space="0"/>
          <w:insideV w:val="single" w:color="C7D2E6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800"/>
        <w:gridCol w:w="1500"/>
        <w:gridCol w:w="2100"/>
        <w:gridCol w:w="1900"/>
        <w:gridCol w:w="1820"/>
      </w:tblGrid>
      <w:tr w14:paraId="62EC5EE8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</w:tblPrEx>
        <w:trPr>
          <w:tblHeader/>
        </w:trPr>
        <w:tc>
          <w:tcPr>
            <w:tcW w:w="90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6506E6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Ref.</w:t>
            </w:r>
          </w:p>
        </w:tc>
        <w:tc>
          <w:tcPr>
            <w:tcW w:w="80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5D1E8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150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BE268B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210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A73B1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Method / Architecture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4AC7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Key Metric &amp; Value</w:t>
            </w:r>
          </w:p>
        </w:tc>
        <w:tc>
          <w:tcPr>
            <w:tcW w:w="182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6F1295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Stated Limitation</w:t>
            </w:r>
          </w:p>
        </w:tc>
      </w:tr>
      <w:tr w14:paraId="7A307215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D5C752">
            <w:pPr>
              <w:spacing w:before="20" w:after="20"/>
            </w:pPr>
            <w:r>
              <w:rPr>
                <w:sz w:val="20"/>
                <w:szCs w:val="20"/>
              </w:rPr>
              <w:t>[1]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E0473D">
            <w:pPr>
              <w:spacing w:before="20" w:after="20"/>
            </w:pPr>
            <w:r>
              <w:rPr>
                <w:sz w:val="20"/>
                <w:szCs w:val="20"/>
              </w:rPr>
              <w:t>2024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E98CD">
            <w:pPr>
              <w:spacing w:before="20" w:after="20"/>
            </w:pP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1DFBA5">
            <w:pPr>
              <w:spacing w:before="20" w:after="20"/>
            </w:pP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4ED197">
            <w:pPr>
              <w:spacing w:before="20" w:after="20"/>
            </w:pPr>
          </w:p>
        </w:tc>
        <w:tc>
          <w:tcPr>
            <w:tcW w:w="18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4FB4C9">
            <w:pPr>
              <w:spacing w:before="20" w:after="20"/>
            </w:pPr>
          </w:p>
        </w:tc>
      </w:tr>
      <w:tr w14:paraId="6B14647B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3BD73E">
            <w:pPr>
              <w:spacing w:before="20" w:after="20"/>
            </w:pPr>
            <w:r>
              <w:rPr>
                <w:sz w:val="20"/>
                <w:szCs w:val="20"/>
              </w:rPr>
              <w:t>[2]</w:t>
            </w:r>
          </w:p>
        </w:tc>
        <w:tc>
          <w:tcPr>
            <w:tcW w:w="8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D3DB68">
            <w:pPr>
              <w:spacing w:before="20" w:after="20"/>
            </w:pPr>
          </w:p>
        </w:tc>
        <w:tc>
          <w:tcPr>
            <w:tcW w:w="15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9CA249">
            <w:pPr>
              <w:spacing w:before="20" w:after="20"/>
            </w:pPr>
          </w:p>
        </w:tc>
        <w:tc>
          <w:tcPr>
            <w:tcW w:w="21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43BABA">
            <w:pPr>
              <w:spacing w:before="20" w:after="20"/>
            </w:pPr>
          </w:p>
        </w:tc>
        <w:tc>
          <w:tcPr>
            <w:tcW w:w="19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3A96E">
            <w:pPr>
              <w:spacing w:before="20" w:after="20"/>
            </w:pPr>
          </w:p>
        </w:tc>
        <w:tc>
          <w:tcPr>
            <w:tcW w:w="182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912E6">
            <w:pPr>
              <w:spacing w:before="20" w:after="20"/>
            </w:pPr>
          </w:p>
        </w:tc>
      </w:tr>
    </w:tbl>
    <w:p w14:paraId="1448B2F3">
      <w:pPr>
        <w:spacing w:after="0"/>
      </w:pPr>
    </w:p>
    <w:p w14:paraId="0E94221F">
      <w:pPr>
        <w:pStyle w:val="7"/>
        <w:numPr>
          <w:ilvl w:val="0"/>
          <w:numId w:val="2"/>
        </w:numPr>
        <w:spacing w:before="40" w:after="60" w:line="276" w:lineRule="auto"/>
      </w:pPr>
      <w:r>
        <w:rPr>
          <w:sz w:val="21"/>
          <w:szCs w:val="21"/>
        </w:rPr>
        <w:t xml:space="preserve">Follow the table with a Research Gap subsection listing 3–5 gaps that emerge from it. </w:t>
      </w:r>
    </w:p>
    <w:p w14:paraId="3773B866">
      <w:pPr>
        <w:pStyle w:val="4"/>
        <w:spacing w:before="200" w:after="100"/>
      </w:pPr>
      <w:r>
        <w:rPr>
          <w:b/>
          <w:bCs/>
          <w:color w:val="2E2E2E"/>
          <w:sz w:val="22"/>
          <w:szCs w:val="22"/>
        </w:rPr>
        <w:t>(c)  Problem Statement</w:t>
      </w:r>
    </w:p>
    <w:p w14:paraId="482C57A0">
      <w:pPr>
        <w:spacing w:before="60" w:after="120" w:line="276" w:lineRule="auto"/>
      </w:pPr>
      <w:r>
        <w:rPr>
          <w:sz w:val="21"/>
          <w:szCs w:val="21"/>
        </w:rPr>
        <w:t>A single well-formed paragraph containing four elements:</w:t>
      </w:r>
    </w:p>
    <w:tbl>
      <w:tblPr>
        <w:tblStyle w:val="6"/>
        <w:tblW w:w="9020" w:type="dxa"/>
        <w:tblInd w:w="0" w:type="dxa"/>
        <w:tblBorders>
          <w:top w:val="single" w:color="9DB0D0" w:sz="4" w:space="0"/>
          <w:left w:val="single" w:color="9DB0D0" w:sz="4" w:space="0"/>
          <w:bottom w:val="single" w:color="9DB0D0" w:sz="4" w:space="0"/>
          <w:right w:val="single" w:color="9DB0D0" w:sz="4" w:space="0"/>
          <w:insideH w:val="single" w:color="C7D2E6" w:sz="2" w:space="0"/>
          <w:insideV w:val="single" w:color="C7D2E6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7320"/>
      </w:tblGrid>
      <w:tr w14:paraId="46E67D06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3B671C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732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73466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What it specifies</w:t>
            </w:r>
          </w:p>
        </w:tc>
      </w:tr>
      <w:tr w14:paraId="4A51CD54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00F74B">
            <w:pPr>
              <w:spacing w:before="20" w:after="20"/>
            </w:pPr>
            <w:r>
              <w:rPr>
                <w:sz w:val="20"/>
                <w:szCs w:val="20"/>
              </w:rPr>
              <w:t>Input</w:t>
            </w:r>
          </w:p>
        </w:tc>
        <w:tc>
          <w:tcPr>
            <w:tcW w:w="7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1E43B6">
            <w:pPr>
              <w:spacing w:before="20" w:after="20"/>
            </w:pPr>
            <w:r>
              <w:rPr>
                <w:sz w:val="20"/>
                <w:szCs w:val="20"/>
              </w:rPr>
              <w:t>What the system consumes — modality, dimensions, volume.</w:t>
            </w:r>
          </w:p>
        </w:tc>
      </w:tr>
      <w:tr w14:paraId="13526630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1F9AA0">
            <w:pPr>
              <w:spacing w:before="20" w:after="20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732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9C1535">
            <w:pPr>
              <w:spacing w:before="20" w:after="20"/>
            </w:pPr>
            <w:r>
              <w:rPr>
                <w:sz w:val="20"/>
                <w:szCs w:val="20"/>
              </w:rPr>
              <w:t>What it produces — class label, mask, ranking, score.</w:t>
            </w:r>
          </w:p>
        </w:tc>
      </w:tr>
      <w:tr w14:paraId="044D66E5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487095">
            <w:pPr>
              <w:spacing w:before="20" w:after="20"/>
            </w:pPr>
            <w:r>
              <w:rPr>
                <w:sz w:val="20"/>
                <w:szCs w:val="20"/>
              </w:rPr>
              <w:t>Constraint</w:t>
            </w:r>
          </w:p>
        </w:tc>
        <w:tc>
          <w:tcPr>
            <w:tcW w:w="7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B58F3">
            <w:pPr>
              <w:spacing w:before="20" w:after="20"/>
            </w:pPr>
            <w:r>
              <w:rPr>
                <w:sz w:val="20"/>
                <w:szCs w:val="20"/>
              </w:rPr>
              <w:t>What makes it hard — limited labels, domain shift, latency, class imbalance, missing modality, privacy.</w:t>
            </w:r>
          </w:p>
        </w:tc>
      </w:tr>
      <w:tr w14:paraId="1FB46DD0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2D9068">
            <w:pPr>
              <w:spacing w:before="20" w:after="20"/>
            </w:pPr>
            <w:r>
              <w:rPr>
                <w:sz w:val="20"/>
                <w:szCs w:val="20"/>
              </w:rPr>
              <w:t>Success criterion</w:t>
            </w:r>
          </w:p>
        </w:tc>
        <w:tc>
          <w:tcPr>
            <w:tcW w:w="732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357E94">
            <w:pPr>
              <w:spacing w:before="20" w:after="20"/>
            </w:pPr>
            <w:r>
              <w:rPr>
                <w:sz w:val="20"/>
                <w:szCs w:val="20"/>
              </w:rPr>
              <w:t>The metric, and the baseline you will compare against.</w:t>
            </w:r>
          </w:p>
        </w:tc>
      </w:tr>
    </w:tbl>
    <w:p w14:paraId="1E68E842">
      <w:pPr>
        <w:spacing w:after="0"/>
      </w:pPr>
    </w:p>
    <w:p w14:paraId="3403C08E">
      <w:pPr>
        <w:spacing w:before="60" w:after="120" w:line="276" w:lineRule="auto"/>
      </w:pPr>
      <w:r>
        <w:rPr>
          <w:b/>
          <w:bCs/>
          <w:color w:val="A33A3A"/>
          <w:sz w:val="21"/>
          <w:szCs w:val="21"/>
        </w:rPr>
        <w:t xml:space="preserve">Weak: </w:t>
      </w:r>
      <w:r>
        <w:rPr>
          <w:i/>
          <w:iCs/>
          <w:sz w:val="21"/>
          <w:szCs w:val="21"/>
        </w:rPr>
        <w:t>“We will use deep learning for brain tumour detection.”</w:t>
      </w:r>
    </w:p>
    <w:p w14:paraId="71EE3E15">
      <w:pPr>
        <w:spacing w:before="60" w:after="120" w:line="276" w:lineRule="auto"/>
      </w:pPr>
      <w:r>
        <w:rPr>
          <w:b/>
          <w:bCs/>
          <w:color w:val="2E6B3A"/>
          <w:sz w:val="21"/>
          <w:szCs w:val="21"/>
        </w:rPr>
        <w:t xml:space="preserve">Acceptable: </w:t>
      </w:r>
      <w:r>
        <w:rPr>
          <w:i/>
          <w:iCs/>
          <w:sz w:val="21"/>
          <w:szCs w:val="21"/>
        </w:rPr>
        <w:t>“Given multi-parametric MRI volumes in which one or more sequences may be missing at inference time, segment the three tumour sub-regions such that mean Dice degrades by less than 5% relative to a full-modality nnU-Net baseline, evaluated across all 15 modality subsets of BraTS 2021.”</w:t>
      </w:r>
    </w:p>
    <w:p w14:paraId="1D8A6EC4">
      <w:pPr>
        <w:pStyle w:val="4"/>
        <w:spacing w:before="200" w:after="100"/>
      </w:pPr>
      <w:r>
        <w:rPr>
          <w:b/>
          <w:bCs/>
          <w:color w:val="2E2E2E"/>
          <w:sz w:val="22"/>
          <w:szCs w:val="22"/>
        </w:rPr>
        <w:t>(d)  Proposed System Architecture</w:t>
      </w:r>
    </w:p>
    <w:p w14:paraId="273E2B85">
      <w:pPr>
        <w:pStyle w:val="7"/>
        <w:numPr>
          <w:ilvl w:val="0"/>
          <w:numId w:val="2"/>
        </w:numPr>
        <w:spacing w:before="40" w:after="60" w:line="276" w:lineRule="auto"/>
      </w:pPr>
      <w:r>
        <w:rPr>
          <w:sz w:val="21"/>
          <w:szCs w:val="21"/>
        </w:rPr>
        <w:t>A block diagram of the complete pipeline: data acquisition → preprocessing → model → post-processing → evaluation → output/interface.</w:t>
      </w:r>
    </w:p>
    <w:p w14:paraId="66A50F93">
      <w:pPr>
        <w:pStyle w:val="7"/>
        <w:numPr>
          <w:ilvl w:val="0"/>
          <w:numId w:val="2"/>
        </w:numPr>
        <w:spacing w:before="40" w:after="60" w:line="276" w:lineRule="auto"/>
      </w:pPr>
      <w:r>
        <w:rPr>
          <w:sz w:val="21"/>
          <w:szCs w:val="21"/>
        </w:rPr>
        <w:t>A detailed model diagram with layer/module names, input–output tensor shapes, and the location of your proposed novelty clearly highlighted.</w:t>
      </w:r>
    </w:p>
    <w:p w14:paraId="5C530754">
      <w:pPr>
        <w:pStyle w:val="7"/>
        <w:numPr>
          <w:ilvl w:val="0"/>
          <w:numId w:val="2"/>
        </w:numPr>
        <w:spacing w:before="40" w:after="60" w:line="276" w:lineRule="auto"/>
      </w:pPr>
      <w:r>
        <w:rPr>
          <w:sz w:val="21"/>
          <w:szCs w:val="21"/>
        </w:rPr>
        <w:t>Justification for each design choice, backed by a citation or a stated hypothesis. “We added attention because it improves performance” is not a justification.</w:t>
      </w:r>
    </w:p>
    <w:p w14:paraId="5D0BB9FF">
      <w:pPr>
        <w:pStyle w:val="7"/>
        <w:numPr>
          <w:ilvl w:val="0"/>
          <w:numId w:val="2"/>
        </w:numPr>
        <w:spacing w:before="40" w:after="60" w:line="276" w:lineRule="auto"/>
      </w:pPr>
      <w:r>
        <w:rPr>
          <w:sz w:val="21"/>
          <w:szCs w:val="21"/>
        </w:rPr>
        <w:t>Planned experimental setup: dataset, split strategy, evaluation metrics, baselines, hardware, and the ablation studies you intend to run.</w:t>
      </w:r>
    </w:p>
    <w:p w14:paraId="4A1134ED">
      <w:pPr>
        <w:pStyle w:val="4"/>
        <w:spacing w:before="200" w:after="100"/>
      </w:pPr>
      <w:r>
        <w:rPr>
          <w:b/>
          <w:bCs/>
          <w:color w:val="2E2E2E"/>
          <w:sz w:val="22"/>
          <w:szCs w:val="22"/>
        </w:rPr>
        <w:t>(e)  Feasibility Note</w:t>
      </w:r>
    </w:p>
    <w:p w14:paraId="6465A8CB">
      <w:pPr>
        <w:spacing w:before="60" w:after="120" w:line="276" w:lineRule="auto"/>
      </w:pPr>
      <w:r>
        <w:rPr>
          <w:sz w:val="21"/>
          <w:szCs w:val="21"/>
        </w:rPr>
        <w:t>Half a page covering compute available, dataset size and access status, estimated training time, and identified risks with a fallback plan.</w:t>
      </w:r>
    </w:p>
    <w:p w14:paraId="429B362C">
      <w:pPr>
        <w:pStyle w:val="3"/>
        <w:spacing w:before="240" w:after="120"/>
      </w:pPr>
      <w:r>
        <w:rPr>
          <w:b/>
          <w:bCs/>
          <w:color w:val="1F3864"/>
          <w:sz w:val="24"/>
          <w:szCs w:val="24"/>
        </w:rPr>
        <w:t>4.2  DA1 Evaluation Rubric</w:t>
      </w:r>
    </w:p>
    <w:tbl>
      <w:tblPr>
        <w:tblStyle w:val="6"/>
        <w:tblW w:w="9020" w:type="dxa"/>
        <w:tblInd w:w="0" w:type="dxa"/>
        <w:tblBorders>
          <w:top w:val="single" w:color="9DB0D0" w:sz="4" w:space="0"/>
          <w:left w:val="single" w:color="9DB0D0" w:sz="4" w:space="0"/>
          <w:bottom w:val="single" w:color="9DB0D0" w:sz="4" w:space="0"/>
          <w:right w:val="single" w:color="9DB0D0" w:sz="4" w:space="0"/>
          <w:insideH w:val="single" w:color="C7D2E6" w:sz="2" w:space="0"/>
          <w:insideV w:val="single" w:color="C7D2E6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20"/>
        <w:gridCol w:w="2000"/>
      </w:tblGrid>
      <w:tr w14:paraId="763A3579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2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C1E37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200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5E66C8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Marks</w:t>
            </w:r>
          </w:p>
        </w:tc>
      </w:tr>
      <w:tr w14:paraId="1F91F3BE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09C4B">
            <w:pPr>
              <w:spacing w:before="20" w:after="20"/>
            </w:pPr>
            <w:r>
              <w:rPr>
                <w:b w:val="0"/>
                <w:bCs w:val="0"/>
                <w:sz w:val="20"/>
                <w:szCs w:val="20"/>
              </w:rPr>
              <w:t>Domain motivation, quantified and well-sourced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8E4A3E">
            <w:pPr>
              <w:spacing w:before="20" w:after="20"/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</w:tr>
      <w:tr w14:paraId="447DC386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2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B79F75">
            <w:pPr>
              <w:spacing w:before="20" w:after="20"/>
            </w:pPr>
            <w:r>
              <w:rPr>
                <w:b w:val="0"/>
                <w:bCs w:val="0"/>
                <w:sz w:val="20"/>
                <w:szCs w:val="20"/>
              </w:rPr>
              <w:t>Literature survey — coverage, recen</w:t>
            </w:r>
            <w:r>
              <w:rPr>
                <w:rFonts w:hint="default"/>
                <w:b w:val="0"/>
                <w:bCs w:val="0"/>
                <w:sz w:val="20"/>
                <w:szCs w:val="20"/>
                <w:lang w:val="en-IN"/>
              </w:rPr>
              <w:t>t and relevant</w:t>
            </w:r>
            <w:r>
              <w:rPr>
                <w:b w:val="0"/>
                <w:bCs w:val="0"/>
                <w:sz w:val="20"/>
                <w:szCs w:val="20"/>
              </w:rPr>
              <w:t>, quality of venues</w:t>
            </w:r>
          </w:p>
        </w:tc>
        <w:tc>
          <w:tcPr>
            <w:tcW w:w="20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9A4869">
            <w:pPr>
              <w:spacing w:before="20" w:after="20"/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</w:tr>
      <w:tr w14:paraId="7B7A021C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A65324">
            <w:pPr>
              <w:spacing w:before="20" w:after="20"/>
            </w:pPr>
            <w:r>
              <w:rPr>
                <w:b w:val="0"/>
                <w:bCs w:val="0"/>
                <w:sz w:val="20"/>
                <w:szCs w:val="20"/>
              </w:rPr>
              <w:t>Comparison table and derived research gap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13684C">
            <w:pPr>
              <w:spacing w:before="20" w:after="20"/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</w:tr>
      <w:tr w14:paraId="5C6525FD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2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6D0FF5">
            <w:pPr>
              <w:spacing w:before="20" w:after="20"/>
            </w:pPr>
            <w:r>
              <w:rPr>
                <w:b w:val="0"/>
                <w:bCs w:val="0"/>
                <w:sz w:val="20"/>
                <w:szCs w:val="20"/>
              </w:rPr>
              <w:t>Problem statement — specificity and testability</w:t>
            </w:r>
          </w:p>
        </w:tc>
        <w:tc>
          <w:tcPr>
            <w:tcW w:w="20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FAD41">
            <w:pPr>
              <w:spacing w:before="20" w:after="20"/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</w:tr>
      <w:tr w14:paraId="531DBB6C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F3ED13">
            <w:pPr>
              <w:spacing w:before="20" w:after="20"/>
            </w:pPr>
            <w:r>
              <w:rPr>
                <w:b w:val="0"/>
                <w:bCs w:val="0"/>
                <w:sz w:val="20"/>
                <w:szCs w:val="20"/>
              </w:rPr>
              <w:t>Proposed architecture — clarity, justification, novelty placement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3536FA">
            <w:pPr>
              <w:spacing w:before="20" w:after="20"/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</w:tr>
      <w:tr w14:paraId="624DA38C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2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F1563E">
            <w:pPr>
              <w:spacing w:before="20" w:after="20"/>
            </w:pPr>
            <w:r>
              <w:rPr>
                <w:b w:val="0"/>
                <w:bCs w:val="0"/>
                <w:sz w:val="20"/>
                <w:szCs w:val="20"/>
              </w:rPr>
              <w:t>Feasibility, reference formatting, presentation</w:t>
            </w:r>
          </w:p>
        </w:tc>
        <w:tc>
          <w:tcPr>
            <w:tcW w:w="2000" w:type="dxa"/>
            <w:shd w:val="clear" w:color="auto" w:fill="F2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2A9371">
            <w:pPr>
              <w:spacing w:before="20" w:after="20"/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</w:tr>
      <w:tr w14:paraId="52A6F1B3">
        <w:tblPrEx>
          <w:tblBorders>
            <w:top w:val="single" w:color="9DB0D0" w:sz="4" w:space="0"/>
            <w:left w:val="single" w:color="9DB0D0" w:sz="4" w:space="0"/>
            <w:bottom w:val="single" w:color="9DB0D0" w:sz="4" w:space="0"/>
            <w:right w:val="single" w:color="9DB0D0" w:sz="4" w:space="0"/>
            <w:insideH w:val="single" w:color="C7D2E6" w:sz="2" w:space="0"/>
            <w:insideV w:val="single" w:color="C7D2E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F6D39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415C76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</w:tbl>
    <w:p w14:paraId="117BE0B8">
      <w:r>
        <w:br w:type="page"/>
      </w:r>
    </w:p>
    <w:p w14:paraId="71D6975B">
      <w:pPr>
        <w:pStyle w:val="2"/>
        <w:spacing w:before="320" w:after="160"/>
        <w:rPr>
          <w:rFonts w:hint="default"/>
          <w:lang w:val="en-IN"/>
        </w:rPr>
      </w:pPr>
      <w:r>
        <w:rPr>
          <w:b/>
          <w:bCs/>
          <w:color w:val="1F3864"/>
          <w:sz w:val="30"/>
          <w:szCs w:val="30"/>
        </w:rPr>
        <w:t>Submission Checklist</w:t>
      </w:r>
      <w:r>
        <w:rPr>
          <w:rFonts w:hint="default"/>
          <w:b/>
          <w:bCs/>
          <w:color w:val="1F3864"/>
          <w:sz w:val="30"/>
          <w:szCs w:val="30"/>
          <w:lang w:val="en-IN"/>
        </w:rPr>
        <w:t xml:space="preserve"> for DA1</w:t>
      </w:r>
      <w:bookmarkStart w:id="0" w:name="_GoBack"/>
      <w:bookmarkEnd w:id="0"/>
    </w:p>
    <w:p w14:paraId="26A20A48">
      <w:pPr>
        <w:spacing w:before="30" w:after="50"/>
        <w:ind w:left="360"/>
      </w:pPr>
      <w:r>
        <w:rPr>
          <w:sz w:val="21"/>
          <w:szCs w:val="21"/>
        </w:rPr>
        <w:t>☐   Report PDF (8–12 pages)</w:t>
      </w:r>
    </w:p>
    <w:p w14:paraId="1DD1DF6C">
      <w:pPr>
        <w:spacing w:before="30" w:after="50"/>
        <w:ind w:left="360"/>
      </w:pPr>
      <w:r>
        <w:rPr>
          <w:sz w:val="21"/>
          <w:szCs w:val="21"/>
        </w:rPr>
        <w:t>☐   Literature comparison table with at least 15 references</w:t>
      </w:r>
    </w:p>
    <w:p w14:paraId="5B8F2482">
      <w:pPr>
        <w:spacing w:before="30" w:after="50"/>
        <w:ind w:left="360"/>
      </w:pPr>
      <w:r>
        <w:rPr>
          <w:sz w:val="21"/>
          <w:szCs w:val="21"/>
        </w:rPr>
        <w:t>☐   Architecture diagram as a separate high-resolution file</w:t>
      </w:r>
    </w:p>
    <w:p w14:paraId="67D63B78">
      <w:pPr>
        <w:spacing w:before="30" w:after="50"/>
        <w:ind w:left="360"/>
      </w:pPr>
      <w:r>
        <w:rPr>
          <w:sz w:val="21"/>
          <w:szCs w:val="21"/>
        </w:rPr>
        <w:t>☐   GitHub repository link with dataset-loading code committed</w:t>
      </w:r>
    </w:p>
    <w:p w14:paraId="4B31ABDE">
      <w:pPr>
        <w:spacing w:before="30" w:after="50"/>
        <w:ind w:left="360"/>
      </w:pPr>
      <w:r>
        <w:rPr>
          <w:sz w:val="21"/>
          <w:szCs w:val="21"/>
        </w:rPr>
        <w:t>☐   Contribution matrix</w:t>
      </w:r>
    </w:p>
    <w:p w14:paraId="39EEE6B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20" w:hanging="2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20" w:hanging="240"/>
      </w:pPr>
    </w:lvl>
    <w:lvl w:ilvl="1" w:tentative="0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3576A1"/>
    <w:rsid w:val="0835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qFormat/>
    <w:uiPriority w:val="0"/>
    <w:rPr>
      <w:rFonts w:ascii="Calibri" w:hAnsi="Calibri" w:eastAsia="Calibri" w:cs="Calibri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2026-07-21T05:07:00Z</dcterms:created>
  <dc:creator>Vijayaprabakaran k</dc:creator>
  <cp:lastModifiedBy>Vijayaprabakaran k</cp:lastModifiedBy>
  <dcterms:modified xsi:type="dcterms:W3CDTF">2026-07-21T05:09:49Z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15FEEDF999D54A0B8269C798BE45BC9B_11</vt:lpwstr>
  </property>
  <property fmtid="{D5CDD505-2E9C-101B-9397-08002B2CF9AE}" pid="4" name="KSOTemplateDocerSaveRecord">
    <vt:lpwstr>eyJoZGlkIjoiNzhiNmEzNzdiOTlmMzE3NDI1Y2ViNzcwY2RmOWQyOTYiLCJ1c2VySWQiOiI1NjcwNTgwMDk3MTAifQ==</vt:lpwstr>
  </property>
</Properties>
</file>