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34"/>
          <w:szCs w:val="34"/>
        </w:rPr>
        <w:t xml:space="preserve">Post-Quantum Secure Messaging: A Comparative Performance Study of Classical, ML-KEM, and Hybrid Key Exchange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Aakarsh Prabhu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    </w:t>
      </w: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Aditi R.</w:t>
      </w: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    </w:t>
      </w:r>
      <w:r>
        <w:rPr>
          <w:rFonts w:ascii="Times New Roman" w:cs="Times New Roman" w:eastAsia="Times New Roman" w:hAnsi="Times New Roman"/>
          <w:color w:val="111111"/>
          <w:sz w:val="22"/>
          <w:szCs w:val="22"/>
        </w:rPr>
        <w:t xml:space="preserve">Amar M Bendre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color w:val="111111"/>
          <w:sz w:val="18"/>
          <w:szCs w:val="18"/>
        </w:rPr>
        <w:t xml:space="preserve">Department of Computer Science and Engineering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color w:val="111111"/>
          <w:sz w:val="18"/>
          <w:szCs w:val="18"/>
        </w:rPr>
        <w:t xml:space="preserve">R. V. College of Engineering, Bengaluru 560059, India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Guide: Dr. Prapulla S B, Associate Professor  |  VI Semester, Network Programming and Security, 2025–26</w:t>
      </w: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cols w:num="1"/>
          <w:docGrid w:linePitch="360"/>
        </w:sectPr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/>
          <w:iCs/>
          <w:color w:val="111111"/>
          <w:sz w:val="18"/>
          <w:szCs w:val="18"/>
        </w:rPr>
        <w:t xml:space="preserve">Abstract—</w:t>
      </w:r>
      <w:r>
        <w:rPr>
          <w:rFonts w:ascii="Times New Roman" w:cs="Times New Roman" w:eastAsia="Times New Roman" w:hAnsi="Times New Roman"/>
          <w:color w:val="111111"/>
          <w:sz w:val="18"/>
          <w:szCs w:val="18"/>
        </w:rPr>
        <w:t xml:space="preserve">Public-key cryptography securing messaging traffic rests on the hardness of discrete logarithms and integer factoring, both of which Shor's algorithm solves in polynomial time on a quantum computer. This exposes confidential messaging to the harvest-now-decrypt-later (HNDL) threat. We present a real-time secure messaging system whose key-exchange primitive is a runtime-selectable, pluggable component supporting classical 2048-bit Diffie-Hellman, NIST-standardised ML-KEM-768 (FIPS 203), and a hybrid X25519+ML-KEM construction, all bound to a uniform AES-256-GCM layer via HKDF-SHA256. Across thirty isolated trials per mode, ML-KEM-768 achieves a median handshake of 0.355 ms versus 9.176 ms for cached DH and 11,344.014 ms for fresh DH — a 31,955× speedup over fresh DH — while fresh DH exhibits a 156× variance spread. The results show post-quantum migration to be a performance upgrade, not a cost.</w:t>
      </w:r>
    </w:p>
    <w:p>
      <w:pPr>
        <w:spacing w:after="140"/>
      </w:pPr>
      <w:r>
        <w:rPr>
          <w:rFonts w:ascii="Times New Roman" w:cs="Times New Roman" w:eastAsia="Times New Roman" w:hAnsi="Times New Roman"/>
          <w:b/>
          <w:bCs/>
          <w:i/>
          <w:iCs/>
          <w:color w:val="111111"/>
          <w:sz w:val="18"/>
          <w:szCs w:val="18"/>
        </w:rPr>
        <w:t xml:space="preserve">Index Terms—</w:t>
      </w:r>
      <w:r>
        <w:rPr>
          <w:rFonts w:ascii="Times New Roman" w:cs="Times New Roman" w:eastAsia="Times New Roman" w:hAnsi="Times New Roman"/>
          <w:color w:val="111111"/>
          <w:sz w:val="18"/>
          <w:szCs w:val="18"/>
        </w:rPr>
        <w:t xml:space="preserve">Post-quantum cryptography, ML-KEM, Kyber, key encapsulation, hybrid key exchange, AES-GCM, secure messaging, WebSockets, benchmarking.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I.  INTRODUCTION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Private messaging is among the most confidentiality-sensitive network applications: message contents frequently must remain secret for years or decades, far longer than the minutes-long secrecy lifetime for which most transport cryptography is designed. This long horizon interacts catastrophically with quantum computing. Shor's 1994 result showed that a sufficiently large quantum computer solves the discrete-logarithm and factoring problems in polynomial time, breaking all deployed asymmetric cryptography. Under the harvest-now-decrypt-later model, an adversary records ciphertext today and decrypts it once quantum hardware exists; the adversary needs the machine only once.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NIST standardised the first post-quantum key encapsulation mechanism, ML-KEM, as FIPS 203 in August 2024, and industry (Cloudflare, Google, Apple, AWS) has begun deploying hybrid classical+ML-KEM in production TLS 1.3. The open question is the practical cost of migration. This paper answers it for a messaging workload by building a system in which the key-exchange mode is a pluggable component and measuring the latency, variance and bandwidth of each mode under identical surrounding protocol.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II.  BACKGROUND AND RELATED WORK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A.  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Classical Diffie-Hellman and the Quantum Threat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Diffie-Hellman (1976) lets two parties agree on a shared secret S = g^(ab) mod p over an insecure channel, its security resting on the discrete-logarithm problem. Shor's algorithm collapses this hardness on a quantum computer, as it does for RSA and ECDH. Applications whose confidentiality must outlast the arrival of quantum hardware must migrate now.</w:t>
      </w:r>
    </w:p>
    <w:p>
      <w:pPr>
        <w:keepNext/>
        <w:spacing w:after="60" w:before="100"/>
      </w:pP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B.  </w:t>
      </w:r>
      <w:r>
        <w:rPr>
          <w:rFonts w:ascii="Times New Roman" w:cs="Times New Roman" w:eastAsia="Times New Roman" w:hAnsi="Times New Roman"/>
          <w:i/>
          <w:iCs/>
          <w:color w:val="111111"/>
          <w:sz w:val="20"/>
          <w:szCs w:val="20"/>
        </w:rPr>
        <w:t xml:space="preserve">ML-KEM and Hybrid Constructions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ML-KEM-768 (FIPS 203), a Module-LWE lattice KEM providing AES-192-equivalent security, replaces the mutual exponentiation of DH with encapsulation: the server publishes a public key, the client encapsulates a fresh secret under it, and the server decapsulates. Because ML-KEM is comparatively new, the standard mitigation is a hybrid construction pairing X25519 with ML-KEM and combining the two secrets through HKDF-SHA256 with the domain-separation string "tls13 hybrid", following the IETF TLS 1.3 hybrid design; the session key stays secure while at least one component is unbroken.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III.  SYSTEM DESIGN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The system separates concerns into three tiers: a transport tier (WebSocket over TCP with four-byte length-prefixed framing), a key-exchange tier (three pluggable handlers behind a common KexHandler interface selected by a factory), and an application-encryption tier (HKDF-SHA256 → AES-256-GCM). Surrounding services provide bcrypt authentication with 256-bit session tokens, SQLite persistence in WAL mode with a single writer thread, an in-memory router, an offline message queue, and server-side replay protection via message-identifier deduplication over a five-minute window.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A key design choice is the Strategy pattern for key exchange. It forces fair comparison — all modes share identical framing, key derivation, encryption and protocol, so the only variable across trials is the primitive itself — and it makes the system extensible: a new KEM requires only one handler class and one factory entry. A WebSocketAdapter bridges the synchronous crypto code to the asynchronous FastAPI event loop through thread-safe queues, so no primitive needed rewriting.</w:t>
      </w:r>
    </w:p>
    <w:p>
      <w:pPr>
        <w:spacing w:after="30" w:before="100"/>
        <w:jc w:val="center"/>
      </w:pPr>
      <w:r>
        <w:drawing>
          <wp:inline distT="0" distB="0" distL="0" distR="0">
            <wp:extent cx="2381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Fig. 1.  Median handshake latency by mode (log scale, n = 30).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IV.  IMPLEMENTATION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The system is implemented in Python 3.12 using the cryptography library (DH-2048, X25519, AES-256-GCM, HKDF-SHA256) and pqcrypto (ML-KEM-768), with FastAPI/uvicorn for the WebSocket server, bcrypt for password hashing, SQLite for persistence, and Streamlit/Altair for the front end. Every payload is sealed as nonce (12 B) || ciphertext || tag (16 B); decryption verifies the GCM tag before returning plaintext, rejecting any single-bit tampering. An interactive front-end "Encryption Lab" reproduces the scheme in-browser via the Web Crypto API, animating the per-byte transformation and tag verification.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V.  METHODOLOGY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Thirty trials are executed per mode across four modes — DH-2048 fresh, DH-2048 cached, ML-KEM-768 and hybrid — for 120 measurements. Each trial spawns a fresh server subprocess to remove cross-trial state, and timing is captured at nanosecond resolution at five checkpoints. Two DH baselines are measured deliberately: fresh parameters (worst case) and cached parameters (realistic deployment), foreclosing apples-to-oranges criticism. Statistics (median, mean, p95, min, max) are computed per mode.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VI.  RESULTS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ML-KEM-768 completes a handshake in a median of 0.355 ms, the hybrid in 5.88 ms, cached DH in 9.176 ms, and fresh DH in 11,344.014 ms — a 31,955× speedup of ML-KEM over fresh DH and 26× over cached DH. Strikingly, the hybrid mode is faster than even the cached classical baseline. Table I reports the full statistics.</w:t>
      </w: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111111"/>
          <w:sz w:val="16"/>
          <w:szCs w:val="16"/>
        </w:rPr>
        <w:t xml:space="preserve">TABLE I.  Handshake Latency Statistics (ms, n = 30 per mode)</w:t>
      </w:r>
    </w:p>
    <w:tbl>
      <w:tblPr>
        <w:tblW w:type="dxa" w:w="4320"/>
        <w:tblBorders>
          <w:top w:val="single" w:color="444444" w:sz="4"/>
          <w:left w:val="none"/>
          <w:bottom w:val="single" w:color="444444" w:sz="4"/>
          <w:right w:val="none"/>
          <w:insideH w:val="single" w:color="AAAAAA" w:sz="2"/>
          <w:insideV w:val="single" w:color="DDDDDD" w:sz="2"/>
        </w:tblBorders>
      </w:tblPr>
      <w:tblGrid>
        <w:gridCol w:w="1180"/>
        <w:gridCol w:w="780"/>
        <w:gridCol w:w="780"/>
        <w:gridCol w:w="780"/>
        <w:gridCol w:w="800"/>
      </w:tblGrid>
      <w:tr>
        <w:trPr>
          <w:tblHeader/>
        </w:trPr>
        <w:tc>
          <w:tcPr>
            <w:tcW w:type="dxa" w:w="1180"/>
            <w:shd w:fill="22222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Mode</w:t>
            </w:r>
          </w:p>
        </w:tc>
        <w:tc>
          <w:tcPr>
            <w:tcW w:type="dxa" w:w="780"/>
            <w:shd w:fill="22222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Median</w:t>
            </w:r>
          </w:p>
        </w:tc>
        <w:tc>
          <w:tcPr>
            <w:tcW w:type="dxa" w:w="780"/>
            <w:shd w:fill="22222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Mean</w:t>
            </w:r>
          </w:p>
        </w:tc>
        <w:tc>
          <w:tcPr>
            <w:tcW w:type="dxa" w:w="780"/>
            <w:shd w:fill="22222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p95</w:t>
            </w:r>
          </w:p>
        </w:tc>
        <w:tc>
          <w:tcPr>
            <w:tcW w:type="dxa" w:w="800"/>
            <w:shd w:fill="222222" w:val="clear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Max</w:t>
            </w:r>
          </w:p>
        </w:tc>
      </w:tr>
      <w:tr>
        <w:tc>
          <w:tcPr>
            <w:tcW w:type="dxa" w:w="11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DH-2048 fresh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11,344.014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16,586.256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50,280.604</w:t>
            </w:r>
          </w:p>
        </w:tc>
        <w:tc>
          <w:tcPr>
            <w:tcW w:type="dxa" w:w="8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74,560.434</w:t>
            </w:r>
          </w:p>
        </w:tc>
      </w:tr>
      <w:tr>
        <w:tc>
          <w:tcPr>
            <w:tcW w:type="dxa" w:w="11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DH-2048 cached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9.176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9.428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10.353</w:t>
            </w:r>
          </w:p>
        </w:tc>
        <w:tc>
          <w:tcPr>
            <w:tcW w:type="dxa" w:w="8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14.632</w:t>
            </w:r>
          </w:p>
        </w:tc>
      </w:tr>
      <w:tr>
        <w:tc>
          <w:tcPr>
            <w:tcW w:type="dxa" w:w="11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Hybrid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5.88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6.061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6.057</w:t>
            </w:r>
          </w:p>
        </w:tc>
        <w:tc>
          <w:tcPr>
            <w:tcW w:type="dxa" w:w="8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11.136</w:t>
            </w:r>
          </w:p>
        </w:tc>
      </w:tr>
      <w:tr>
        <w:tc>
          <w:tcPr>
            <w:tcW w:type="dxa" w:w="11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ML-KEM-768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0.355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0.364</w:t>
            </w:r>
          </w:p>
        </w:tc>
        <w:tc>
          <w:tcPr>
            <w:tcW w:type="dxa" w:w="78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0.462</w:t>
            </w:r>
          </w:p>
        </w:tc>
        <w:tc>
          <w:tcPr>
            <w:tcW w:type="dxa" w:w="800"/>
            <w:tcMar>
              <w:top w:type="dxa" w:w="20"/>
              <w:left w:type="dxa" w:w="50"/>
              <w:bottom w:type="dxa" w:w="20"/>
              <w:right w:type="dxa" w:w="50"/>
            </w:tcMar>
          </w:tcPr>
          <w:p>
            <w:pPr>
              <w:spacing w:after="0" w:line="21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11111"/>
                <w:sz w:val="16"/>
                <w:szCs w:val="16"/>
              </w:rPr>
              <w:t xml:space="preserve">0.642</w:t>
            </w:r>
          </w:p>
        </w:tc>
      </w:tr>
    </w:tbl>
    <w:p>
      <w:pPr>
        <w:spacing w:after="100"/>
      </w:pP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A second finding concerns variance. Three modes — ML-KEM, hybrid and cached DH — are effectively deterministic (p95 within ~1% of median). Fresh DH exhibits a 156× spread, from 478.067 ms to 74,560.434 ms, with a p95 exceeding 50 s, driven by the probabilistic safe-prime search (Fig. 2).</w:t>
      </w:r>
    </w:p>
    <w:p>
      <w:pPr>
        <w:spacing w:after="30" w:before="100"/>
        <w:jc w:val="center"/>
      </w:pPr>
      <w:r>
        <w:drawing>
          <wp:inline distT="0" distB="0" distL="0" distR="0">
            <wp:extent cx="23812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Fig. 2.  Handshake latency distribution by mode (log scale).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VII.  DISCUSSION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These measurements invert the conventional framing of post-quantum migration. The narrative that post-quantum is correct but costly is not supported here: ML-KEM is orders of magnitude faster than fresh DH and materially faster than cached DH, and the hybrid — offering defence in depth — outruns the cached classical baseline. Independently, fresh DH's heavy tail makes it unfit for interactive use regardless of quantum concerns. Limitations include the server-trusted (non-E2EE) routing model, absence of authenticated key exchange, a single hardware platform, and Python-level overhead; the mode ordering is expected to generalise.</w:t>
      </w:r>
    </w:p>
    <w:p>
      <w:pPr>
        <w:keepNext/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VIII.  CONCLUSION</w:t>
      </w:r>
    </w:p>
    <w:p>
      <w:pPr>
        <w:spacing w:after="100" w:before="0" w:line="240"/>
        <w:ind w:firstLine="240"/>
        <w:jc w:val="both"/>
      </w:pPr>
      <w:r>
        <w:rPr>
          <w:rFonts w:ascii="Times New Roman" w:cs="Times New Roman" w:eastAsia="Times New Roman" w:hAnsi="Times New Roman"/>
          <w:color w:val="111111"/>
          <w:sz w:val="20"/>
          <w:szCs w:val="20"/>
        </w:rPr>
        <w:t xml:space="preserve">We built and evaluated a real-time secure messaging system with runtime-selectable classical, post-quantum and hybrid key exchange over a uniform AES-256-GCM channel. Post-quantum ML-KEM-768 outperforms cached DH by 26× and fresh DH by ~31,955×, and fresh DH's 156× variance argues against its interactive use independently of the quantum threat. For confidential messaging under HNDL, there is no longer a performance argument for delaying post-quantum migration. Future work includes end-to-end encryption, authenticated handshakes, an ML-KEM-512/768/1024 sweep, and formal protocol verification.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111111"/>
          <w:sz w:val="20"/>
          <w:szCs w:val="20"/>
        </w:rPr>
        <w:t xml:space="preserve">References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[1]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W. Diffie and M. Hellman, "New directions in cryptography," IEEE Trans. Inf. Theory, vol. 22, no. 6, pp. 644–654, 1976.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[2]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P. W. Shor, "Polynomial-time algorithms for prime factorization and discrete logarithms on a quantum computer," SIAM J. Comput., vol. 26, no. 5, pp. 1484–1509, 1997.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[3]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NIST, FIPS 203: Module-Lattice-Based Key-Encapsulation Mechanism Standard, Aug. 2024.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[4]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J. Bos et al., "CRYSTALS-Kyber: a CCA-secure module-lattice-based KEM," IEEE EuroS&amp;P, pp. 353–367, 2018.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[5]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D. J. Bernstein, "Curve25519: New Diffie-Hellman speed records," PKC 2006, LNCS 3958, pp. 207–228, 2006.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[6]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H. Krawczyk and P. Eronen, HKDF, IETF RFC 5869, 2010.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[7]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M. Dworkin, GCM and GMAC, NIST SP 800-38D, 2007.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[8]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D. Stebila, S. Fluhrer, S. Gueron, Hybrid key exchange in TLS 1.3, IETF draft-ietf-tls-hybrid-design, 2024.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[9]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C. Paquin, D. Stebila, G. Tamvada, "Benchmarking post-quantum cryptography in TLS," PQCrypto 2020, LNCS 12100, pp. 72–91.</w:t>
      </w:r>
    </w:p>
    <w:p>
      <w:pPr>
        <w:spacing w:after="40" w:line="220"/>
        <w:ind w:left="300" w:hanging="300"/>
        <w:jc w:val="both"/>
      </w:pP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[10] </w:t>
      </w:r>
      <w:r>
        <w:rPr>
          <w:rFonts w:ascii="Times New Roman" w:cs="Times New Roman" w:eastAsia="Times New Roman" w:hAnsi="Times New Roman"/>
          <w:color w:val="111111"/>
          <w:sz w:val="16"/>
          <w:szCs w:val="16"/>
        </w:rPr>
        <w:t xml:space="preserve">I. Fette and A. Melnikov, The WebSocket Protocol, IETF RFC 6455, 2011.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038de3660d2a78ee89d039228d6a4b8a39ffda9.png"/><Relationship Id="rId9" Type="http://schemas.openxmlformats.org/officeDocument/2006/relationships/image" Target="media/731cfb162a219e7542edf4e1b9736f86e86695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Post-Quantum Secure Messaging (IEEE)</dc:title>
  <dc:creator>RVCE CSE</dc:creator>
  <cp:lastModifiedBy>Un-named</cp:lastModifiedBy>
  <cp:revision>1</cp:revision>
  <dcterms:created xsi:type="dcterms:W3CDTF">2026-07-11T03:46:01.940Z</dcterms:created>
  <dcterms:modified xsi:type="dcterms:W3CDTF">2026-07-11T03:46:01.943Z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