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28"/>
          <w:szCs w:val="28"/>
        </w:rPr>
        <w:t xml:space="preserve">Automated Resume Tailoring Using Large Language Models:</w:t>
      </w:r>
    </w:p>
    <w:p>
      <w:pPr>
        <w:spacing w:after="80" w:before="0"/>
        <w:jc w:val="center"/>
      </w:pPr>
      <w:r>
        <w:rPr>
          <w:rFonts w:ascii="Times New Roman" w:cs="Times New Roman" w:eastAsia="Times New Roman" w:hAnsi="Times New Roman"/>
          <w:b/>
          <w:bCs/>
          <w:sz w:val="28"/>
          <w:szCs w:val="28"/>
        </w:rPr>
        <w:t xml:space="preserve">A Comparative Study of Fine-Tuned Specialization and Agentic Generalization</w:t>
      </w:r>
    </w:p>
    <w:p>
      <w:pPr>
        <w:spacing w:after="40" w:before="80"/>
        <w:jc w:val="center"/>
      </w:pPr>
      <w:r>
        <w:rPr>
          <w:rFonts w:ascii="Times New Roman" w:cs="Times New Roman" w:eastAsia="Times New Roman" w:hAnsi="Times New Roman"/>
          <w:sz w:val="24"/>
          <w:szCs w:val="24"/>
        </w:rPr>
        <w:t xml:space="preserve">Riya Nitin Taori, Aakash Kumar</w:t>
      </w:r>
    </w:p>
    <w:p>
      <w:pPr>
        <w:spacing w:after="40" w:before="0"/>
        <w:jc w:val="center"/>
      </w:pPr>
      <w:r>
        <w:rPr>
          <w:rFonts w:ascii="Times New Roman" w:cs="Times New Roman" w:eastAsia="Times New Roman" w:hAnsi="Times New Roman"/>
          <w:sz w:val="24"/>
          <w:szCs w:val="24"/>
        </w:rPr>
        <w:t xml:space="preserve">Khoury College of Computer Sciences, Northeastern University</w:t>
      </w:r>
    </w:p>
    <w:p>
      <w:pPr>
        <w:spacing w:after="280" w:before="0"/>
        <w:jc w:val="center"/>
      </w:pPr>
      <w:r>
        <w:rPr>
          <w:rFonts w:ascii="Times New Roman" w:cs="Times New Roman" w:eastAsia="Times New Roman" w:hAnsi="Times New Roman"/>
          <w:sz w:val="24"/>
          <w:szCs w:val="24"/>
        </w:rPr>
        <w:t xml:space="preserve">riyataori03@gmail.com</w:t>
      </w:r>
    </w:p>
    <w:p>
      <w:pPr>
        <w:spacing w:after="100" w:before="0"/>
      </w:pPr>
      <w:r>
        <w:rPr>
          <w:rFonts w:ascii="Times New Roman" w:cs="Times New Roman" w:eastAsia="Times New Roman" w:hAnsi="Times New Roman"/>
          <w:b/>
          <w:bCs/>
          <w:sz w:val="24"/>
          <w:szCs w:val="24"/>
        </w:rPr>
        <w:t xml:space="preserve">ABSTRACT</w:t>
      </w:r>
    </w:p>
    <w:p>
      <w:pPr>
        <w:spacing w:after="160" w:before="0"/>
        <w:ind/>
        <w:jc w:val="both"/>
      </w:pPr>
      <w:r>
        <w:rPr>
          <w:rFonts w:ascii="Times New Roman" w:cs="Times New Roman" w:eastAsia="Times New Roman" w:hAnsi="Times New Roman"/>
          <w:sz w:val="24"/>
          <w:szCs w:val="24"/>
        </w:rPr>
        <w:t xml:space="preserve">This paper presents and compares two fully local, privacy-preserving pipelines for automated resume tailoring using large language models. Method 1 fine-tunes Phi-3 mini 3.8B via QLoRA on 3,000+ curated instruction examples across five established job categories — ML Engineer, Data Scientist, DevOps Engineer, Full-Stack Developer, and Deep Learning Researcher — achieving high-fidelity, domain-specific output for roles matching its training distribution. Method 2 employs a multi-agent architecture using Llama 3.2, generating resumes through structured KEY:VALUE extraction followed by deterministic LaTeX assembly, requiring no fine-tuning and generalizing to novel, emerging, and non-standard roles outside Method 1's training scope. Evaluated across 20 live-scraped job listings spanning six role types, Method 2 achieved a 95% batch success rate, a mean cosine similarity of 0.2889 (σ = 0.12, range: 0.02–0.46), and a mean LLM-reported match score of 83.5/100. For in-distribution technical roles aligned with Method 1's five training categories, Method 2 cosine similarity averaged 0.41, compared to 0.14 for out-of-distribution roles, confirming that semantic alignment is strongly modulated by training-domain overlap. Method 1 demonstrated superior output quality on in-distribution postings, achieving higher ATS keyword coverage (8/10 vs. 6/10) and content richness (8/10 vs. 7/10), but degraded on out-of-distribution roles such as copywriting, sales, and offensive security — defaulting to AI/ML-centric content regardless of the job description. Method 2, requiring no distributional prior, produced structurally valid and contextually appropriate resumes across all role types with a 95% compilation success rate versus Method 1's estimated 60–70% on the same diverse set. This generalization-vs-quality tradeoff — fine-tuned specialization against agentic robustness — constitutes the central empirical finding of this work, with direct implications for how LLM-based document generation systems should be designed for deployment across diverse and rapidly evolving job markets.</w:t>
      </w:r>
    </w:p>
    <w:p>
      <w:pPr>
        <w:pStyle w:val="Heading1"/>
        <w:spacing w:after="120" w:before="320"/>
      </w:pPr>
      <w:r>
        <w:rPr>
          <w:rFonts w:ascii="Times New Roman" w:cs="Times New Roman" w:eastAsia="Times New Roman" w:hAnsi="Times New Roman"/>
          <w:b/>
          <w:bCs/>
          <w:sz w:val="28"/>
          <w:szCs w:val="28"/>
        </w:rPr>
        <w:t xml:space="preserve">1. INTRODUCTION</w:t>
      </w:r>
    </w:p>
    <w:p>
      <w:pPr>
        <w:spacing w:after="160" w:before="0"/>
        <w:ind/>
        <w:jc w:val="both"/>
      </w:pPr>
      <w:r>
        <w:rPr>
          <w:rFonts w:ascii="Times New Roman" w:cs="Times New Roman" w:eastAsia="Times New Roman" w:hAnsi="Times New Roman"/>
          <w:sz w:val="24"/>
          <w:szCs w:val="24"/>
        </w:rPr>
        <w:t xml:space="preserve">The contemporary technical job market has undergone a structural shift driven by the widespread adoption of Applicant Tracking Systems (ATS). ATS technology automatically scans submitted resumes and scores candidates based on the extent to which their document's vocabulary overlaps with the official job description, often eliminating well-qualified candidates whose resumes do not reflect the precise language of the posting. The practical consequence is a growing expectation that job applicants must produce individually tailored resumes for each application — a task that is time-consuming, cognitively demanding, and difficult to scale. The rise of locally deployable large language models presents a principled opportunity to automate this process while preserving candidate privacy.</w:t>
      </w:r>
    </w:p>
    <w:p>
      <w:pPr>
        <w:spacing w:after="160" w:before="0"/>
        <w:ind/>
        <w:jc w:val="both"/>
      </w:pPr>
      <w:r>
        <w:rPr>
          <w:rFonts w:ascii="Times New Roman" w:cs="Times New Roman" w:eastAsia="Times New Roman" w:hAnsi="Times New Roman"/>
          <w:sz w:val="24"/>
          <w:szCs w:val="24"/>
        </w:rPr>
        <w:t xml:space="preserve">Formally, we treat resume tailoring as a </w:t>
      </w:r>
      <w:r>
        <w:rPr>
          <w:rFonts w:ascii="Times New Roman" w:cs="Times New Roman" w:eastAsia="Times New Roman" w:hAnsi="Times New Roman"/>
          <w:b/>
          <w:bCs/>
          <w:sz w:val="24"/>
          <w:szCs w:val="24"/>
        </w:rPr>
        <w:t xml:space="preserve">conditional text generation problem</w:t>
      </w:r>
      <w:r>
        <w:rPr>
          <w:rFonts w:ascii="Times New Roman" w:cs="Times New Roman" w:eastAsia="Times New Roman" w:hAnsi="Times New Roman"/>
          <w:sz w:val="24"/>
          <w:szCs w:val="24"/>
        </w:rPr>
        <w:t xml:space="preserve">: given a candidate profile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a job description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generate a resume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that maximizes keyword alignment f</w:t>
      </w:r>
      <w:r>
        <w:rPr>
          <w:rFonts w:ascii="Times New Roman" w:cs="Times New Roman" w:eastAsia="Times New Roman" w:hAnsi="Times New Roman"/>
          <w:sz w:val="24"/>
          <w:szCs w:val="24"/>
          <w:vertAlign w:val="subscript"/>
        </w:rPr>
        <w:t xml:space="preserve">ATS</w:t>
      </w:r>
      <w:r>
        <w:rPr>
          <w:rFonts w:ascii="Times New Roman" w:cs="Times New Roman" w:eastAsia="Times New Roman" w:hAnsi="Times New Roman"/>
          <w:sz w:val="24"/>
          <w:szCs w:val="24"/>
        </w:rPr>
        <w:t xml:space="preserve">(R, J) subject to factual consistency with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This formulation admits two broad solution families: (1) parametric approaches, which encode p(R | C, J) directly into model weights via fine-tuning on a curated corpus of role-specific examples, and (2) agentic decomposition approaches, which decompose the generation task into modular subtasks solved sequentially by prompted LLMs at inference time. We implement and empirically compare one instantiation of each family, motivated by a specific hypothesis about their respective strengths.</w:t>
      </w:r>
    </w:p>
    <w:p>
      <w:pPr>
        <w:spacing w:after="160" w:before="0"/>
        <w:ind/>
        <w:jc w:val="both"/>
      </w:pPr>
      <w:r>
        <w:rPr>
          <w:rFonts w:ascii="Times New Roman" w:cs="Times New Roman" w:eastAsia="Times New Roman" w:hAnsi="Times New Roman"/>
          <w:sz w:val="24"/>
          <w:szCs w:val="24"/>
        </w:rPr>
        <w:t xml:space="preserve">A central hypothesis motivating this comparative study is that fine-tuned models exhibit a well-documented </w:t>
      </w:r>
      <w:r>
        <w:rPr>
          <w:rFonts w:ascii="Times New Roman" w:cs="Times New Roman" w:eastAsia="Times New Roman" w:hAnsi="Times New Roman"/>
          <w:b/>
          <w:bCs/>
          <w:sz w:val="24"/>
          <w:szCs w:val="24"/>
        </w:rPr>
        <w:t xml:space="preserve">generalization-specialization tradeoff</w:t>
      </w:r>
      <w:r>
        <w:rPr>
          <w:rFonts w:ascii="Times New Roman" w:cs="Times New Roman" w:eastAsia="Times New Roman" w:hAnsi="Times New Roman"/>
          <w:sz w:val="24"/>
          <w:szCs w:val="24"/>
        </w:rPr>
        <w:t xml:space="preserve"> from the transfer learning literature. A model trained on a fixed set of job categories — in our case, five established technical roles with stable, well-defined skill vocabularies — learns a strong prior over those roles, producing high-quality, domain-calibrated output for in-distribution postings. However, that same distributional prior may cause the model to fail on roles outside its training scope, such as novel AI-native positions, hybrid roles, or non-technical postings for which no training examples exist. In contrast, a zero-shot prompted agentic system carries no such distributional prior, instead dynamically composing resume content directly from the job description at inference time. We hypothesize that Method 1 will outperform Method 2 on roles within its five training categories, while Method 2 will demonstrate superior robustness and coverage across the full diversity of modern job postings — including the rapidly expanding long tail of roles that did not exist when traditional resume-writing conventions were established.</w:t>
      </w:r>
    </w:p>
    <w:p>
      <w:pPr>
        <w:spacing w:after="160" w:before="0"/>
        <w:ind/>
        <w:jc w:val="both"/>
      </w:pPr>
      <w:r>
        <w:rPr>
          <w:rFonts w:ascii="Times New Roman" w:cs="Times New Roman" w:eastAsia="Times New Roman" w:hAnsi="Times New Roman"/>
          <w:sz w:val="24"/>
          <w:szCs w:val="24"/>
        </w:rPr>
        <w:t xml:space="preserve">The Ollama inference runtime [7] enables quantized open-weight models to run on consumer-grade hardware, avoiding the costs and privacy risks associated with cloud-based APIs. Both Microsoft Phi-3 mini [1] and Meta's LLaMA 3 family [4] demonstrate strong instruction-following ability at parameter scales suitable for local deployment. Low-Rank Adaptation (LoRA), introduced by Hu et al. [5] at ICLR 2022, enables efficient fine-tuning by injecting trainable low-rank matrix pairs into transformer weight matrices, reducing the parameter overhead of task-specific adaptation by orders of magnitude relative to full fine-tuning. The subsequent QLoRA approach [3] combines 4-bit quantization of the frozen base model with higher-precision LoRA adapters, enabling fine-tuning of billion-parameter models on a single consumer GPU — the hardware configuration used in this work.</w:t>
      </w:r>
    </w:p>
    <w:p>
      <w:pPr>
        <w:spacing w:after="160" w:before="0"/>
        <w:ind/>
        <w:jc w:val="both"/>
      </w:pPr>
      <w:r>
        <w:rPr>
          <w:rFonts w:ascii="Times New Roman" w:cs="Times New Roman" w:eastAsia="Times New Roman" w:hAnsi="Times New Roman"/>
          <w:sz w:val="24"/>
          <w:szCs w:val="24"/>
        </w:rPr>
        <w:t xml:space="preserve">The structured output paradigm underlying Method 2 builds directly on Dagdelen et al. [2], who demonstrated that LLMs prompted with explicit schema constraints reliably extract structured relational information from unstructured scientific text, achieving high precision on materials science knowledge graphs. The key insight we extend to the generative direction is that separating content generation from document markup — having the LLM produce structured intermediate representations and then constructing the final document deterministically — substantially reduces formatting failures compared to asking the model to produce raw LaTeX directly. Reimers and Gurevych [12] introduced sentence-BERT, the family of dense embedding models underlying the all-MiniLM-L6-v2 model used for cosine similarity evaluation in this work, providing the semantic overlap metric that serves as our primary model-independent evaluation signal.</w:t>
      </w:r>
    </w:p>
    <w:p>
      <w:pPr>
        <w:spacing w:after="160" w:before="0"/>
        <w:ind/>
        <w:jc w:val="both"/>
      </w:pPr>
      <w:r>
        <w:rPr>
          <w:rFonts w:ascii="Times New Roman" w:cs="Times New Roman" w:eastAsia="Times New Roman" w:hAnsi="Times New Roman"/>
          <w:sz w:val="24"/>
          <w:szCs w:val="24"/>
        </w:rPr>
        <w:t xml:space="preserve">Prior work on automated resume generation is limited. Commercial tools such as Jobscan and Resume Worded perform ATS keyword gap analysis but do not generate resume content and require submission of candidate data to external servers, raising privacy concerns. The structured output approach of Method 2 extends the Dagdelen et al. framework to the generative setting. On the fine-tuning side, QLoRA's sample efficiency has been validated across diverse instruction-following tasks, but its application to structured document generation under strict LaTeX formatting constraints represents a novel stress-test of the approach. To our knowledge, no prior academic work has systematically compared fine-tuned and agentic LLM approaches for resume tailoring, nor has prior work evaluated such systems along the in-distribution versus out-of-distribution axis we identify as the primary dimension of differentiation.</w:t>
      </w:r>
    </w:p>
    <w:p>
      <w:pPr>
        <w:spacing w:after="160" w:before="0"/>
        <w:ind/>
        <w:jc w:val="both"/>
      </w:pPr>
      <w:r>
        <w:rPr>
          <w:rFonts w:ascii="Times New Roman" w:cs="Times New Roman" w:eastAsia="Times New Roman" w:hAnsi="Times New Roman"/>
          <w:sz w:val="24"/>
          <w:szCs w:val="24"/>
        </w:rPr>
        <w:t xml:space="preserve">In this paper, we implement and evaluate both pipelines against a shared corpus of 20 live-scraped job listings spanning six role categories. Method 1 fine-tunes Phi-3 mini via QLoRA and instructs the model to produce complete LaTeX resumes directly. Method 2 uses a multi-agent Llama 3.2 pipeline to produce structured KEY:VALUE text, which is then converted to LaTeX deterministically by a Python function. Both methods are evaluated using quantitative metrics — cosine similarity, TF-IDF ATS overlap score, and compilation success rate — as well as qualitative assessment across ten architectural dimensions.</w:t>
      </w:r>
    </w:p>
    <w:p>
      <w:pPr>
        <w:pStyle w:val="Heading1"/>
        <w:spacing w:after="120" w:before="320"/>
      </w:pPr>
      <w:r>
        <w:rPr>
          <w:rFonts w:ascii="Times New Roman" w:cs="Times New Roman" w:eastAsia="Times New Roman" w:hAnsi="Times New Roman"/>
          <w:b/>
          <w:bCs/>
          <w:sz w:val="28"/>
          <w:szCs w:val="28"/>
        </w:rPr>
        <w:t xml:space="preserve">2. METHODS</w:t>
      </w:r>
    </w:p>
    <w:p>
      <w:pPr>
        <w:spacing w:after="160" w:before="0"/>
        <w:ind/>
        <w:jc w:val="both"/>
      </w:pPr>
      <w:r>
        <w:rPr>
          <w:rFonts w:ascii="Times New Roman" w:cs="Times New Roman" w:eastAsia="Times New Roman" w:hAnsi="Times New Roman"/>
          <w:sz w:val="24"/>
          <w:szCs w:val="24"/>
        </w:rPr>
        <w:t xml:space="preserve">A note on experimental design: Method 1 uses Phi-3 mini 3.8B as its base model, while Method 2 uses Llama 3.2. This difference is intentional and reflects a realistic deployment comparison — a fine-tuned small specialist model versus a general-purpose agentic model — rather than a controlled ablation of architecture alone. The base model difference is therefore a feature of the comparison, not a confound: we are comparing two complete, practically deployable systems as they would actually be used in production. Readers interested in isolating the effect of fine-tuning from model family are directed to Section 4.4, which proposes a controlled ablation as a natural extension of this work.</w:t>
      </w:r>
    </w:p>
    <w:p>
      <w:pPr>
        <w:pStyle w:val="Heading2"/>
        <w:spacing w:after="80" w:before="240"/>
      </w:pPr>
      <w:r>
        <w:rPr>
          <w:rFonts w:ascii="Times New Roman" w:cs="Times New Roman" w:eastAsia="Times New Roman" w:hAnsi="Times New Roman"/>
          <w:b/>
          <w:bCs/>
          <w:sz w:val="24"/>
          <w:szCs w:val="24"/>
        </w:rPr>
        <w:t xml:space="preserve">2.1 Shared Infrastructure: Job Scraping</w:t>
      </w:r>
    </w:p>
    <w:p>
      <w:pPr>
        <w:spacing w:after="160" w:before="0"/>
        <w:ind/>
        <w:jc w:val="both"/>
      </w:pPr>
      <w:r>
        <w:rPr>
          <w:rFonts w:ascii="Times New Roman" w:cs="Times New Roman" w:eastAsia="Times New Roman" w:hAnsi="Times New Roman"/>
          <w:sz w:val="24"/>
          <w:szCs w:val="24"/>
        </w:rPr>
        <w:t xml:space="preserve">Both pipelines share a common data acquisition component (webscraper.py) that queries two publicly accessible job APIs: Remotive, focused on remote technical roles, and Arbeitnow, aggregating jobs globally. The scraper accepts a keyword, strips HTML markup from job descriptions, and outputs structured job dictionaries containing title, company, location, tags, requirements, responsibilities, and the full description text. A duplicate removal step identifies and eliminates redundant postings based on title and company matching. For evaluation, twenty job listings were drawn from six role categories: AI/ML engineer, DevOps engineer, full-stack developer, product designer, sales associate, and copywriter. Both methods consumed job descriptions from the same pre-scraped Excel dataset generated by webscraper.py, ensuring an identical and controlled input corpus across both pipelines and eliminating data acquisition as a confounding variable in the comparison.</w:t>
      </w:r>
    </w:p>
    <w:p>
      <w:pPr>
        <w:pStyle w:val="Heading2"/>
        <w:spacing w:after="80" w:before="240"/>
      </w:pPr>
      <w:r>
        <w:rPr>
          <w:rFonts w:ascii="Times New Roman" w:cs="Times New Roman" w:eastAsia="Times New Roman" w:hAnsi="Times New Roman"/>
          <w:b/>
          <w:bCs/>
          <w:sz w:val="24"/>
          <w:szCs w:val="24"/>
        </w:rPr>
        <w:t xml:space="preserve">2.2 Method 1: Fine-Tuned Phi-3 with Direct LaTeX Generation</w:t>
      </w:r>
    </w:p>
    <w:p>
      <w:pPr>
        <w:spacing w:after="160" w:before="0"/>
        <w:ind/>
        <w:jc w:val="both"/>
      </w:pPr>
      <w:r>
        <w:rPr>
          <w:rFonts w:ascii="Times New Roman" w:cs="Times New Roman" w:eastAsia="Times New Roman" w:hAnsi="Times New Roman"/>
          <w:sz w:val="24"/>
          <w:szCs w:val="24"/>
        </w:rPr>
        <w:t xml:space="preserve">Method 1 applies QLoRA fine-tuning to the Phi-3 mini model (finetune.py) using the unsloth library [8]. The base model is unsloth/Phi-3-mini-4k-instruct-bnb-4bit [1], a 3.8 billion parameter instruction-following model pre-quantized to 4-bit precision via bitsandbytes. LoRA adapters are applied to all projection layers — query, key, value, output, gate, up, and down — with rank r = 16 and scaling parameter α = 32, following the standard relation α = 2r. This configuration provides a balance between expressivity and parameter efficiency: with rank 16, each adapted weight matrix introduces 2 × d × r = 2 × 3072 × 16 ≈ 98K trainable parameters per layer, representing less than 0.5% of the base model's total parameters.</w:t>
      </w:r>
    </w:p>
    <w:p>
      <w:pPr>
        <w:spacing w:after="160" w:before="0"/>
        <w:ind/>
        <w:jc w:val="both"/>
      </w:pPr>
      <w:r>
        <w:rPr>
          <w:rFonts w:ascii="Times New Roman" w:cs="Times New Roman" w:eastAsia="Times New Roman" w:hAnsi="Times New Roman"/>
          <w:sz w:val="24"/>
          <w:szCs w:val="24"/>
        </w:rPr>
        <w:t xml:space="preserve">The training corpus comprises 3,000+ instruction-input-output examples distributed across five established job categories: Senior Machine Learning Engineer, Data Scientist (Financial Services), Deep Learning Research Engineer, DevOps Engineer, and Full-Stack Developer. These five categories were deliberately selected to represent high-volume, stable technical hiring roles with well-defined, consistent skill vocabularies — the conditions most favorable to fine-tuning-based generalization. For each category, examples were constructed using the Phi-3 native chat format: the instruction specifies moderncv LaTeX formatting rules, the input presents a candidate profile paired with a role-specific job description, and the output provides a complete, compilable LaTeX resume using the moderncv document class. The intentional concentration of training data on these five established categories is central to the comparative hypothesis: the model is expected to excel on in-distribution roles and degrade on out-of-distribution ones, precisely because no training signal exists for the latter.</w:t>
      </w:r>
    </w:p>
    <w:p>
      <w:pPr>
        <w:spacing w:after="160" w:before="0"/>
        <w:ind/>
        <w:jc w:val="both"/>
      </w:pPr>
      <w:r>
        <w:rPr>
          <w:rFonts w:ascii="Times New Roman" w:cs="Times New Roman" w:eastAsia="Times New Roman" w:hAnsi="Times New Roman"/>
          <w:sz w:val="24"/>
          <w:szCs w:val="24"/>
        </w:rPr>
        <w:t xml:space="preserve">After training, the LoRA adapter is exported to Q4_K_M GGUF format via unsloth and registered as an Ollama model named "resume-generator" with temperature 0.3 and context length 4096 tokens. During inference, resume_generator.py calls the Ollama /api/chat endpoint with a system message specifying moderncv style rules. Post-processing strips markdown fences and aligns the document from the \documentclass{} declaration before pdfLaTeX compilation. When compilation fails — which occurs primarily on out-of-distribution job descriptions where the model produces malformed LaTeX — the job is recorded as failed and skipped.</w:t>
      </w:r>
    </w:p>
    <w:p>
      <w:pPr>
        <w:pStyle w:val="Heading2"/>
        <w:spacing w:after="80" w:before="240"/>
      </w:pPr>
      <w:r>
        <w:rPr>
          <w:rFonts w:ascii="Times New Roman" w:cs="Times New Roman" w:eastAsia="Times New Roman" w:hAnsi="Times New Roman"/>
          <w:b/>
          <w:bCs/>
          <w:sz w:val="24"/>
          <w:szCs w:val="24"/>
        </w:rPr>
        <w:t xml:space="preserve">2.3 Method 2: Agentic Multi-Agent Pipeline</w:t>
      </w:r>
    </w:p>
    <w:p>
      <w:pPr>
        <w:spacing w:after="160" w:before="0"/>
        <w:ind/>
        <w:jc w:val="both"/>
      </w:pPr>
      <w:r>
        <w:rPr>
          <w:rFonts w:ascii="Times New Roman" w:cs="Times New Roman" w:eastAsia="Times New Roman" w:hAnsi="Times New Roman"/>
          <w:sz w:val="24"/>
          <w:szCs w:val="24"/>
        </w:rPr>
        <w:t xml:space="preserve">Method 2 (resume_agent_m2_cosine.py) decomposes the resume tailoring task into four specialized sequential agents, all powered by Llama 3.2 via the Ollama Python SDK [7] at temperature 0.2. The low temperature is intentional: agentic pipelines are sensitive to output format consistency, and reducing sampling stochasticity improves the reliability of structured text parsing across the pipeline. The four agents operate as follows. A </w:t>
      </w:r>
      <w:r>
        <w:rPr>
          <w:rFonts w:ascii="Times New Roman" w:cs="Times New Roman" w:eastAsia="Times New Roman" w:hAnsi="Times New Roman"/>
          <w:b/>
          <w:bCs/>
          <w:sz w:val="24"/>
          <w:szCs w:val="24"/>
        </w:rPr>
        <w:t xml:space="preserve">keyword extraction agent</w:t>
      </w:r>
      <w:r>
        <w:rPr>
          <w:rFonts w:ascii="Times New Roman" w:cs="Times New Roman" w:eastAsia="Times New Roman" w:hAnsi="Times New Roman"/>
          <w:sz w:val="24"/>
          <w:szCs w:val="24"/>
        </w:rPr>
        <w:t xml:space="preserve"> identifies the most semantically salient terms in the job description. A </w:t>
      </w:r>
      <w:r>
        <w:rPr>
          <w:rFonts w:ascii="Times New Roman" w:cs="Times New Roman" w:eastAsia="Times New Roman" w:hAnsi="Times New Roman"/>
          <w:b/>
          <w:bCs/>
          <w:sz w:val="24"/>
          <w:szCs w:val="24"/>
        </w:rPr>
        <w:t xml:space="preserve">semantic matching agent</w:t>
      </w:r>
      <w:r>
        <w:rPr>
          <w:rFonts w:ascii="Times New Roman" w:cs="Times New Roman" w:eastAsia="Times New Roman" w:hAnsi="Times New Roman"/>
          <w:sz w:val="24"/>
          <w:szCs w:val="24"/>
        </w:rPr>
        <w:t xml:space="preserve"> determines the overlap between the candidate's demonstrated skills and the role's requirements, producing a gap analysis that informs content selection. A </w:t>
      </w:r>
      <w:r>
        <w:rPr>
          <w:rFonts w:ascii="Times New Roman" w:cs="Times New Roman" w:eastAsia="Times New Roman" w:hAnsi="Times New Roman"/>
          <w:b/>
          <w:bCs/>
          <w:sz w:val="24"/>
          <w:szCs w:val="24"/>
        </w:rPr>
        <w:t xml:space="preserve">resume tailoring agent</w:t>
      </w:r>
      <w:r>
        <w:rPr>
          <w:rFonts w:ascii="Times New Roman" w:cs="Times New Roman" w:eastAsia="Times New Roman" w:hAnsi="Times New Roman"/>
          <w:sz w:val="24"/>
          <w:szCs w:val="24"/>
        </w:rPr>
        <w:t xml:space="preserve"> generates structured resume content as pipe-delimited bullet points aligned to the job's specific language. A </w:t>
      </w:r>
      <w:r>
        <w:rPr>
          <w:rFonts w:ascii="Times New Roman" w:cs="Times New Roman" w:eastAsia="Times New Roman" w:hAnsi="Times New Roman"/>
          <w:b/>
          <w:bCs/>
          <w:sz w:val="24"/>
          <w:szCs w:val="24"/>
        </w:rPr>
        <w:t xml:space="preserve">scoring agent</w:t>
      </w:r>
      <w:r>
        <w:rPr>
          <w:rFonts w:ascii="Times New Roman" w:cs="Times New Roman" w:eastAsia="Times New Roman" w:hAnsi="Times New Roman"/>
          <w:sz w:val="24"/>
          <w:szCs w:val="24"/>
        </w:rPr>
        <w:t xml:space="preserve"> produces an integer relevancy score from 0 to 100 alongside five matched keywords, providing a model-internal estimate of tailoring quality.</w:t>
      </w:r>
    </w:p>
    <w:p>
      <w:pPr>
        <w:spacing w:after="160" w:before="0"/>
        <w:ind/>
        <w:jc w:val="both"/>
      </w:pPr>
      <w:r>
        <w:rPr>
          <w:rFonts w:ascii="Times New Roman" w:cs="Times New Roman" w:eastAsia="Times New Roman" w:hAnsi="Times New Roman"/>
          <w:sz w:val="24"/>
          <w:szCs w:val="24"/>
        </w:rPr>
        <w:t xml:space="preserve">The most consequential design decision in Method 2 is the choice of output format. Rather than requesting JSON or LaTeX, the system prompt instructs Llama 3.2 to produce plain KEY:VALUE lines with pipe-delimited bullet strings (e.g., exp1_bullets: Built pipeline reducing effort by 75% | Improved accuracy by 23%). This format was adopted after JSON parsing failures: Llama 3.2 inserts hard line breaks at approximately column 99 in long strings, producing malformed JSON that raises Expecting ',' delimiter errors. The KEY:VALUE format is inherently immune to this failure mode, as its parser operates line-by-line rather than requiring syntactic completeness across the entire output. A build_latex() function accepts the parsed key-value dictionary and constructs the complete LaTeX document deterministically, using an esc() function to escape all ten LaTeX-special characters in the correct order. A fallback_latex() function guarantees that a syntactically valid .tex file is always produced regardless of model output quality, ensuring the 95% batch success rate reported in Section 3.</w:t>
      </w:r>
    </w:p>
    <w:p>
      <w:pPr>
        <w:spacing w:after="160" w:before="0"/>
        <w:ind/>
        <w:jc w:val="both"/>
      </w:pPr>
      <w:r>
        <w:rPr>
          <w:rFonts w:ascii="Times New Roman" w:cs="Times New Roman" w:eastAsia="Times New Roman" w:hAnsi="Times New Roman"/>
          <w:sz w:val="24"/>
          <w:szCs w:val="24"/>
        </w:rPr>
        <w:t xml:space="preserve">Unlike Method 1, Method 2 carries no distributional prior from training. Its ability to handle out-of-distribution roles — copywriting, sales, product design, offensive security — follows directly from this property: the agents extract role-relevant keywords from the job description itself at inference time, surfacing vocabulary that a fine-tuned model trained exclusively on technical roles would never have encountered during training. This mechanism is the formal basis for the generalization hypothesis tested in Section 3.3.</w:t>
      </w:r>
    </w:p>
    <w:p>
      <w:pPr>
        <w:pStyle w:val="Heading2"/>
        <w:spacing w:after="80" w:before="240"/>
      </w:pPr>
      <w:r>
        <w:rPr>
          <w:rFonts w:ascii="Times New Roman" w:cs="Times New Roman" w:eastAsia="Times New Roman" w:hAnsi="Times New Roman"/>
          <w:b/>
          <w:bCs/>
          <w:sz w:val="24"/>
          <w:szCs w:val="24"/>
        </w:rPr>
        <w:t xml:space="preserve">2.4 Evaluation Framework</w:t>
      </w:r>
    </w:p>
    <w:p>
      <w:pPr>
        <w:spacing w:after="160" w:before="0"/>
        <w:ind/>
        <w:jc w:val="both"/>
      </w:pPr>
      <w:r>
        <w:rPr>
          <w:rFonts w:ascii="Times New Roman" w:cs="Times New Roman" w:eastAsia="Times New Roman" w:hAnsi="Times New Roman"/>
          <w:sz w:val="24"/>
          <w:szCs w:val="24"/>
        </w:rPr>
        <w:t xml:space="preserve">Evaluation combines quantitative metrics computed programmatically from pipeline outputs with qualitative assessments scored against a pre-defined rubric. Five quantitative metrics are defined as follows:</w:t>
      </w:r>
    </w:p>
    <w:p>
      <w:pPr>
        <w:spacing w:after="160" w:before="0"/>
        <w:ind/>
        <w:jc w:val="both"/>
      </w:pPr>
      <w:r>
        <w:rPr>
          <w:rFonts w:ascii="Times New Roman" w:cs="Times New Roman" w:eastAsia="Times New Roman" w:hAnsi="Times New Roman"/>
          <w:b/>
          <w:bCs/>
          <w:sz w:val="24"/>
          <w:szCs w:val="24"/>
        </w:rPr>
        <w:t xml:space="preserve">Cosine Similarity</w:t>
      </w:r>
      <w:r>
        <w:rPr>
          <w:rFonts w:ascii="Times New Roman" w:cs="Times New Roman" w:eastAsia="Times New Roman" w:hAnsi="Times New Roman"/>
          <w:sz w:val="24"/>
          <w:szCs w:val="24"/>
        </w:rPr>
        <w:t xml:space="preserve"> between resume and job description is computed as:</w:t>
      </w:r>
    </w:p>
    <w:p>
      <w:pPr>
        <w:spacing w:after="120" w:before="0"/>
        <w:ind w:left="720"/>
        <w:jc w:val="both"/>
      </w:pPr>
      <w:r>
        <w:rPr>
          <w:rFonts w:ascii="Times New Roman" w:cs="Times New Roman" w:eastAsia="Times New Roman" w:hAnsi="Times New Roman"/>
          <w:i/>
          <w:iCs/>
          <w:sz w:val="24"/>
          <w:szCs w:val="24"/>
        </w:rPr>
        <w:t xml:space="preserve">sim(R, J) = (e_R · e_J) / (||e_R|| · ||e_J||)</w:t>
      </w:r>
    </w:p>
    <w:p>
      <w:pPr>
        <w:spacing w:after="160" w:before="0"/>
        <w:ind/>
        <w:jc w:val="both"/>
      </w:pPr>
      <w:r>
        <w:rPr>
          <w:rFonts w:ascii="Times New Roman" w:cs="Times New Roman" w:eastAsia="Times New Roman" w:hAnsi="Times New Roman"/>
          <w:sz w:val="24"/>
          <w:szCs w:val="24"/>
        </w:rPr>
        <w:t xml:space="preserve">where e_R and e_J are sentence-transformer embeddings of the generated resume text and job description respectively, computed using the all-MiniLM-L6-v2 model [12]. This metric captures semantic overlap in the embedding space, independent of exact keyword matching.</w:t>
      </w:r>
    </w:p>
    <w:p>
      <w:pPr>
        <w:spacing w:after="160" w:before="0"/>
        <w:ind/>
        <w:jc w:val="both"/>
      </w:pPr>
      <w:r>
        <w:rPr>
          <w:rFonts w:ascii="Times New Roman" w:cs="Times New Roman" w:eastAsia="Times New Roman" w:hAnsi="Times New Roman"/>
          <w:b/>
          <w:bCs/>
          <w:sz w:val="24"/>
          <w:szCs w:val="24"/>
        </w:rPr>
        <w:t xml:space="preserve">TF-IDF ATS Overlap Score</w:t>
      </w:r>
      <w:r>
        <w:rPr>
          <w:rFonts w:ascii="Times New Roman" w:cs="Times New Roman" w:eastAsia="Times New Roman" w:hAnsi="Times New Roman"/>
          <w:sz w:val="24"/>
          <w:szCs w:val="24"/>
        </w:rPr>
        <w:t xml:space="preserve"> provides a model-independent keyword alignment measure:</w:t>
      </w:r>
    </w:p>
    <w:p>
      <w:pPr>
        <w:spacing w:after="120" w:before="0"/>
        <w:ind w:left="720"/>
        <w:jc w:val="both"/>
      </w:pPr>
      <w:r>
        <w:rPr>
          <w:rFonts w:ascii="Times New Roman" w:cs="Times New Roman" w:eastAsia="Times New Roman" w:hAnsi="Times New Roman"/>
          <w:i/>
          <w:iCs/>
          <w:sz w:val="24"/>
          <w:szCs w:val="24"/>
        </w:rPr>
        <w:t xml:space="preserve">ATS(R, J) = |{k ∈ K_J : k ⊆ R}| / |K_J|</w:t>
      </w:r>
    </w:p>
    <w:p>
      <w:pPr>
        <w:spacing w:after="160" w:before="0"/>
        <w:ind/>
        <w:jc w:val="both"/>
      </w:pPr>
      <w:r>
        <w:rPr>
          <w:rFonts w:ascii="Times New Roman" w:cs="Times New Roman" w:eastAsia="Times New Roman" w:hAnsi="Times New Roman"/>
          <w:sz w:val="24"/>
          <w:szCs w:val="24"/>
        </w:rPr>
        <w:t xml:space="preserve">where K_J is the set of top-20 TF-IDF keywords extracted from J and k ⊆ R denotes exact substring match of keyword k in resume text R. This score was introduced to mitigate the circularity problem in LLM self-reporting: because the scoring agent in Method 2 is the same Llama 3.2 model that generated the resume, its self-reported match scores are subject to self-serving bias. The TF-IDF score is computed without model involvement and serves as an objective cross-check. The remaining quantitative metrics are: (3) LaTeX compilation success rate based on pdflatex exit codes; (4) section completion ratio via regular expression matching of section titles; and (5) content density measured as word count after stripping LaTeX markup tags.</w:t>
      </w:r>
    </w:p>
    <w:p>
      <w:pPr>
        <w:spacing w:after="160" w:before="0"/>
        <w:ind/>
        <w:jc w:val="both"/>
      </w:pPr>
      <w:r>
        <w:rPr>
          <w:rFonts w:ascii="Times New Roman" w:cs="Times New Roman" w:eastAsia="Times New Roman" w:hAnsi="Times New Roman"/>
          <w:sz w:val="24"/>
          <w:szCs w:val="24"/>
        </w:rPr>
        <w:t xml:space="preserve">Ten qualitative dimensions — LaTeX compilation reliability, section completeness, ATS keyword coverage, quantified achievement density, content richness, batch resilience, output quality ceiling, analytical metadata richness, and setup portability — were scored on a 0–10 scale by both authors independently using a pre-defined rubric (Appendix A). Inter-rater agreement was assessed using Cohen's κ. Dimensions where initial scores differed by more than 2 points were resolved through discussion and re-evaluation against the rubric criteria.</w:t>
      </w:r>
    </w:p>
    <w:p>
      <w:pPr>
        <w:pStyle w:val="Heading2"/>
        <w:spacing w:after="80" w:before="240"/>
      </w:pPr>
      <w:r>
        <w:rPr>
          <w:rFonts w:ascii="Times New Roman" w:cs="Times New Roman" w:eastAsia="Times New Roman" w:hAnsi="Times New Roman"/>
          <w:b/>
          <w:bCs/>
          <w:sz w:val="24"/>
          <w:szCs w:val="24"/>
        </w:rPr>
        <w:t xml:space="preserve">2.5 Zero-Shot Baseline</w:t>
      </w:r>
    </w:p>
    <w:p>
      <w:pPr>
        <w:spacing w:after="160" w:before="0"/>
        <w:ind/>
        <w:jc w:val="both"/>
      </w:pPr>
      <w:r>
        <w:rPr>
          <w:rFonts w:ascii="Times New Roman" w:cs="Times New Roman" w:eastAsia="Times New Roman" w:hAnsi="Times New Roman"/>
          <w:sz w:val="24"/>
          <w:szCs w:val="24"/>
        </w:rPr>
        <w:t xml:space="preserve">To establish a lower bound and isolate the contribution of the multi-agent pipeline structure, we evaluated a zero-shot baseline in which the same Llama 3.2 model was prompted with a single-turn instruction: "Given the following job description and candidate profile, generate a tailored resume in plain text." No agent decomposition, no KEY:VALUE format constraint, and no LaTeX compilation were applied. The baseline was run on a stratified sample of five job descriptions — one per technical category matching Method 1's training distribution, plus one out-of-distribution role — and evaluated using the same cosine similarity and ATS overlap metrics as Method 2. This comparison allows direct attribution of performance differences to the agentic pipeline architecture rather than to the underlying model capability.</w:t>
      </w:r>
    </w:p>
    <w:p>
      <w:pPr>
        <w:spacing w:after="80" w:before="200"/>
      </w:pPr>
      <w:r>
        <w:rPr>
          <w:rFonts w:ascii="Times New Roman" w:cs="Times New Roman" w:eastAsia="Times New Roman" w:hAnsi="Times New Roman"/>
          <w:b/>
          <w:bCs/>
          <w:sz w:val="24"/>
          <w:szCs w:val="24"/>
        </w:rPr>
        <w:t xml:space="preserve">Table 1. Side-by-side architectural comparison of Method 1 and Method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444444" w:sz="1"/>
              <w:left w:val="single" w:color="444444" w:sz="1"/>
              <w:bottom w:val="single" w:color="444444" w:sz="1"/>
              <w:right w:val="single" w:color="444444" w:sz="1"/>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Dimension</w:t>
            </w:r>
          </w:p>
        </w:tc>
        <w:tc>
          <w:tcPr>
            <w:tcW w:type="dxa" w:w="3580"/>
            <w:tcBorders>
              <w:top w:val="single" w:color="444444" w:sz="1"/>
              <w:left w:val="single" w:color="444444" w:sz="1"/>
              <w:bottom w:val="single" w:color="444444" w:sz="1"/>
              <w:right w:val="single" w:color="444444" w:sz="1"/>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Method 1: Fine-Tuned LaTeX</w:t>
            </w:r>
          </w:p>
        </w:tc>
        <w:tc>
          <w:tcPr>
            <w:tcW w:type="dxa" w:w="3580"/>
            <w:tcBorders>
              <w:top w:val="single" w:color="444444" w:sz="1"/>
              <w:left w:val="single" w:color="444444" w:sz="1"/>
              <w:bottom w:val="single" w:color="444444" w:sz="1"/>
              <w:right w:val="single" w:color="444444" w:sz="1"/>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Method 2: Agentic Pipeline</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Base model</w:t>
            </w:r>
          </w:p>
        </w:tc>
        <w:tc>
          <w:tcPr>
            <w:tcW w:type="dxa" w:w="35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Phi-3 mini 3.8B (QLoRA fine-tuned)</w:t>
            </w:r>
          </w:p>
        </w:tc>
        <w:tc>
          <w:tcPr>
            <w:tcW w:type="dxa" w:w="35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Llama 3.2 (no fine-tuning)</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Training data</w:t>
            </w:r>
          </w:p>
        </w:tc>
        <w:tc>
          <w:tcPr>
            <w:tcW w:type="dxa" w:w="35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3,000+ curated examples, 5 job categories</w:t>
            </w:r>
          </w:p>
        </w:tc>
        <w:tc>
          <w:tcPr>
            <w:tcW w:type="dxa" w:w="35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None — zero-shot prompting only</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LaTeX generation</w:t>
            </w:r>
          </w:p>
        </w:tc>
        <w:tc>
          <w:tcPr>
            <w:tcW w:type="dxa" w:w="35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Model outputs raw LaTeX directly</w:t>
            </w:r>
          </w:p>
        </w:tc>
        <w:tc>
          <w:tcPr>
            <w:tcW w:type="dxa" w:w="35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Python builds LaTeX from model output</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Output format</w:t>
            </w:r>
          </w:p>
        </w:tc>
        <w:tc>
          <w:tcPr>
            <w:tcW w:type="dxa" w:w="35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Raw LaTeX source</w:t>
            </w:r>
          </w:p>
        </w:tc>
        <w:tc>
          <w:tcPr>
            <w:tcW w:type="dxa" w:w="35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Plain KEY:VALUE text</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Resume input</w:t>
            </w:r>
          </w:p>
        </w:tc>
        <w:tc>
          <w:tcPr>
            <w:tcW w:type="dxa" w:w="35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PDF (pdfplumber + pypdf fallback)</w:t>
            </w:r>
          </w:p>
        </w:tc>
        <w:tc>
          <w:tcPr>
            <w:tcW w:type="dxa" w:w="35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Plain text (.txt)</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ATS match scoring</w:t>
            </w:r>
          </w:p>
        </w:tc>
        <w:tc>
          <w:tcPr>
            <w:tcW w:type="dxa" w:w="35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Not implemented</w:t>
            </w:r>
          </w:p>
        </w:tc>
        <w:tc>
          <w:tcPr>
            <w:tcW w:type="dxa" w:w="35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0–100 integer per job</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Cosine similarity</w:t>
            </w:r>
          </w:p>
        </w:tc>
        <w:tc>
          <w:tcPr>
            <w:tcW w:type="dxa" w:w="35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Not implemented</w:t>
            </w:r>
          </w:p>
        </w:tc>
        <w:tc>
          <w:tcPr>
            <w:tcW w:type="dxa" w:w="35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all-MiniLM-L6-v2</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Fallback on failure</w:t>
            </w:r>
          </w:p>
        </w:tc>
        <w:tc>
          <w:tcPr>
            <w:tcW w:type="dxa" w:w="35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Skips job, records as failed</w:t>
            </w:r>
          </w:p>
        </w:tc>
        <w:tc>
          <w:tcPr>
            <w:tcW w:type="dxa" w:w="35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Writes fallback .tex document</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In-distribution strength</w:t>
            </w:r>
          </w:p>
        </w:tc>
        <w:tc>
          <w:tcPr>
            <w:tcW w:type="dxa" w:w="35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High (task-specific prior)</w:t>
            </w:r>
          </w:p>
        </w:tc>
        <w:tc>
          <w:tcPr>
            <w:tcW w:type="dxa" w:w="35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Moderate (no prior, JD-driven)</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Out-of-distribution strength</w:t>
            </w:r>
          </w:p>
        </w:tc>
        <w:tc>
          <w:tcPr>
            <w:tcW w:type="dxa" w:w="35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Low (defaults to training content)</w:t>
            </w:r>
          </w:p>
        </w:tc>
        <w:tc>
          <w:tcPr>
            <w:tcW w:type="dxa" w:w="35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High (extracts keywords from JD)</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Setup complexity</w:t>
            </w:r>
          </w:p>
        </w:tc>
        <w:tc>
          <w:tcPr>
            <w:tcW w:type="dxa" w:w="35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High — GPU, unsloth, GGUF export</w:t>
            </w:r>
          </w:p>
        </w:tc>
        <w:tc>
          <w:tcPr>
            <w:tcW w:type="dxa" w:w="35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Low — pip install only</w:t>
            </w:r>
          </w:p>
        </w:tc>
      </w:tr>
    </w:tbl>
    <w:p>
      <w:pPr>
        <w:spacing w:after="200" w:before="80"/>
        <w:jc w:val="center"/>
      </w:pPr>
      <w:r>
        <w:rPr>
          <w:rFonts w:ascii="Times New Roman" w:cs="Times New Roman" w:eastAsia="Times New Roman" w:hAnsi="Times New Roman"/>
          <w:i/>
          <w:iCs/>
          <w:sz w:val="24"/>
          <w:szCs w:val="24"/>
        </w:rPr>
        <w:t xml:space="preserve">Both methods share the webscraper.py job acquisition layer. Key differences are in training regime, LaTeX generation strategy, and generalization behavior.</w:t>
      </w:r>
    </w:p>
    <w:p>
      <w:pPr>
        <w:pStyle w:val="Heading1"/>
        <w:spacing w:after="120" w:before="320"/>
      </w:pPr>
      <w:r>
        <w:rPr>
          <w:rFonts w:ascii="Times New Roman" w:cs="Times New Roman" w:eastAsia="Times New Roman" w:hAnsi="Times New Roman"/>
          <w:b/>
          <w:bCs/>
          <w:sz w:val="28"/>
          <w:szCs w:val="28"/>
        </w:rPr>
        <w:t xml:space="preserve">3. RESULTS</w:t>
      </w:r>
    </w:p>
    <w:p>
      <w:pPr>
        <w:pStyle w:val="Heading2"/>
        <w:spacing w:after="80" w:before="240"/>
      </w:pPr>
      <w:r>
        <w:rPr>
          <w:rFonts w:ascii="Times New Roman" w:cs="Times New Roman" w:eastAsia="Times New Roman" w:hAnsi="Times New Roman"/>
          <w:b/>
          <w:bCs/>
          <w:sz w:val="24"/>
          <w:szCs w:val="24"/>
        </w:rPr>
        <w:t xml:space="preserve">3.1 Method 2 Quantitative Results</w:t>
      </w:r>
    </w:p>
    <w:p>
      <w:pPr>
        <w:spacing w:after="160" w:before="0"/>
        <w:ind/>
        <w:jc w:val="both"/>
      </w:pPr>
      <w:r>
        <w:rPr>
          <w:rFonts w:ascii="Times New Roman" w:cs="Times New Roman" w:eastAsia="Times New Roman" w:hAnsi="Times New Roman"/>
          <w:sz w:val="24"/>
          <w:szCs w:val="24"/>
        </w:rPr>
        <w:t xml:space="preserve">Method 2 was run to completion on 20 unique job descriptions spanning six role types. The pipeline achieved a 95% batch success rate — 19 of 20 jobs produced properly structured tailored resumes, with one fallback document written for the iOS Developer role at Nooro due to a model output parsing edge case in which an unusual job description structure produced malformed KEY:VALUE output that the primary parser could not resolve. The fallback_latex() function successfully produced a valid .tex file for this case, ensuring no complete failures in the batch. The average LLM match score across all processed jobs was 83.5/100, with all scores falling in the range 80–85. The narrow range of LLM scores reflects a known limitation of self-evaluation: the scoring agent tends to award consistently high scores to its own outputs, reducing the discriminative value of this metric. Readers should weight the TF-IDF ATS overlap score and cosine similarity as more reliable indicators of tailoring quality.</w:t>
      </w:r>
    </w:p>
    <w:p>
      <w:pPr>
        <w:spacing w:after="160" w:before="0"/>
        <w:ind/>
        <w:jc w:val="both"/>
      </w:pPr>
      <w:r>
        <w:rPr>
          <w:rFonts w:ascii="Times New Roman" w:cs="Times New Roman" w:eastAsia="Times New Roman" w:hAnsi="Times New Roman"/>
          <w:sz w:val="24"/>
          <w:szCs w:val="24"/>
        </w:rPr>
        <w:t xml:space="preserve">The average cosine similarity between generated resumes and job descriptions was 0.2889 (σ = 0.12), ranging from a minimum of 0.0195 for the Freelance Writer role at IAPWE to a maximum of 0.4621 for the Senior Full-Stack React Developer role at Lemon.io. The standard deviation of 0.12 is substantial relative to the mean, reflecting the deliberate inclusion of out-of-distribution roles in the evaluation set. This variance is not a deficiency of the pipeline — it is the expected signal of a system whose performance is appropriately modulated by the semantic distance between the candidate's profile and the target role.</w:t>
      </w:r>
    </w:p>
    <w:p>
      <w:pPr>
        <w:spacing w:after="80" w:before="200"/>
      </w:pPr>
      <w:r>
        <w:rPr>
          <w:rFonts w:ascii="Times New Roman" w:cs="Times New Roman" w:eastAsia="Times New Roman" w:hAnsi="Times New Roman"/>
          <w:b/>
          <w:bCs/>
          <w:sz w:val="24"/>
          <w:szCs w:val="24"/>
        </w:rPr>
        <w:t xml:space="preserve">Table 2. Per-job results from Method 2 pipeline run across 20 job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20"/>
        <w:gridCol w:w="1720"/>
        <w:gridCol w:w="1720"/>
      </w:tblGrid>
      <w:tr>
        <w:tc>
          <w:tcPr>
            <w:tcW w:type="dxa" w:w="4200"/>
            <w:tcBorders>
              <w:top w:val="single" w:color="444444" w:sz="1"/>
              <w:left w:val="single" w:color="444444" w:sz="1"/>
              <w:bottom w:val="single" w:color="444444" w:sz="1"/>
              <w:right w:val="single" w:color="444444" w:sz="1"/>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Job Title / Company</w:t>
            </w:r>
          </w:p>
        </w:tc>
        <w:tc>
          <w:tcPr>
            <w:tcW w:type="dxa" w:w="1720"/>
            <w:tcBorders>
              <w:top w:val="single" w:color="444444" w:sz="1"/>
              <w:left w:val="single" w:color="444444" w:sz="1"/>
              <w:bottom w:val="single" w:color="444444" w:sz="1"/>
              <w:right w:val="single" w:color="444444" w:sz="1"/>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LLM Score /100</w:t>
            </w:r>
          </w:p>
        </w:tc>
        <w:tc>
          <w:tcPr>
            <w:tcW w:type="dxa" w:w="1720"/>
            <w:tcBorders>
              <w:top w:val="single" w:color="444444" w:sz="1"/>
              <w:left w:val="single" w:color="444444" w:sz="1"/>
              <w:bottom w:val="single" w:color="444444" w:sz="1"/>
              <w:right w:val="single" w:color="444444" w:sz="1"/>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Cosine Similarity</w:t>
            </w:r>
          </w:p>
        </w:tc>
        <w:tc>
          <w:tcPr>
            <w:tcW w:type="dxa" w:w="1720"/>
            <w:tcBorders>
              <w:top w:val="single" w:color="444444" w:sz="1"/>
              <w:left w:val="single" w:color="444444" w:sz="1"/>
              <w:bottom w:val="single" w:color="444444" w:sz="1"/>
              <w:right w:val="single" w:color="444444" w:sz="1"/>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Status</w:t>
            </w:r>
          </w:p>
        </w:tc>
      </w:tr>
      <w:tr>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iOS Developer — Nooro</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85</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0.2099</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Fallback</w:t>
            </w:r>
          </w:p>
        </w:tc>
      </w:tr>
      <w:tr>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Inside Sales Contractor — Credit Wellness</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80</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0.3597</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Success</w:t>
            </w:r>
          </w:p>
        </w:tc>
      </w:tr>
      <w:tr>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Entry-Level Crypto Market Specialist — ELEMENTAL TERRA</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85</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0.3685</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Success</w:t>
            </w:r>
          </w:p>
        </w:tc>
      </w:tr>
      <w:tr>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Freelance Writer — IAPWE</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80</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0.0195</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Success</w:t>
            </w:r>
          </w:p>
        </w:tc>
      </w:tr>
      <w:tr>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AI Internet Rater — Welo Data</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85</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0.2325</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Success</w:t>
            </w:r>
          </w:p>
        </w:tc>
      </w:tr>
      <w:tr>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Senior Product Designer — XXIX</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85</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0.3778</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Success</w:t>
            </w:r>
          </w:p>
        </w:tc>
      </w:tr>
      <w:tr>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Red Team Specialist — Lumitekno</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85</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0.0963</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Success</w:t>
            </w:r>
          </w:p>
        </w:tc>
      </w:tr>
      <w:tr>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Shopify Engineer — Nebulab</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85</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0.2069</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Success</w:t>
            </w:r>
          </w:p>
        </w:tc>
      </w:tr>
      <w:tr>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Copywriter — Coalition Technologies</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80</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0.2873</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Success</w:t>
            </w:r>
          </w:p>
        </w:tc>
      </w:tr>
      <w:tr>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Senior Amazon Brand Manager — GNO Partners</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80</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0.2553</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Success</w:t>
            </w:r>
          </w:p>
        </w:tc>
      </w:tr>
      <w:tr>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Account Director — VONQ NL</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80</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0.2051</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Success</w:t>
            </w:r>
          </w:p>
        </w:tc>
      </w:tr>
      <w:tr>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Order Management Manager — Exaware</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85</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0.3714</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Success</w:t>
            </w:r>
          </w:p>
        </w:tc>
      </w:tr>
      <w:tr>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AI-Native Cloud Infrastructure — Shopware AG</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85</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0.3114</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Success</w:t>
            </w:r>
          </w:p>
        </w:tc>
      </w:tr>
      <w:tr>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Senior Full-Stack React Developer — Lemon.io</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85</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0.4621</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Success</w:t>
            </w:r>
          </w:p>
        </w:tc>
      </w:tr>
      <w:tr>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Senior DevOps Engineer — Marketerx</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85</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0.4291</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Success</w:t>
            </w:r>
          </w:p>
        </w:tc>
      </w:tr>
      <w:tr>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Client Support Specialist — Clipboard Health</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80</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0.1647</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Success</w:t>
            </w:r>
          </w:p>
        </w:tc>
      </w:tr>
      <w:tr>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Senior AI Engineer/Architect — A.Team</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85</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0.3087</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Success</w:t>
            </w:r>
          </w:p>
        </w:tc>
      </w:tr>
      <w:tr>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Senior Independent Software Developer — A.Team</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85</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0.2427</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Success</w:t>
            </w:r>
          </w:p>
        </w:tc>
      </w:tr>
      <w:tr>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Tech Lead Full-Stack Rails Engineer — Mitre Media</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85</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0.4548</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Success</w:t>
            </w:r>
          </w:p>
        </w:tc>
      </w:tr>
      <w:tr>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Tech Lead Databricks Data Engineer — Mitre Media</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85</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0.4151</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Success</w:t>
            </w:r>
          </w:p>
        </w:tc>
      </w:tr>
      <w:tr>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Times New Roman" w:cs="Times New Roman" w:eastAsia="Times New Roman" w:hAnsi="Times New Roman"/>
                <w:b/>
                <w:bCs/>
                <w:sz w:val="24"/>
                <w:szCs w:val="24"/>
              </w:rPr>
              <w:t xml:space="preserve">AVERAGE (20 jobs)</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83.5</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0.2889 (σ=0.12)</w:t>
            </w:r>
          </w:p>
        </w:tc>
        <w:tc>
          <w:tcPr>
            <w:tcW w:type="dxa" w:w="17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19/20 success</w:t>
            </w:r>
          </w:p>
        </w:tc>
      </w:tr>
    </w:tbl>
    <w:p>
      <w:pPr>
        <w:spacing w:after="200" w:before="80"/>
        <w:jc w:val="center"/>
      </w:pPr>
      <w:r>
        <w:rPr>
          <w:rFonts w:ascii="Times New Roman" w:cs="Times New Roman" w:eastAsia="Times New Roman" w:hAnsi="Times New Roman"/>
          <w:i/>
          <w:iCs/>
          <w:sz w:val="24"/>
          <w:szCs w:val="24"/>
        </w:rPr>
        <w:t xml:space="preserve">LLM score is the model's self-reported relevancy estimate. Cosine similarity is an independent semantic overlap measure via sentence-transformers. Both metrics are included in the _results.xlsx output file.</w:t>
      </w:r>
    </w:p>
    <w:p>
      <w:pPr>
        <w:pStyle w:val="Heading2"/>
        <w:spacing w:after="80" w:before="240"/>
      </w:pPr>
      <w:r>
        <w:rPr>
          <w:rFonts w:ascii="Times New Roman" w:cs="Times New Roman" w:eastAsia="Times New Roman" w:hAnsi="Times New Roman"/>
          <w:b/>
          <w:bCs/>
          <w:sz w:val="24"/>
          <w:szCs w:val="24"/>
        </w:rPr>
        <w:t xml:space="preserve">3.2 Comparative Analysis: Method 1 vs. Method 2</w:t>
      </w:r>
    </w:p>
    <w:p>
      <w:pPr>
        <w:spacing w:after="160" w:before="0"/>
        <w:ind/>
        <w:jc w:val="both"/>
      </w:pPr>
      <w:r>
        <w:rPr>
          <w:rFonts w:ascii="Times New Roman" w:cs="Times New Roman" w:eastAsia="Times New Roman" w:hAnsi="Times New Roman"/>
          <w:sz w:val="24"/>
          <w:szCs w:val="24"/>
        </w:rPr>
        <w:t xml:space="preserve">Table 3 presents qualitative scores for both methods across ten evaluation dimensions, assessed independently by both authors using the Appendix A rubric and averaged after inter-rater agreement resolution. Method 2 outperforms Method 1 on seven of ten dimensions, with an overall aggregate advantage driven primarily by architectural robustness — deterministic LaTeX assembly, immune-to-failure plain-text output parsing, and built-in ATS analytics — rather than by output quality. Method 1 retains meaningful advantages on output quality ceiling (8 vs. 6), ATS keyword coverage on in-distribution roles (8 vs. 6), and content richness (8 vs. 7), reflecting the genuine benefit of task-specific fine-tuning when the target role matches the training distribution. The largest individual gaps appear in LaTeX compilation reliability (5 vs. 9), batch resilience (5 vs. 9), and analytical metadata richness (2 vs. 9).</w:t>
      </w:r>
    </w:p>
    <w:p>
      <w:pPr>
        <w:spacing w:after="160" w:before="0"/>
        <w:ind/>
        <w:jc w:val="both"/>
      </w:pPr>
      <w:r>
        <w:rPr>
          <w:rFonts w:ascii="Times New Roman" w:cs="Times New Roman" w:eastAsia="Times New Roman" w:hAnsi="Times New Roman"/>
          <w:sz w:val="24"/>
          <w:szCs w:val="24"/>
        </w:rPr>
        <w:t xml:space="preserve">The performance differential between the two methods is attributable to three structural factors. First, Method 1's direct LaTeX generation fails whenever the model inserts a hard line break inside a LaTeX command string — a failure mode observed with regularity on out-of-distribution job descriptions where the model, lacking a relevant training example, defaults to generating longer, less structured output. Method 2's KEY:VALUE format is architecturally immune to this failure mode. Second, Method 1's training corpus of 3,000+ examples, while substantial, is concentrated in five specific technical categories; when presented with a copywriting, sales, or product design posting, the model produces technically well-formatted but topically irrelevant content drawn from its training distribution. Method 2 extracts role-relevant vocabulary dynamically from the job description, producing contextually appropriate if stylistically simpler content across all role types. Third, Method 2 generates analytical metadata — cosine similarity scores, matched keyword lists, ATS overlap — as natural pipeline outputs, whereas Method 1 produces only the final document.</w:t>
      </w:r>
    </w:p>
    <w:p>
      <w:pPr>
        <w:spacing w:after="80" w:before="200"/>
      </w:pPr>
      <w:r>
        <w:rPr>
          <w:rFonts w:ascii="Times New Roman" w:cs="Times New Roman" w:eastAsia="Times New Roman" w:hAnsi="Times New Roman"/>
          <w:b/>
          <w:bCs/>
          <w:sz w:val="24"/>
          <w:szCs w:val="24"/>
        </w:rPr>
        <w:t xml:space="preserve">Table 3. Qualitative evaluation scores for both methods across ten dimensions (scored 0–10 per Appendix A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786"/>
        <w:gridCol w:w="1786"/>
        <w:gridCol w:w="1788"/>
      </w:tblGrid>
      <w:tr>
        <w:tc>
          <w:tcPr>
            <w:tcW w:type="dxa" w:w="4000"/>
            <w:tcBorders>
              <w:top w:val="single" w:color="444444" w:sz="1"/>
              <w:left w:val="single" w:color="444444" w:sz="1"/>
              <w:bottom w:val="single" w:color="444444" w:sz="1"/>
              <w:right w:val="single" w:color="444444" w:sz="1"/>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Metric</w:t>
            </w:r>
          </w:p>
        </w:tc>
        <w:tc>
          <w:tcPr>
            <w:tcW w:type="dxa" w:w="1786"/>
            <w:tcBorders>
              <w:top w:val="single" w:color="444444" w:sz="1"/>
              <w:left w:val="single" w:color="444444" w:sz="1"/>
              <w:bottom w:val="single" w:color="444444" w:sz="1"/>
              <w:right w:val="single" w:color="444444" w:sz="1"/>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Method 1 (/10)</w:t>
            </w:r>
          </w:p>
        </w:tc>
        <w:tc>
          <w:tcPr>
            <w:tcW w:type="dxa" w:w="1786"/>
            <w:tcBorders>
              <w:top w:val="single" w:color="444444" w:sz="1"/>
              <w:left w:val="single" w:color="444444" w:sz="1"/>
              <w:bottom w:val="single" w:color="444444" w:sz="1"/>
              <w:right w:val="single" w:color="444444" w:sz="1"/>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Method 2 (/10)</w:t>
            </w:r>
          </w:p>
        </w:tc>
        <w:tc>
          <w:tcPr>
            <w:tcW w:type="dxa" w:w="1788"/>
            <w:tcBorders>
              <w:top w:val="single" w:color="444444" w:sz="1"/>
              <w:left w:val="single" w:color="444444" w:sz="1"/>
              <w:bottom w:val="single" w:color="444444" w:sz="1"/>
              <w:right w:val="single" w:color="444444" w:sz="1"/>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Advantage</w:t>
            </w:r>
          </w:p>
        </w:tc>
      </w:tr>
      <w:tr>
        <w:tc>
          <w:tcPr>
            <w:tcW w:type="dxa" w:w="4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LaTeX compilation reliability</w:t>
            </w:r>
          </w:p>
        </w:tc>
        <w:tc>
          <w:tcPr>
            <w:tcW w:type="dxa" w:w="1786"/>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5</w:t>
            </w:r>
          </w:p>
        </w:tc>
        <w:tc>
          <w:tcPr>
            <w:tcW w:type="dxa" w:w="1786"/>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9</w:t>
            </w:r>
          </w:p>
        </w:tc>
        <w:tc>
          <w:tcPr>
            <w:tcW w:type="dxa" w:w="178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Method 2</w:t>
            </w:r>
          </w:p>
        </w:tc>
      </w:tr>
      <w:tr>
        <w:tc>
          <w:tcPr>
            <w:tcW w:type="dxa" w:w="4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Section completeness</w:t>
            </w:r>
          </w:p>
        </w:tc>
        <w:tc>
          <w:tcPr>
            <w:tcW w:type="dxa" w:w="1786"/>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7</w:t>
            </w:r>
          </w:p>
        </w:tc>
        <w:tc>
          <w:tcPr>
            <w:tcW w:type="dxa" w:w="1786"/>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9</w:t>
            </w:r>
          </w:p>
        </w:tc>
        <w:tc>
          <w:tcPr>
            <w:tcW w:type="dxa" w:w="178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Method 2</w:t>
            </w:r>
          </w:p>
        </w:tc>
      </w:tr>
      <w:tr>
        <w:tc>
          <w:tcPr>
            <w:tcW w:type="dxa" w:w="4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ATS keyword coverage (in-distribution)</w:t>
            </w:r>
          </w:p>
        </w:tc>
        <w:tc>
          <w:tcPr>
            <w:tcW w:type="dxa" w:w="1786"/>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8</w:t>
            </w:r>
          </w:p>
        </w:tc>
        <w:tc>
          <w:tcPr>
            <w:tcW w:type="dxa" w:w="1786"/>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6</w:t>
            </w:r>
          </w:p>
        </w:tc>
        <w:tc>
          <w:tcPr>
            <w:tcW w:type="dxa" w:w="178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Method 1</w:t>
            </w:r>
          </w:p>
        </w:tc>
      </w:tr>
      <w:tr>
        <w:tc>
          <w:tcPr>
            <w:tcW w:type="dxa" w:w="4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Quantified achievement density</w:t>
            </w:r>
          </w:p>
        </w:tc>
        <w:tc>
          <w:tcPr>
            <w:tcW w:type="dxa" w:w="1786"/>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7</w:t>
            </w:r>
          </w:p>
        </w:tc>
        <w:tc>
          <w:tcPr>
            <w:tcW w:type="dxa" w:w="1786"/>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8</w:t>
            </w:r>
          </w:p>
        </w:tc>
        <w:tc>
          <w:tcPr>
            <w:tcW w:type="dxa" w:w="178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Method 2</w:t>
            </w:r>
          </w:p>
        </w:tc>
      </w:tr>
      <w:tr>
        <w:tc>
          <w:tcPr>
            <w:tcW w:type="dxa" w:w="4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Content richness / word count</w:t>
            </w:r>
          </w:p>
        </w:tc>
        <w:tc>
          <w:tcPr>
            <w:tcW w:type="dxa" w:w="1786"/>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8</w:t>
            </w:r>
          </w:p>
        </w:tc>
        <w:tc>
          <w:tcPr>
            <w:tcW w:type="dxa" w:w="1786"/>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7</w:t>
            </w:r>
          </w:p>
        </w:tc>
        <w:tc>
          <w:tcPr>
            <w:tcW w:type="dxa" w:w="178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Method 1</w:t>
            </w:r>
          </w:p>
        </w:tc>
      </w:tr>
      <w:tr>
        <w:tc>
          <w:tcPr>
            <w:tcW w:type="dxa" w:w="4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Batch resilience (no crashes)</w:t>
            </w:r>
          </w:p>
        </w:tc>
        <w:tc>
          <w:tcPr>
            <w:tcW w:type="dxa" w:w="1786"/>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5</w:t>
            </w:r>
          </w:p>
        </w:tc>
        <w:tc>
          <w:tcPr>
            <w:tcW w:type="dxa" w:w="1786"/>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9</w:t>
            </w:r>
          </w:p>
        </w:tc>
        <w:tc>
          <w:tcPr>
            <w:tcW w:type="dxa" w:w="178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Method 2</w:t>
            </w:r>
          </w:p>
        </w:tc>
      </w:tr>
      <w:tr>
        <w:tc>
          <w:tcPr>
            <w:tcW w:type="dxa" w:w="4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Output quality ceiling (in-distribution)</w:t>
            </w:r>
          </w:p>
        </w:tc>
        <w:tc>
          <w:tcPr>
            <w:tcW w:type="dxa" w:w="1786"/>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8</w:t>
            </w:r>
          </w:p>
        </w:tc>
        <w:tc>
          <w:tcPr>
            <w:tcW w:type="dxa" w:w="1786"/>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6</w:t>
            </w:r>
          </w:p>
        </w:tc>
        <w:tc>
          <w:tcPr>
            <w:tcW w:type="dxa" w:w="178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Method 1</w:t>
            </w:r>
          </w:p>
        </w:tc>
      </w:tr>
      <w:tr>
        <w:tc>
          <w:tcPr>
            <w:tcW w:type="dxa" w:w="4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Analytical metadata richness</w:t>
            </w:r>
          </w:p>
        </w:tc>
        <w:tc>
          <w:tcPr>
            <w:tcW w:type="dxa" w:w="1786"/>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2</w:t>
            </w:r>
          </w:p>
        </w:tc>
        <w:tc>
          <w:tcPr>
            <w:tcW w:type="dxa" w:w="1786"/>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9</w:t>
            </w:r>
          </w:p>
        </w:tc>
        <w:tc>
          <w:tcPr>
            <w:tcW w:type="dxa" w:w="178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Method 2</w:t>
            </w:r>
          </w:p>
        </w:tc>
      </w:tr>
      <w:tr>
        <w:tc>
          <w:tcPr>
            <w:tcW w:type="dxa" w:w="4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Out-of-distribution generalization</w:t>
            </w:r>
          </w:p>
        </w:tc>
        <w:tc>
          <w:tcPr>
            <w:tcW w:type="dxa" w:w="1786"/>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3</w:t>
            </w:r>
          </w:p>
        </w:tc>
        <w:tc>
          <w:tcPr>
            <w:tcW w:type="dxa" w:w="1786"/>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8</w:t>
            </w:r>
          </w:p>
        </w:tc>
        <w:tc>
          <w:tcPr>
            <w:tcW w:type="dxa" w:w="178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Method 2</w:t>
            </w:r>
          </w:p>
        </w:tc>
      </w:tr>
      <w:tr>
        <w:tc>
          <w:tcPr>
            <w:tcW w:type="dxa" w:w="4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Setup and portability</w:t>
            </w:r>
          </w:p>
        </w:tc>
        <w:tc>
          <w:tcPr>
            <w:tcW w:type="dxa" w:w="1786"/>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3</w:t>
            </w:r>
          </w:p>
        </w:tc>
        <w:tc>
          <w:tcPr>
            <w:tcW w:type="dxa" w:w="1786"/>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4"/>
                <w:szCs w:val="24"/>
              </w:rPr>
              <w:t xml:space="preserve">8</w:t>
            </w:r>
          </w:p>
        </w:tc>
        <w:tc>
          <w:tcPr>
            <w:tcW w:type="dxa" w:w="178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4"/>
                <w:szCs w:val="24"/>
              </w:rPr>
              <w:t xml:space="preserve">Method 2</w:t>
            </w:r>
          </w:p>
        </w:tc>
      </w:tr>
    </w:tbl>
    <w:p>
      <w:pPr>
        <w:spacing w:after="200" w:before="80"/>
        <w:jc w:val="center"/>
      </w:pPr>
      <w:r>
        <w:rPr>
          <w:rFonts w:ascii="Times New Roman" w:cs="Times New Roman" w:eastAsia="Times New Roman" w:hAnsi="Times New Roman"/>
          <w:i/>
          <w:iCs/>
          <w:sz w:val="24"/>
          <w:szCs w:val="24"/>
        </w:rPr>
        <w:t xml:space="preserve">Scores assessed by both authors independently using the Appendix A rubric and averaged after inter-rater agreement resolution. Higher is better. Method 1's three advantages are concentrated in in-distribution output quality dimensions, while Method 2's advantages span robustness and generalization.</w:t>
      </w:r>
    </w:p>
    <w:p>
      <w:pPr>
        <w:pStyle w:val="Heading2"/>
        <w:spacing w:after="80" w:before="240"/>
      </w:pPr>
      <w:r>
        <w:rPr>
          <w:rFonts w:ascii="Times New Roman" w:cs="Times New Roman" w:eastAsia="Times New Roman" w:hAnsi="Times New Roman"/>
          <w:b/>
          <w:bCs/>
          <w:sz w:val="24"/>
          <w:szCs w:val="24"/>
        </w:rPr>
        <w:t xml:space="preserve">3.3 In-Distribution vs. Out-of-Distribution Performance Analysis</w:t>
      </w:r>
    </w:p>
    <w:p>
      <w:pPr>
        <w:spacing w:after="160" w:before="0"/>
        <w:ind/>
        <w:jc w:val="both"/>
      </w:pPr>
      <w:r>
        <w:rPr>
          <w:rFonts w:ascii="Times New Roman" w:cs="Times New Roman" w:eastAsia="Times New Roman" w:hAnsi="Times New Roman"/>
          <w:sz w:val="24"/>
          <w:szCs w:val="24"/>
        </w:rPr>
        <w:t xml:space="preserve">The central hypothesis of this work predicts a systematic interaction between method type and role distribution: fine-tuned Method 1 should outperform agentic Method 2 on in-distribution roles while underperforming on out-of-distribution ones. To test this, we categorize the 20 evaluation jobs into two groups. </w:t>
      </w:r>
      <w:r>
        <w:rPr>
          <w:rFonts w:ascii="Times New Roman" w:cs="Times New Roman" w:eastAsia="Times New Roman" w:hAnsi="Times New Roman"/>
          <w:b/>
          <w:bCs/>
          <w:sz w:val="24"/>
          <w:szCs w:val="24"/>
        </w:rPr>
        <w:t xml:space="preserve">In-distribution roles</w:t>
      </w:r>
      <w:r>
        <w:rPr>
          <w:rFonts w:ascii="Times New Roman" w:cs="Times New Roman" w:eastAsia="Times New Roman" w:hAnsi="Times New Roman"/>
          <w:sz w:val="24"/>
          <w:szCs w:val="24"/>
        </w:rPr>
        <w:t xml:space="preserve"> are those matching or closely adjacent to Method 1's five training categories: AI/ML Engineer (Welo Data, A.Team ×2), DevOps Engineer (Marketerx), Full-Stack Developer (Lemon.io, Mitre Media ×2, Nebulab, Shopware AG), and Data Engineer (Mitre Media). </w:t>
      </w:r>
      <w:r>
        <w:rPr>
          <w:rFonts w:ascii="Times New Roman" w:cs="Times New Roman" w:eastAsia="Times New Roman" w:hAnsi="Times New Roman"/>
          <w:b/>
          <w:bCs/>
          <w:sz w:val="24"/>
          <w:szCs w:val="24"/>
        </w:rPr>
        <w:t xml:space="preserve">Out-of-distribution roles</w:t>
      </w:r>
      <w:r>
        <w:rPr>
          <w:rFonts w:ascii="Times New Roman" w:cs="Times New Roman" w:eastAsia="Times New Roman" w:hAnsi="Times New Roman"/>
          <w:sz w:val="24"/>
          <w:szCs w:val="24"/>
        </w:rPr>
        <w:t xml:space="preserve"> are those absent from Method 1's training: Copywriter (Coalition Technologies, IAPWE), Sales (Credit Wellness, GNO Partners, VONQ NL), Product Designer (XXIX), Client Support (Clipboard Health), Red Team Specialist (Lumitekno), iOS Developer (Nooro), and Crypto Market Specialist (ELEMENTAL TERRA).</w:t>
      </w:r>
    </w:p>
    <w:p>
      <w:pPr>
        <w:spacing w:after="160" w:before="0"/>
        <w:ind/>
        <w:jc w:val="both"/>
      </w:pPr>
      <w:r>
        <w:rPr>
          <w:rFonts w:ascii="Times New Roman" w:cs="Times New Roman" w:eastAsia="Times New Roman" w:hAnsi="Times New Roman"/>
          <w:sz w:val="24"/>
          <w:szCs w:val="24"/>
        </w:rPr>
        <w:t xml:space="preserve">The cosine similarity data from Table 2 confirm the hypothesis. For in-distribution technical roles, Method 2 cosine similarity averages approximately 0.41, with values for Full-Stack (0.46, 0.45, 0.43) and Data Engineering (0.42) roles among the highest in the dataset — reflecting strong vocabulary intersection between the candidate's AI and software engineering background and these job descriptions. For out-of-distribution roles, Method 2 cosine similarity averages approximately 0.14, with the Freelance Writer (0.02), Red Team Specialist (0.10), and Client Support (0.16) roles producing the lowest scores in the dataset — reflecting, as expected, minimal vocabulary overlap between a technical AI candidate and non-technical role descriptions.</w:t>
      </w:r>
    </w:p>
    <w:p>
      <w:pPr>
        <w:spacing w:after="160" w:before="0"/>
        <w:ind/>
        <w:jc w:val="both"/>
      </w:pPr>
      <w:r>
        <w:rPr>
          <w:rFonts w:ascii="Times New Roman" w:cs="Times New Roman" w:eastAsia="Times New Roman" w:hAnsi="Times New Roman"/>
          <w:sz w:val="24"/>
          <w:szCs w:val="24"/>
        </w:rPr>
        <w:t xml:space="preserve">Method 1's behavior on out-of-distribution roles differs qualitatively. Rather than producing low-cosine output that is at least contextually derived from the job description, Method 1 defaults to its training distribution: it generates AI/ML-centric content — referencing TensorFlow, PyTorch, and speech processing pipelines — regardless of whether the job posting is for a copywriter or a sales associate. This behavior is the expected signature of a fine-tuned model encountering out-of-distribution input: the learned conditional distribution p(R | C, J) collapses toward the training mode because J does not activate any learned pattern. Method 2, operating without this prior, extracts whatever vocabulary is present in J and surfaces it in the resume — producing a structurally appropriate if less expert-quality document. The practical implication is clear: Method 1 should be deployed exclusively when the target role is known to fall within one of its five training categories, while Method 2 is the appropriate choice for novel, hybrid, or non-technical roles.</w:t>
      </w:r>
    </w:p>
    <w:p>
      <w:pPr>
        <w:pStyle w:val="Heading2"/>
        <w:spacing w:after="80" w:before="240"/>
      </w:pPr>
      <w:r>
        <w:rPr>
          <w:rFonts w:ascii="Times New Roman" w:cs="Times New Roman" w:eastAsia="Times New Roman" w:hAnsi="Times New Roman"/>
          <w:b/>
          <w:bCs/>
          <w:sz w:val="24"/>
          <w:szCs w:val="24"/>
        </w:rPr>
        <w:t xml:space="preserve">3.4 Sample Resume Outputs</w:t>
      </w:r>
    </w:p>
    <w:p>
      <w:pPr>
        <w:spacing w:after="160" w:before="0"/>
        <w:ind/>
        <w:jc w:val="both"/>
      </w:pPr>
      <w:r>
        <w:rPr>
          <w:rFonts w:ascii="Times New Roman" w:cs="Times New Roman" w:eastAsia="Times New Roman" w:hAnsi="Times New Roman"/>
          <w:b/>
          <w:bCs/>
          <w:sz w:val="24"/>
          <w:szCs w:val="24"/>
        </w:rPr>
        <w:t xml:space="preserve">Sample Output — Method 1: Entry-Level Crypto Market Specialist (ELEMENTAL TERRA CAPITAL LTD)</w:t>
      </w:r>
    </w:p>
    <w:p>
      <w:pPr>
        <w:spacing w:after="160" w:before="0"/>
        <w:ind/>
        <w:jc w:val="both"/>
      </w:pPr>
      <w:r>
        <w:rPr>
          <w:rFonts w:ascii="Times New Roman" w:cs="Times New Roman" w:eastAsia="Times New Roman" w:hAnsi="Times New Roman"/>
          <w:sz w:val="24"/>
          <w:szCs w:val="24"/>
        </w:rPr>
        <w:t xml:space="preserve">Method 1 produced a compilable moderncv resume for this role. However, consistent with out-of-distribution behavior, the professional summary defaulted to a generic AI/ML framing without incorporating the crypto-specific vocabulary present in the job description. The Automated Resume Builder project was omitted from the output entirely. The ATS keyword coverage for crypto-specific terms (market analysis, blockchain, trading, onboarding) was low, and the resume would likely score poorly against the actual JD in a real ATS system, despite compiling successfully and appearing professionally formatted.</w:t>
      </w:r>
    </w:p>
    <w:p>
      <w:pPr>
        <w:spacing w:after="160" w:before="0"/>
        <w:ind/>
        <w:jc w:val="both"/>
      </w:pPr>
      <w:r>
        <w:rPr>
          <w:rFonts w:ascii="Times New Roman" w:cs="Times New Roman" w:eastAsia="Times New Roman" w:hAnsi="Times New Roman"/>
          <w:b/>
          <w:bCs/>
          <w:sz w:val="24"/>
          <w:szCs w:val="24"/>
        </w:rPr>
        <w:t xml:space="preserve">Sample Output — Method 2: AI-Native Cloud Infrastructure Generalist (Shopware AG)</w:t>
      </w:r>
    </w:p>
    <w:p>
      <w:pPr>
        <w:spacing w:after="160" w:before="0"/>
        <w:ind/>
        <w:jc w:val="both"/>
      </w:pPr>
      <w:r>
        <w:rPr>
          <w:rFonts w:ascii="Times New Roman" w:cs="Times New Roman" w:eastAsia="Times New Roman" w:hAnsi="Times New Roman"/>
          <w:sz w:val="24"/>
          <w:szCs w:val="24"/>
        </w:rPr>
        <w:t xml:space="preserve">Method 2 produced a tailored resume that incorporated cloud-native, automation, and AI vocabulary directly extracted from the Shopware AG job description. The professional summary named the exact job title from the posting, the skills section organized competencies into Cloud/AI/ML, Automation, and LLM Frameworks subsections aligned with the JD's structure, and the experience bullets quantified achievements in language consistent with the role's requirements ("cloud-native production environment," "92% transcription accuracy"). The LLM match score for this job was 85/100 and cosine similarity was 0.3114 — representative of in-distribution technical role performance. This output illustrates Method 2's primary strength: dynamic, JD-driven content assembly that would be impossible for Method 1 to replicate on roles outside its training set.</w:t>
      </w:r>
    </w:p>
    <w:p>
      <w:pPr>
        <w:pStyle w:val="Heading1"/>
        <w:spacing w:after="120" w:before="320"/>
      </w:pPr>
      <w:r>
        <w:rPr>
          <w:rFonts w:ascii="Times New Roman" w:cs="Times New Roman" w:eastAsia="Times New Roman" w:hAnsi="Times New Roman"/>
          <w:b/>
          <w:bCs/>
          <w:sz w:val="28"/>
          <w:szCs w:val="28"/>
        </w:rPr>
        <w:t xml:space="preserve">4. CONCLUSIONS</w:t>
      </w:r>
    </w:p>
    <w:p>
      <w:pPr>
        <w:pStyle w:val="Heading2"/>
        <w:spacing w:after="80" w:before="240"/>
      </w:pPr>
      <w:r>
        <w:rPr>
          <w:rFonts w:ascii="Times New Roman" w:cs="Times New Roman" w:eastAsia="Times New Roman" w:hAnsi="Times New Roman"/>
          <w:b/>
          <w:bCs/>
          <w:sz w:val="24"/>
          <w:szCs w:val="24"/>
        </w:rPr>
        <w:t xml:space="preserve">4.1 Summary of Findings</w:t>
      </w:r>
    </w:p>
    <w:p>
      <w:pPr>
        <w:spacing w:after="160" w:before="0"/>
        <w:ind/>
        <w:jc w:val="both"/>
      </w:pPr>
      <w:r>
        <w:rPr>
          <w:rFonts w:ascii="Times New Roman" w:cs="Times New Roman" w:eastAsia="Times New Roman" w:hAnsi="Times New Roman"/>
          <w:sz w:val="24"/>
          <w:szCs w:val="24"/>
        </w:rPr>
        <w:t xml:space="preserve">The central finding of this work is a </w:t>
      </w:r>
      <w:r>
        <w:rPr>
          <w:rFonts w:ascii="Times New Roman" w:cs="Times New Roman" w:eastAsia="Times New Roman" w:hAnsi="Times New Roman"/>
          <w:b/>
          <w:bCs/>
          <w:sz w:val="24"/>
          <w:szCs w:val="24"/>
        </w:rPr>
        <w:t xml:space="preserve">generalization-quality tradeoff</w:t>
      </w:r>
      <w:r>
        <w:rPr>
          <w:rFonts w:ascii="Times New Roman" w:cs="Times New Roman" w:eastAsia="Times New Roman" w:hAnsi="Times New Roman"/>
          <w:sz w:val="24"/>
          <w:szCs w:val="24"/>
        </w:rPr>
        <w:t xml:space="preserve"> between fine-tuned and agentic LLM approaches to resume tailoring. Method 1's fine-tuned Phi-3 model, trained on 3,000+ examples concentrated across five established technical job categories, produces higher-quality, more content-rich resumes for roles within its training distribution — demonstrating that task-specific fine-tuning remains the highest-ceiling approach when the target distribution is known, stable, and well-represented in the training corpus. For these in-distribution roles, Method 1's ATS keyword coverage (8/10), content richness (8/10), and output quality ceiling (8/10) are each superior to Method 2's corresponding scores. This advantage is real and practically meaningful: a hiring manager evaluating two resumes for a Senior Machine Learning Engineer role would likely prefer Method 1's output.</w:t>
      </w:r>
    </w:p>
    <w:p>
      <w:pPr>
        <w:spacing w:after="160" w:before="0"/>
        <w:ind/>
        <w:jc w:val="both"/>
      </w:pPr>
      <w:r>
        <w:rPr>
          <w:rFonts w:ascii="Times New Roman" w:cs="Times New Roman" w:eastAsia="Times New Roman" w:hAnsi="Times New Roman"/>
          <w:sz w:val="24"/>
          <w:szCs w:val="24"/>
        </w:rPr>
        <w:t xml:space="preserve">However, Method 1's distributional specialization becomes a liability outside its training scope. When presented with a copywriting, sales, offensive security, or product design posting, Method 1 defaults to AI/ML content drawn from its training distribution — producing a technically formatted but topically irrelevant document. Method 2's agentic pipeline, by contrast, carries no distributional prior and extracts role-relevant content dynamically from the job description at inference time. This mechanism provides consistent, contextually grounded output across all 20 role types, achieving a 95% batch success rate and cosine similarities that scale appropriately with the semantic distance between the candidate's profile and the target role. Method 2 outperforms Method 1 on seven of ten qualitative evaluation dimensions, driven primarily by robustness, generalization, and analytical metadata rather than output quality.</w:t>
      </w:r>
    </w:p>
    <w:p>
      <w:pPr>
        <w:spacing w:after="160" w:before="0"/>
        <w:ind/>
        <w:jc w:val="both"/>
      </w:pPr>
      <w:r>
        <w:rPr>
          <w:rFonts w:ascii="Times New Roman" w:cs="Times New Roman" w:eastAsia="Times New Roman" w:hAnsi="Times New Roman"/>
          <w:sz w:val="24"/>
          <w:szCs w:val="24"/>
        </w:rPr>
        <w:t xml:space="preserve">The comparison to the zero-shot baseline (Section 2.5) establishes that Method 2's multi-agent decomposition contributes meaningful structural improvements over naive single-turn prompting, particularly in section completeness and compilation success rate. The agentic pipeline's four-stage architecture — keyword extraction, semantic matching, tailored content generation, and relevance scoring — produces a more complete and better-organized resume than a single undifferentiated prompt, while the KEY:VALUE output format and deterministic LaTeX assembly provide robustness guarantees that neither the baseline nor Method 1 can match.</w:t>
      </w:r>
    </w:p>
    <w:p>
      <w:pPr>
        <w:pStyle w:val="Heading2"/>
        <w:spacing w:after="80" w:before="240"/>
      </w:pPr>
      <w:r>
        <w:rPr>
          <w:rFonts w:ascii="Times New Roman" w:cs="Times New Roman" w:eastAsia="Times New Roman" w:hAnsi="Times New Roman"/>
          <w:b/>
          <w:bCs/>
          <w:sz w:val="24"/>
          <w:szCs w:val="24"/>
        </w:rPr>
        <w:t xml:space="preserve">4.2 Comparison to Related Work</w:t>
      </w:r>
    </w:p>
    <w:p>
      <w:pPr>
        <w:spacing w:after="160" w:before="0"/>
        <w:ind/>
        <w:jc w:val="both"/>
      </w:pPr>
      <w:r>
        <w:rPr>
          <w:rFonts w:ascii="Times New Roman" w:cs="Times New Roman" w:eastAsia="Times New Roman" w:hAnsi="Times New Roman"/>
          <w:sz w:val="24"/>
          <w:szCs w:val="24"/>
        </w:rPr>
        <w:t xml:space="preserve">Both methods are positioned within a broader landscape of AI-assisted resume optimization and structured document generation. Commercial tools such as Jobscan and Resume Worded perform ATS keyword gap analysis but do not generate resume content, require submission of sensitive candidate data to external servers, and offer no formal generalization guarantees. The structured output approach of Method 2 extends the Dagdelen et al. [2] framework — originally applied to scientific knowledge extraction — to the generative document production direction, demonstrating that the schema-constrained prompting paradigm transfers effectively across domains. The QLoRA-based fine-tuning in Method 1 follows the sample-efficient adaptation regime validated by Dettmers et al. [3] across diverse instruction-following tasks, with our work providing a novel evaluation on structured document generation under strict formatting constraints. The generalization-specialization tradeoff we document empirically is consistent with the broader transfer learning literature, which has established that fine-tuning on narrow distributions improves in-distribution performance at the cost of out-of-distribution robustness — a finding we now extend to the LLM document generation setting.</w:t>
      </w:r>
    </w:p>
    <w:p>
      <w:pPr>
        <w:pStyle w:val="Heading2"/>
        <w:spacing w:after="80" w:before="240"/>
      </w:pPr>
      <w:r>
        <w:rPr>
          <w:rFonts w:ascii="Times New Roman" w:cs="Times New Roman" w:eastAsia="Times New Roman" w:hAnsi="Times New Roman"/>
          <w:b/>
          <w:bCs/>
          <w:sz w:val="24"/>
          <w:szCs w:val="24"/>
        </w:rPr>
        <w:t xml:space="preserve">4.3 Limitations</w:t>
      </w:r>
    </w:p>
    <w:p>
      <w:pPr>
        <w:spacing w:after="160" w:before="0"/>
        <w:ind/>
        <w:jc w:val="both"/>
      </w:pPr>
      <w:r>
        <w:rPr>
          <w:rFonts w:ascii="Times New Roman" w:cs="Times New Roman" w:eastAsia="Times New Roman" w:hAnsi="Times New Roman"/>
          <w:sz w:val="24"/>
          <w:szCs w:val="24"/>
        </w:rPr>
        <w:t xml:space="preserve">Several limitations bound the scope of conclusions that can be drawn from this work. The evaluation was conducted on a single candidate's resume profile; results may differ substantially for candidates from different professional domains, educational backgrounds, or with different skill-to-role distributions. The evaluation set of 20 jobs, while spanning six role categories, is small relative to standard NLP evaluation benchmarks, and the reported means carry non-trivial uncertainty. The LLM self-reported match score provides limited discriminative value due to near-zero variance across jobs (range: 80–85), a known failure mode of self-evaluation that is partially mitigated by the TF-IDF ATS score but not eliminated. Both methods are constrained by the 4,096-token context window of their respective models, potentially truncating relevant content in complex job postings. The qualitative evaluation scores in Table 3, while assessed using a pre-defined rubric with inter-rater agreement checking, remain subject to author bias and should be replicated with independent evaluators. Finally, neither method has been evaluated on the ultimate ground truth for this task: actual interview callback rates from real ATS systems.</w:t>
      </w:r>
    </w:p>
    <w:p>
      <w:pPr>
        <w:spacing w:after="160" w:before="0"/>
        <w:ind/>
        <w:jc w:val="both"/>
      </w:pPr>
      <w:r>
        <w:rPr>
          <w:rFonts w:ascii="Times New Roman" w:cs="Times New Roman" w:eastAsia="Times New Roman" w:hAnsi="Times New Roman"/>
          <w:sz w:val="24"/>
          <w:szCs w:val="24"/>
        </w:rPr>
        <w:t xml:space="preserve">Note: an earlier draft of this paper incorrectly stated that 300 training samples were used for Method 1, and separately stated that generalization required 200+ samples — a contradiction since 300 &gt; 200. The correct training corpus size is 3,000+ examples across five job categories, as described in Section 2.2. The earlier figure reflected an early-stage prototype and has been corrected throughout this final submission.</w:t>
      </w:r>
    </w:p>
    <w:p>
      <w:pPr>
        <w:pStyle w:val="Heading2"/>
        <w:spacing w:after="80" w:before="240"/>
      </w:pPr>
      <w:r>
        <w:rPr>
          <w:rFonts w:ascii="Times New Roman" w:cs="Times New Roman" w:eastAsia="Times New Roman" w:hAnsi="Times New Roman"/>
          <w:b/>
          <w:bCs/>
          <w:sz w:val="24"/>
          <w:szCs w:val="24"/>
        </w:rPr>
        <w:t xml:space="preserve">4.4 Future Work</w:t>
      </w:r>
    </w:p>
    <w:p>
      <w:pPr>
        <w:spacing w:after="160" w:before="0"/>
        <w:ind/>
        <w:jc w:val="both"/>
      </w:pPr>
      <w:r>
        <w:rPr>
          <w:rFonts w:ascii="Times New Roman" w:cs="Times New Roman" w:eastAsia="Times New Roman" w:hAnsi="Times New Roman"/>
          <w:sz w:val="24"/>
          <w:szCs w:val="24"/>
        </w:rPr>
        <w:t xml:space="preserve">The most impactful near-term improvement for Method 1 is expanding the training corpus with diverse examples across a broader range of job categories, including non-technical roles, to reduce the performance cliff at distribution boundaries. For Method 2, the highest-value additions are automatic PDF compilation integration and a direct webscraper-to-pipeline connection that eliminates the manual Excel pre-processing step. The deeper architectural opportunity, and the most intellectually promising direction emerging from this work, is a </w:t>
      </w:r>
      <w:r>
        <w:rPr>
          <w:rFonts w:ascii="Times New Roman" w:cs="Times New Roman" w:eastAsia="Times New Roman" w:hAnsi="Times New Roman"/>
          <w:b/>
          <w:bCs/>
          <w:sz w:val="24"/>
          <w:szCs w:val="24"/>
        </w:rPr>
        <w:t xml:space="preserve">hybrid pipeline</w:t>
      </w:r>
      <w:r>
        <w:rPr>
          <w:rFonts w:ascii="Times New Roman" w:cs="Times New Roman" w:eastAsia="Times New Roman" w:hAnsi="Times New Roman"/>
          <w:sz w:val="24"/>
          <w:szCs w:val="24"/>
        </w:rPr>
        <w:t xml:space="preserve">: use Method 2's structured agentic extraction as an intermediate representation — capturing role-relevant keywords and candidate-skill mappings — and then pass that representation to a fine-tuned rendering model that produces high-quality, stylistically polished LaTeX output. This architecture would combine Method 2's distribution-agnostic generalization with Method 1's output quality ceiling, addressing the core tradeoff identified in this study. Extending evaluation to multiple candidate profiles, larger job sets, and human judgments of resume quality alongside automated metrics would provide a more complete and externally valid picture of real-world effectiveness.</w:t>
      </w:r>
    </w:p>
    <w:p>
      <w:pPr>
        <w:pStyle w:val="Heading2"/>
        <w:spacing w:after="80" w:before="240"/>
      </w:pPr>
      <w:r>
        <w:rPr>
          <w:rFonts w:ascii="Times New Roman" w:cs="Times New Roman" w:eastAsia="Times New Roman" w:hAnsi="Times New Roman"/>
          <w:b/>
          <w:bCs/>
          <w:sz w:val="24"/>
          <w:szCs w:val="24"/>
        </w:rPr>
        <w:t xml:space="preserve">4.5 Ethical Considerations</w:t>
      </w:r>
    </w:p>
    <w:p>
      <w:pPr>
        <w:spacing w:after="160" w:before="0"/>
        <w:ind/>
        <w:jc w:val="both"/>
      </w:pPr>
      <w:r>
        <w:rPr>
          <w:rFonts w:ascii="Times New Roman" w:cs="Times New Roman" w:eastAsia="Times New Roman" w:hAnsi="Times New Roman"/>
          <w:sz w:val="24"/>
          <w:szCs w:val="24"/>
        </w:rPr>
        <w:t xml:space="preserve">Several ethical dimensions merit explicit discussion. First, </w:t>
      </w:r>
      <w:r>
        <w:rPr>
          <w:rFonts w:ascii="Times New Roman" w:cs="Times New Roman" w:eastAsia="Times New Roman" w:hAnsi="Times New Roman"/>
          <w:b/>
          <w:bCs/>
          <w:sz w:val="24"/>
          <w:szCs w:val="24"/>
        </w:rPr>
        <w:t xml:space="preserve">content accuracy and misrepresentation:</w:t>
      </w:r>
      <w:r>
        <w:rPr>
          <w:rFonts w:ascii="Times New Roman" w:cs="Times New Roman" w:eastAsia="Times New Roman" w:hAnsi="Times New Roman"/>
          <w:sz w:val="24"/>
          <w:szCs w:val="24"/>
        </w:rPr>
        <w:t xml:space="preserve"> both pipelines generate achievement statements and skill claims conditioned on a job description. If the system surfaces keywords not genuinely present in the candidate's background — for example, implying Kubernetes expertise for a candidate who has only used Docker — the output constitutes resume misrepresentation. Both methods use the candidate's actual profile as input and are designed to tailor existing content rather than fabricate new claims; however, Method 2's keyword extraction agent may surface JD terminology in bullet points in ways that overstate proficiency. Users are advised to review all generated content for factual accuracy before submission.</w:t>
      </w:r>
    </w:p>
    <w:p>
      <w:pPr>
        <w:spacing w:after="160" w:before="0"/>
        <w:ind/>
        <w:jc w:val="both"/>
      </w:pPr>
      <w:r>
        <w:rPr>
          <w:rFonts w:ascii="Times New Roman" w:cs="Times New Roman" w:eastAsia="Times New Roman" w:hAnsi="Times New Roman"/>
          <w:sz w:val="24"/>
          <w:szCs w:val="24"/>
        </w:rPr>
        <w:t xml:space="preserve">Second, </w:t>
      </w:r>
      <w:r>
        <w:rPr>
          <w:rFonts w:ascii="Times New Roman" w:cs="Times New Roman" w:eastAsia="Times New Roman" w:hAnsi="Times New Roman"/>
          <w:b/>
          <w:bCs/>
          <w:sz w:val="24"/>
          <w:szCs w:val="24"/>
        </w:rPr>
        <w:t xml:space="preserve">ATS gaming and systemic effects:</w:t>
      </w:r>
      <w:r>
        <w:rPr>
          <w:rFonts w:ascii="Times New Roman" w:cs="Times New Roman" w:eastAsia="Times New Roman" w:hAnsi="Times New Roman"/>
          <w:sz w:val="24"/>
          <w:szCs w:val="24"/>
        </w:rPr>
        <w:t xml:space="preserve"> widespread deployment of automated resume tailoring tools creates an adversarial dynamic with ATS vendors and hiring organizations, potentially eroding the signal value of keyword-based screening for all candidates. This is an inherent tension in the problem domain and a known concern in the broader algorithmic hiring literature. Third, </w:t>
      </w:r>
      <w:r>
        <w:rPr>
          <w:rFonts w:ascii="Times New Roman" w:cs="Times New Roman" w:eastAsia="Times New Roman" w:hAnsi="Times New Roman"/>
          <w:b/>
          <w:bCs/>
          <w:sz w:val="24"/>
          <w:szCs w:val="24"/>
        </w:rPr>
        <w:t xml:space="preserve">fairness and bias:</w:t>
      </w:r>
      <w:r>
        <w:rPr>
          <w:rFonts w:ascii="Times New Roman" w:cs="Times New Roman" w:eastAsia="Times New Roman" w:hAnsi="Times New Roman"/>
          <w:sz w:val="24"/>
          <w:szCs w:val="24"/>
        </w:rPr>
        <w:t xml:space="preserve"> job descriptions themselves may contain biased language — age-coded terminology, credential inflation, or cultural assumptions. A system that mirrors JD language into resumes may amplify these biases for candidates who already face structural disadvantages in the job market. Evaluation across a broader set of candidate profiles — particularly non-native English speakers, candidates from non-Western educational systems, and candidates from underrepresented groups — is necessary before responsible deployment claims can be made. Both methods should be audited for differential performance across demographic proxies before any real-world deployment.</w:t>
      </w:r>
    </w:p>
    <w:p>
      <w:pPr>
        <w:pStyle w:val="Heading1"/>
        <w:spacing w:after="120" w:before="320"/>
      </w:pPr>
      <w:r>
        <w:rPr>
          <w:rFonts w:ascii="Times New Roman" w:cs="Times New Roman" w:eastAsia="Times New Roman" w:hAnsi="Times New Roman"/>
          <w:b/>
          <w:bCs/>
          <w:sz w:val="28"/>
          <w:szCs w:val="28"/>
        </w:rPr>
        <w:t xml:space="preserve">REFERENCES</w:t>
      </w:r>
    </w:p>
    <w:p>
      <w:pPr>
        <w:spacing w:after="160" w:before="0"/>
        <w:ind/>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Abdin, M., Aneja, J., Awadalla, H., et al. 2024. Phi-3 technical report: A highly capable language model locally on your phone. arXiv preprint arXiv:2404.14219.</w:t>
      </w:r>
    </w:p>
    <w:p>
      <w:pPr>
        <w:spacing w:after="160" w:before="0"/>
        <w:ind/>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Dagdelen, J., Dunn, A., Lee, S., Walker, N., Rosen, A. S., Ceder, G., Persson, K. A., and Jain, A. 2024. Structured information extraction from scientific text with large language models. Nature Communications 15, 1418. https://doi.org/10.1038/s41467-024-45563-x</w:t>
      </w:r>
    </w:p>
    <w:p>
      <w:pPr>
        <w:spacing w:after="160" w:before="0"/>
        <w:ind/>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Dettmers, T., Pagnoni, A., Holtzman, A., and Zettlemoyer, L. 2023. QLoRA: Efficient finetuning of quantized LLMs. In Advances in Neural Information Processing Systems (NeurIPS), Vol. 36, 10088–10115.</w:t>
      </w:r>
    </w:p>
    <w:p>
      <w:pPr>
        <w:spacing w:after="160" w:before="0"/>
        <w:ind/>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Dubey, A., Jauhri, A., Pandey, A., et al. 2024. The Llama 3 herd of models. arXiv preprint arXiv:2407.21783.</w:t>
      </w:r>
    </w:p>
    <w:p>
      <w:pPr>
        <w:spacing w:after="160" w:before="0"/>
        <w:ind/>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Hu, E. J., Shen, Y., Wallis, P., Allen-Zhu, Z., Li, Y., Wang, S., Wang, L., and Chen, W. 2022. LoRA: Low-rank adaptation of large language models. In International Conference on Learning Representations (ICLR 2022). arXiv:2106.09685.</w:t>
      </w:r>
    </w:p>
    <w:p>
      <w:pPr>
        <w:spacing w:after="160" w:before="0"/>
        <w:ind/>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Liu, J. 2023. Instructor: Structured outputs powered by large language models. GitHub repository. https://github.com/instructor-ai/instructor.</w:t>
      </w:r>
    </w:p>
    <w:p>
      <w:pPr>
        <w:spacing w:after="160" w:before="0"/>
        <w:ind/>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Ollama. 2024. Ollama: Get up and running with large language models locally. https://ollama.com.</w:t>
      </w:r>
    </w:p>
    <w:p>
      <w:pPr>
        <w:spacing w:after="160" w:before="0"/>
        <w:ind/>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Han, D. 2024. Unsloth: 2× faster, 60% less memory LLM finetuning. GitHub repository. https://github.com/unslothai/unsloth.</w:t>
      </w:r>
    </w:p>
    <w:p>
      <w:pPr>
        <w:spacing w:after="160" w:before="0"/>
        <w:ind/>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Singer-Vine, J. 2024. pdfplumber: Plumb a PDF for detailed information about each character, rectangle, and line. GitHub repository. https://github.com/jsvine/pdfplumber.</w:t>
      </w:r>
    </w:p>
    <w:p>
      <w:pPr>
        <w:spacing w:after="160" w:before="0"/>
        <w:ind/>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Remotive. 2024. Remotive API — Remote job listings. https://remotive.com/api/remote-jobs.</w:t>
      </w:r>
    </w:p>
    <w:p>
      <w:pPr>
        <w:spacing w:after="160" w:before="0"/>
        <w:ind/>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Arbeitnow. 2024. Arbeitnow Job Board API. https://arbeitnow.com/api/job-board-api.</w:t>
      </w:r>
    </w:p>
    <w:p>
      <w:pPr>
        <w:spacing w:after="160" w:before="0"/>
        <w:ind/>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Reimers, N. and Gurevych, I. 2019. Sentence-BERT: Sentence embeddings using Siamese BERT-networks. In Proceedings of the 2019 Conference on Empirical Methods in Natural Language Processing (EMNLP 2019), 3982–3992.</w:t>
      </w:r>
    </w:p>
    <w:p>
      <w:pPr>
        <w:pStyle w:val="Heading1"/>
        <w:spacing w:after="120" w:before="320"/>
      </w:pPr>
      <w:r>
        <w:rPr>
          <w:rFonts w:ascii="Times New Roman" w:cs="Times New Roman" w:eastAsia="Times New Roman" w:hAnsi="Times New Roman"/>
          <w:b/>
          <w:bCs/>
          <w:sz w:val="28"/>
          <w:szCs w:val="28"/>
        </w:rPr>
        <w:t xml:space="preserve">APPENDIX A: Qualitative Evaluation Rubric</w:t>
      </w:r>
    </w:p>
    <w:p>
      <w:pPr>
        <w:spacing w:after="160" w:before="0"/>
        <w:ind/>
        <w:jc w:val="both"/>
      </w:pPr>
      <w:r>
        <w:rPr>
          <w:rFonts w:ascii="Times New Roman" w:cs="Times New Roman" w:eastAsia="Times New Roman" w:hAnsi="Times New Roman"/>
          <w:sz w:val="24"/>
          <w:szCs w:val="24"/>
        </w:rPr>
        <w:t xml:space="preserve">The following rubric was used by both authors independently to assign scores for Table 3. Each dimension is scored 0–10 where 1 = completely absent/non-functional, 5 = partially implemented with notable gaps, and 10 = fully implemented with no gaps. Dimensions where authors differed by more than 2 points were resolved by re-evaluation against these criteria.</w:t>
      </w:r>
    </w:p>
    <w:p>
      <w:pPr>
        <w:spacing w:after="160" w:before="0"/>
        <w:ind/>
        <w:jc w:val="both"/>
      </w:pPr>
      <w:r>
        <w:rPr>
          <w:rFonts w:ascii="Times New Roman" w:cs="Times New Roman" w:eastAsia="Times New Roman" w:hAnsi="Times New Roman"/>
          <w:b/>
          <w:bCs/>
          <w:sz w:val="24"/>
          <w:szCs w:val="24"/>
        </w:rPr>
        <w:t xml:space="preserve">LaTeX compilation reliability (0–10):</w:t>
      </w:r>
      <w:r>
        <w:rPr>
          <w:rFonts w:ascii="Times New Roman" w:cs="Times New Roman" w:eastAsia="Times New Roman" w:hAnsi="Times New Roman"/>
          <w:sz w:val="24"/>
          <w:szCs w:val="24"/>
        </w:rPr>
        <w:t xml:space="preserve"> 1 = fails on more than 50% of jobs; 5 = fails on 20–50% of jobs; 8 = fails on fewer than 10% of jobs; 10 = 0% failure rate including fallback handling.</w:t>
      </w:r>
    </w:p>
    <w:p>
      <w:pPr>
        <w:spacing w:after="160" w:before="0"/>
        <w:ind/>
        <w:jc w:val="both"/>
      </w:pPr>
      <w:r>
        <w:rPr>
          <w:rFonts w:ascii="Times New Roman" w:cs="Times New Roman" w:eastAsia="Times New Roman" w:hAnsi="Times New Roman"/>
          <w:b/>
          <w:bCs/>
          <w:sz w:val="24"/>
          <w:szCs w:val="24"/>
        </w:rPr>
        <w:t xml:space="preserve">Section completeness (0–10):</w:t>
      </w:r>
      <w:r>
        <w:rPr>
          <w:rFonts w:ascii="Times New Roman" w:cs="Times New Roman" w:eastAsia="Times New Roman" w:hAnsi="Times New Roman"/>
          <w:sz w:val="24"/>
          <w:szCs w:val="24"/>
        </w:rPr>
        <w:t xml:space="preserve"> 1 = missing 3+ required sections; 5 = missing 1–2 sections inconsistently; 8 = all sections present with minor gaps; 10 = all sections always present and well-populated.</w:t>
      </w:r>
    </w:p>
    <w:p>
      <w:pPr>
        <w:spacing w:after="160" w:before="0"/>
        <w:ind/>
        <w:jc w:val="both"/>
      </w:pPr>
      <w:r>
        <w:rPr>
          <w:rFonts w:ascii="Times New Roman" w:cs="Times New Roman" w:eastAsia="Times New Roman" w:hAnsi="Times New Roman"/>
          <w:b/>
          <w:bCs/>
          <w:sz w:val="24"/>
          <w:szCs w:val="24"/>
        </w:rPr>
        <w:t xml:space="preserve">ATS keyword coverage (0–10):</w:t>
      </w:r>
      <w:r>
        <w:rPr>
          <w:rFonts w:ascii="Times New Roman" w:cs="Times New Roman" w:eastAsia="Times New Roman" w:hAnsi="Times New Roman"/>
          <w:sz w:val="24"/>
          <w:szCs w:val="24"/>
        </w:rPr>
        <w:t xml:space="preserve"> Score reflects average fraction of top-20 TF-IDF JD keywords appearing in the generated resume across the evaluation set.</w:t>
      </w:r>
    </w:p>
    <w:p>
      <w:pPr>
        <w:spacing w:after="160" w:before="0"/>
        <w:ind/>
        <w:jc w:val="both"/>
      </w:pPr>
      <w:r>
        <w:rPr>
          <w:rFonts w:ascii="Times New Roman" w:cs="Times New Roman" w:eastAsia="Times New Roman" w:hAnsi="Times New Roman"/>
          <w:b/>
          <w:bCs/>
          <w:sz w:val="24"/>
          <w:szCs w:val="24"/>
        </w:rPr>
        <w:t xml:space="preserve">Quantified achievement density (0–10):</w:t>
      </w:r>
      <w:r>
        <w:rPr>
          <w:rFonts w:ascii="Times New Roman" w:cs="Times New Roman" w:eastAsia="Times New Roman" w:hAnsi="Times New Roman"/>
          <w:sz w:val="24"/>
          <w:szCs w:val="24"/>
        </w:rPr>
        <w:t xml:space="preserve"> 1 = no quantified bullet points; 5 = some bullets have numbers but inconsistently; 8 = most bullets quantified; 10 = all bullets include measurable outcomes.</w:t>
      </w:r>
    </w:p>
    <w:p>
      <w:pPr>
        <w:spacing w:after="160" w:before="0"/>
        <w:ind/>
        <w:jc w:val="both"/>
      </w:pPr>
      <w:r>
        <w:rPr>
          <w:rFonts w:ascii="Times New Roman" w:cs="Times New Roman" w:eastAsia="Times New Roman" w:hAnsi="Times New Roman"/>
          <w:b/>
          <w:bCs/>
          <w:sz w:val="24"/>
          <w:szCs w:val="24"/>
        </w:rPr>
        <w:t xml:space="preserve">Content richness / word count (0–10):</w:t>
      </w:r>
      <w:r>
        <w:rPr>
          <w:rFonts w:ascii="Times New Roman" w:cs="Times New Roman" w:eastAsia="Times New Roman" w:hAnsi="Times New Roman"/>
          <w:sz w:val="24"/>
          <w:szCs w:val="24"/>
        </w:rPr>
        <w:t xml:space="preserve"> Scored relative to a reference resume of approximately 400–500 words of content text (excluding markup).</w:t>
      </w:r>
    </w:p>
    <w:p>
      <w:pPr>
        <w:spacing w:after="160" w:before="0"/>
        <w:ind/>
        <w:jc w:val="both"/>
      </w:pPr>
      <w:r>
        <w:rPr>
          <w:rFonts w:ascii="Times New Roman" w:cs="Times New Roman" w:eastAsia="Times New Roman" w:hAnsi="Times New Roman"/>
          <w:b/>
          <w:bCs/>
          <w:sz w:val="24"/>
          <w:szCs w:val="24"/>
        </w:rPr>
        <w:t xml:space="preserve">Batch resilience (0–10):</w:t>
      </w:r>
      <w:r>
        <w:rPr>
          <w:rFonts w:ascii="Times New Roman" w:cs="Times New Roman" w:eastAsia="Times New Roman" w:hAnsi="Times New Roman"/>
          <w:sz w:val="24"/>
          <w:szCs w:val="24"/>
        </w:rPr>
        <w:t xml:space="preserve"> 1 = crashes terminate the batch; 5 = crashes affect 20–40% of jobs; 8 = fewer than 10% of jobs cause any error; 10 = 0 batch-terminating errors with graceful fallback on all edge cases.</w:t>
      </w:r>
    </w:p>
    <w:p>
      <w:pPr>
        <w:spacing w:after="160" w:before="0"/>
        <w:ind/>
        <w:jc w:val="both"/>
      </w:pPr>
      <w:r>
        <w:rPr>
          <w:rFonts w:ascii="Times New Roman" w:cs="Times New Roman" w:eastAsia="Times New Roman" w:hAnsi="Times New Roman"/>
          <w:b/>
          <w:bCs/>
          <w:sz w:val="24"/>
          <w:szCs w:val="24"/>
        </w:rPr>
        <w:t xml:space="preserve">Output quality ceiling (0–10):</w:t>
      </w:r>
      <w:r>
        <w:rPr>
          <w:rFonts w:ascii="Times New Roman" w:cs="Times New Roman" w:eastAsia="Times New Roman" w:hAnsi="Times New Roman"/>
          <w:sz w:val="24"/>
          <w:szCs w:val="24"/>
        </w:rPr>
        <w:t xml:space="preserve"> Assessed on the best 3 outputs from in-distribution roles. 1 = clearly machine-generated, generic; 5 = recognizable human-quality but missing depth; 8 = professional quality comparable to a strong human-written resume; 10 = indistinguishable from expert-tailored output.</w:t>
      </w:r>
    </w:p>
    <w:p>
      <w:pPr>
        <w:spacing w:after="160" w:before="0"/>
        <w:ind/>
        <w:jc w:val="both"/>
      </w:pPr>
      <w:r>
        <w:rPr>
          <w:rFonts w:ascii="Times New Roman" w:cs="Times New Roman" w:eastAsia="Times New Roman" w:hAnsi="Times New Roman"/>
          <w:b/>
          <w:bCs/>
          <w:sz w:val="24"/>
          <w:szCs w:val="24"/>
        </w:rPr>
        <w:t xml:space="preserve">Analytical metadata richness (0–10):</w:t>
      </w:r>
      <w:r>
        <w:rPr>
          <w:rFonts w:ascii="Times New Roman" w:cs="Times New Roman" w:eastAsia="Times New Roman" w:hAnsi="Times New Roman"/>
          <w:sz w:val="24"/>
          <w:szCs w:val="24"/>
        </w:rPr>
        <w:t xml:space="preserve"> 1 = no metadata generated; 5 = partial metadata (e.g., score only); 8 = score + keywords + cosine similarity; 10 = full metadata including per-section analysis.</w:t>
      </w:r>
    </w:p>
    <w:p>
      <w:pPr>
        <w:spacing w:after="160" w:before="0"/>
        <w:ind/>
        <w:jc w:val="both"/>
      </w:pPr>
      <w:r>
        <w:rPr>
          <w:rFonts w:ascii="Times New Roman" w:cs="Times New Roman" w:eastAsia="Times New Roman" w:hAnsi="Times New Roman"/>
          <w:b/>
          <w:bCs/>
          <w:sz w:val="24"/>
          <w:szCs w:val="24"/>
        </w:rPr>
        <w:t xml:space="preserve">Out-of-distribution generalization (0–10):</w:t>
      </w:r>
      <w:r>
        <w:rPr>
          <w:rFonts w:ascii="Times New Roman" w:cs="Times New Roman" w:eastAsia="Times New Roman" w:hAnsi="Times New Roman"/>
          <w:sz w:val="24"/>
          <w:szCs w:val="24"/>
        </w:rPr>
        <w:t xml:space="preserve"> Assessed on the 3 most dissimilar out-of-distribution roles. 1 = output is entirely drawn from training distribution regardless of JD; 5 = some JD-relevant terms surface but structure remains generic; 8 = output is clearly modulated by the JD; 10 = output is indistinguishable in relevance from in-distribution performance.</w:t>
      </w:r>
    </w:p>
    <w:p>
      <w:pPr>
        <w:spacing w:after="160" w:before="0"/>
        <w:ind/>
        <w:jc w:val="both"/>
      </w:pPr>
      <w:r>
        <w:rPr>
          <w:rFonts w:ascii="Times New Roman" w:cs="Times New Roman" w:eastAsia="Times New Roman" w:hAnsi="Times New Roman"/>
          <w:b/>
          <w:bCs/>
          <w:sz w:val="24"/>
          <w:szCs w:val="24"/>
        </w:rPr>
        <w:t xml:space="preserve">Setup and portability (0–10):</w:t>
      </w:r>
      <w:r>
        <w:rPr>
          <w:rFonts w:ascii="Times New Roman" w:cs="Times New Roman" w:eastAsia="Times New Roman" w:hAnsi="Times New Roman"/>
          <w:sz w:val="24"/>
          <w:szCs w:val="24"/>
        </w:rPr>
        <w:t xml:space="preserve"> 1 = requires specialized hardware, multiple days of setup, and non-standard dependencies; 5 = requires GPU but otherwise pip-installable; 8 = pip-installable on any machine with 8GB+ RAM; 10 = single pip install, CPU-runnable, no hardware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2026-04-14T01:56:27.556Z</dcterms:created>
  <dcterms:modified xsi:type="dcterms:W3CDTF">2026-04-14T01:56:27.557Z</dcterms:modified>
</cp:coreProperties>
</file>

<file path=docProps/custom.xml><?xml version="1.0" encoding="utf-8"?>
<Properties xmlns="http://schemas.openxmlformats.org/officeDocument/2006/custom-properties" xmlns:vt="http://schemas.openxmlformats.org/officeDocument/2006/docPropsVTypes"/>
</file>