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j7su1lzu2o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Name:Aakash Desai</w:t>
        <w:br w:type="textWrapping"/>
        <w:t xml:space="preserve">SRN:PES1UG24CS006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19ge33oe70w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Use-Case Flow Specification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Use Case ID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UC-04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Book Mentorship Session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Student Mentee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Supporting Actor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Alumni Mentor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Allow a student to book an available mentorship session with a suitable alumni mentor without creating a double-booking.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q86if7b5olq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student has received or selected a suitable alumni mentor.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mentor has published available time slots.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selected mentor has at least one available slot.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piym2d2e17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Postconditions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Success: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mentorship session is confirmed.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selected time slot is no longer available for another booking.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session is added to the relevant calendars.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meeting link is provided to the participants.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Failure: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session is confirmed.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mentor's available slot remains available if the booking is unsuccessful.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hj4zj56icy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Success Scenario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student selects a recommended alumni mentor.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displays the mentor's available time slots.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student selects an available time slot.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verifies that the selected slot is still available.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student confirms the mentorship session booking.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creates the session and reserves the selected mentor slot.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adds the confirmed session to the relevant calendars and provides a meeting link.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system displays the booking confirmation to the student.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071xlgqbm0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Alternate Flow when Selected Slot Becomes Unavailable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At Step 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if the selected mentor slot has already been booked: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4a. The system informs the student that the selected slot is no longer available.</w:t>
        <w:br w:type="textWrapping"/>
        <w:t xml:space="preserve">4b. The system displays the mentor's currently available time slots.</w:t>
        <w:br w:type="textWrapping"/>
        <w:t xml:space="preserve">4c. The student selects another available slot and returns to Step 4.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