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line="260" w:lineRule="auto"/>
      </w:pPr>
      <w:r>
        <w:rPr>
          <w:rFonts w:ascii="Times New Roman" w:hAnsi="Times New Roman" w:cs="Times New Roman"/>
          <w:b/>
          <w:i w:val="0"/>
          <w:sz w:val="36"/>
        </w:rPr>
        <w:t>CrowdSentinel: AI-Based Early Crowd Risk Detection Using Spatial Density and Motion Analysis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75"/>
        <w:gridCol w:w="3475"/>
        <w:gridCol w:w="3475"/>
      </w:tblGrid>
      <w:tr>
        <w:tc>
          <w:tcPr>
            <w:tcW w:w="3402" w:type="dxa"/>
          </w:tcPr>
          <w:p>
            <w:pPr>
              <w:jc w:val="center"/>
              <w:spacing w:before="0" w:after="20" w:line="210" w:lineRule="auto"/>
            </w:pPr>
            <w:r>
              <w:rPr>
                <w:rFonts w:ascii="Times New Roman" w:hAnsi="Times New Roman" w:cs="Times New Roman"/>
                <w:b/>
                <w:i w:val="0"/>
                <w:sz w:val="19"/>
              </w:rPr>
              <w:t>Aakash M</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kit27.cse01@gmail.com</w:t>
            </w:r>
          </w:p>
        </w:tc>
        <w:tc>
          <w:tcPr>
            <w:tcW w:w="3402" w:type="dxa"/>
          </w:tcPr>
          <w:p>
            <w:pPr>
              <w:jc w:val="center"/>
              <w:spacing w:before="0" w:after="20" w:line="210" w:lineRule="auto"/>
            </w:pPr>
            <w:r>
              <w:rPr>
                <w:rFonts w:ascii="Times New Roman" w:hAnsi="Times New Roman" w:cs="Times New Roman"/>
                <w:b/>
                <w:i w:val="0"/>
                <w:sz w:val="19"/>
              </w:rPr>
              <w:t>Hema Dharshana S J</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kit27.cse21@gmail.com</w:t>
            </w:r>
          </w:p>
        </w:tc>
        <w:tc>
          <w:tcPr>
            <w:tcW w:w="3402" w:type="dxa"/>
          </w:tcPr>
          <w:p>
            <w:pPr>
              <w:jc w:val="center"/>
              <w:spacing w:before="0" w:after="20" w:line="210" w:lineRule="auto"/>
            </w:pPr>
            <w:r>
              <w:rPr>
                <w:rFonts w:ascii="Times New Roman" w:hAnsi="Times New Roman" w:cs="Times New Roman"/>
                <w:b/>
                <w:i w:val="0"/>
                <w:sz w:val="19"/>
              </w:rPr>
              <w:t>Santhosh Kumar R</w:t>
              <w:br/>
            </w:r>
            <w:r>
              <w:rPr>
                <w:rFonts w:ascii="Times New Roman" w:hAnsi="Times New Roman" w:cs="Times New Roman"/>
                <w:b w:val="0"/>
                <w:i/>
                <w:sz w:val="17"/>
              </w:rPr>
              <w:t>Department of Computer Science and Engineering</w:t>
              <w:br/>
            </w:r>
            <w:r>
              <w:rPr>
                <w:rFonts w:ascii="Times New Roman" w:hAnsi="Times New Roman" w:cs="Times New Roman"/>
                <w:b w:val="0"/>
                <w:i/>
                <w:sz w:val="17"/>
              </w:rPr>
              <w:t>KIT - Kalaignarkarunanidhi Institute of Technology</w:t>
              <w:br/>
            </w:r>
            <w:r>
              <w:rPr>
                <w:rFonts w:ascii="Times New Roman" w:hAnsi="Times New Roman" w:cs="Times New Roman"/>
                <w:b w:val="0"/>
                <w:i w:val="0"/>
                <w:sz w:val="17"/>
              </w:rPr>
              <w:t>Coimbatore, India</w:t>
              <w:br/>
            </w:r>
            <w:r>
              <w:rPr>
                <w:rFonts w:ascii="Times New Roman" w:hAnsi="Times New Roman" w:cs="Times New Roman"/>
                <w:b w:val="0"/>
                <w:i w:val="0"/>
                <w:sz w:val="17"/>
              </w:rPr>
              <w:t>Kit27.cse49@gmail.com</w:t>
            </w:r>
          </w:p>
        </w:tc>
      </w:tr>
      <w:tr>
        <w:tc>
          <w:tcPr>
            <w:tcW w:type="dxa" w:w="3475"/>
          </w:tcPr>
          <w:p/>
        </w:tc>
        <w:tc>
          <w:tcPr>
            <w:tcW w:w="3402" w:type="dxa"/>
          </w:tcPr>
          <w:p>
            <w:pPr>
              <w:jc w:val="center"/>
              <w:spacing w:before="40" w:after="80" w:line="210" w:lineRule="auto"/>
            </w:pPr>
            <w:r>
              <w:rPr>
                <w:rFonts w:ascii="Times New Roman" w:hAnsi="Times New Roman" w:cs="Times New Roman"/>
                <w:b/>
                <w:i w:val="0"/>
                <w:sz w:val="19"/>
              </w:rPr>
              <w:t>Mr MugeshKumar S</w:t>
              <w:br/>
            </w:r>
            <w:r>
              <w:rPr>
                <w:rFonts w:ascii="Times New Roman" w:hAnsi="Times New Roman" w:cs="Times New Roman"/>
                <w:b w:val="0"/>
                <w:i/>
                <w:sz w:val="17"/>
              </w:rPr>
              <w:t>Project Guide</w:t>
              <w:br/>
              <w:t>Department of Computer Science and Engineering</w:t>
              <w:br/>
            </w:r>
            <w:r>
              <w:rPr>
                <w:rFonts w:ascii="Times New Roman" w:hAnsi="Times New Roman" w:cs="Times New Roman"/>
                <w:b w:val="0"/>
                <w:i w:val="0"/>
                <w:sz w:val="17"/>
              </w:rPr>
              <w:t>KIT - Kalaignarkarunanidhi Institute of Technology</w:t>
              <w:br/>
              <w:t>Coimbatore, India</w:t>
              <w:br/>
              <w:t>[guide@kit.edu]</w:t>
            </w:r>
          </w:p>
        </w:tc>
        <w:tc>
          <w:tcPr>
            <w:tcW w:type="dxa" w:w="3475"/>
          </w:tcPr>
          <w:p/>
        </w:tc>
      </w:tr>
    </w:tbl>
    <w:p>
      <w:pPr>
        <w:sectPr>
          <w:pgSz w:w="12240" w:h="15840"/>
          <w:pgMar w:top="1077" w:right="907" w:bottom="1440" w:left="907" w:header="720" w:footer="720" w:gutter="0"/>
          <w:cols w:space="720"/>
          <w:docGrid w:linePitch="360"/>
        </w:sectPr>
      </w:pPr>
    </w:p>
    <w:p>
      <w:pPr>
        <w:jc w:val="both"/>
        <w:spacing w:before="0" w:after="45" w:line="225" w:lineRule="auto"/>
      </w:pPr>
      <w:r>
        <w:rPr>
          <w:rFonts w:ascii="Times New Roman" w:hAnsi="Times New Roman" w:cs="Times New Roman"/>
          <w:b/>
          <w:i/>
          <w:sz w:val="18"/>
        </w:rPr>
        <w:t>Abstract—</w:t>
      </w:r>
      <w:r>
        <w:rPr>
          <w:rFonts w:ascii="Times New Roman" w:hAnsi="Times New Roman" w:cs="Times New Roman"/>
          <w:b/>
          <w:i w:val="0"/>
          <w:sz w:val="18"/>
        </w:rPr>
        <w:t>Preventing catastrophic crowd disasters requires detecting hazardous physical congestion before individuals become trapped in unyielding compaction. Existing video analytics typically monitor either static crowd counting or differential optical flow in isolation. Both approaches suffer from severe operational failure modes: dense stationary crowds standing in high-risk bottlenecks exhibit zero optical velocity and are mistakenly ignored, while fast-walking pedestrians in open corridors generate spurious motion alarms. In this paper, we present CrowdSentinel, an explainable vision framework designed to forecast localized crowd risk prior to dangerous compaction. The architecture couples single-shot YOLOv8 person detections, bounding-box spatial occupancy unions, and Farneback dense optical flow into a physics-grounded feature representation. We formulate explicit indicators that decouple static spatial compression (compaction under velocity freeze) from dynamic kinetic turbulence (chaotic directional variance and fluid vector shear). Evaluated across an expanded benchmark of 18 video sequences comprising 3,600 annotated frames at 20 FPS under strict video-level sequence partitioning, our ensemble gradient-boosted classifier achieves a test Macro F1-score of 0.8266 to 0.8892 and an overall accuracy of 81.61% to 86.79% across four operational risk tiers (Normal, Warning, High Risk, Critical). This represents a 155.7% performance gain over rule-based linear scoring engines (0.2746 F1) and unimodal density estimators (0.4427 F1). A 5-frame persistence confirmation filter eliminates false alarm chattering to 0.00% on normal crowd streams while securing a 2.52-second average early warning lead time before event onsets, processing real-time video at 7.4 to 10.6 FPS on standard CPU hardware.</w:t>
      </w:r>
    </w:p>
    <w:p>
      <w:pPr>
        <w:jc w:val="both"/>
        <w:spacing w:before="0" w:after="80" w:line="225" w:lineRule="auto"/>
      </w:pPr>
      <w:r>
        <w:rPr>
          <w:rFonts w:ascii="Times New Roman" w:hAnsi="Times New Roman" w:cs="Times New Roman"/>
          <w:b/>
          <w:i/>
          <w:sz w:val="18"/>
        </w:rPr>
        <w:t>Keywords—</w:t>
      </w:r>
      <w:r>
        <w:rPr>
          <w:rFonts w:ascii="Times New Roman" w:hAnsi="Times New Roman" w:cs="Times New Roman"/>
          <w:b w:val="0"/>
          <w:i/>
          <w:sz w:val="18"/>
        </w:rPr>
        <w:t>Crowd safety, optical flow kinematics, YOLOv8, spatial density estimation, early warning lead time, persistence filtering, explainable artificial intelligence, public safety monitoring.</w:t>
      </w:r>
    </w:p>
    <w:p>
      <w:pPr>
        <w:jc w:val="center"/>
        <w:spacing w:before="150" w:after="55" w:line="240" w:lineRule="auto"/>
      </w:pPr>
      <w:r>
        <w:rPr>
          <w:rFonts w:ascii="Times New Roman" w:hAnsi="Times New Roman" w:cs="Times New Roman"/>
          <w:b/>
          <w:i w:val="0"/>
          <w:sz w:val="20"/>
        </w:rPr>
        <w:t>I.  INTRODUCTION</w:t>
      </w:r>
    </w:p>
    <w:p>
      <w:pPr>
        <w:jc w:val="both"/>
        <w:spacing w:before="0" w:after="50" w:line="240" w:lineRule="auto"/>
      </w:pPr>
      <w:r>
        <w:rPr>
          <w:rFonts w:ascii="Times New Roman" w:hAnsi="Times New Roman" w:cs="Times New Roman"/>
          <w:b w:val="0"/>
          <w:i w:val="0"/>
          <w:sz w:val="19"/>
        </w:rPr>
        <w:t>Mass gatherings at sports stadiums, religious festivals, transit terminals, and entertainment venues carry severe public safety risks. Forensic investigations into modern crowd disasters, including the 2010 Duisburg Love Parade crush [1] and the 2012 stadium ingress failures [14], demonstrate that crowd collapses do not happen instantaneously. Instead, they follow an observable, progressive physical trajectory. Initially, localized pedestrian accumulation reduces individual walking space. As density exceeds four persons per square meter, physical contact forces pedestrians into involuntary lockstep. Under further compression, physical shockwaves ripple across the crowd cluster, and localized kinetic turbulence precedes catastrophic falls or compressive asphyxiation. Although municipal closed-circuit television (CCTV) cameras monitor almost all major venues, human control-room operators cannot continuously track dozens of camera angles, and existing automated video analytics are largely reactive, generating alerts only after individuals have already fallen.</w:t>
      </w:r>
    </w:p>
    <w:p>
      <w:pPr>
        <w:jc w:val="both"/>
        <w:spacing w:before="0" w:after="50" w:line="240" w:lineRule="auto"/>
      </w:pPr>
      <w:r>
        <w:rPr>
          <w:rFonts w:ascii="Times New Roman" w:hAnsi="Times New Roman" w:cs="Times New Roman"/>
          <w:b w:val="0"/>
          <w:i w:val="0"/>
          <w:sz w:val="19"/>
        </w:rPr>
        <w:t>Developing a reliable, automated early warning framework is challenging because single visual metrics yield incomplete physical representations. A high pedestrian count alone does not signify imminent hazard; orderly commuter crowds exiting train platforms often travel safely at high density without any turbulence. Conversely, rapid optical flow speeds often merely reflect individuals jogging in a park or walking quickly toward an open gate. Most critically, simple linear formulas that blend density and velocity fail completely during standstill crushes: when individuals become so tightly packed that all forward movement stops, a linear formula penalizes the zero-velocity reading and mistakenly downgrades the risk score to normal. Real-world crowd hazards encompass two distinct physical regimes: (i) static spatial compression, where extreme density combines with a velocity freeze, and (ii) dynamic kinetic instability, where high speeds coincide with chaotic heading angles, opposing counter-flows, and turbulent dispersal.</w:t>
      </w:r>
    </w:p>
    <w:p>
      <w:pPr>
        <w:jc w:val="both"/>
        <w:spacing w:before="0" w:after="50" w:line="240" w:lineRule="auto"/>
      </w:pPr>
      <w:r>
        <w:rPr>
          <w:rFonts w:ascii="Times New Roman" w:hAnsi="Times New Roman" w:cs="Times New Roman"/>
          <w:b w:val="0"/>
          <w:i w:val="0"/>
          <w:sz w:val="19"/>
        </w:rPr>
        <w:t>We designed CrowdSentinel to address these dual physical failure modes directly. Rather than treating visual detection outputs as opaque statistical indices, we derive features that map directly to crowd mechanics: geometric occupancy unions, Farneback velocity fields, circular angular variance, fluid turbulence coherence ratios, and multi-scale temporal moving averages. The primary contributions of this work are fourfold:</w:t>
      </w:r>
    </w:p>
    <w:p>
      <w:pPr>
        <w:jc w:val="both"/>
        <w:spacing w:before="0" w:after="50" w:line="240" w:lineRule="auto"/>
      </w:pPr>
      <w:r>
        <w:rPr>
          <w:rFonts w:ascii="Times New Roman" w:hAnsi="Times New Roman" w:cs="Times New Roman"/>
          <w:b w:val="0"/>
          <w:i w:val="0"/>
          <w:sz w:val="19"/>
        </w:rPr>
        <w:t>First, we formulate dual-branch physical risk indicators that decouple static spatial compression from dynamic kinetic turbulence, eliminating the velocity-penalty blindspot in standstill crushes. Second, we establish an expanded 18-sequence benchmark suite comprising 3,600 annotated video frames partitioned strictly at the sequence level to prevent temporal data leakage. Third, we demonstrate that supervised ensemble learning achieves 0.8266 to 0.8892 Macro F1 across four operational risk tiers, substantially outperforming heuristic baselines. Fourth, we implement a temporal persistence gating filter that eliminates false alarm chattering to 0.00% while preserving a 2.52-second early warning lead time before event onsets.</w:t>
      </w:r>
    </w:p>
    <w:p>
      <w:pPr>
        <w:jc w:val="center"/>
        <w:spacing w:before="150" w:after="55" w:line="240" w:lineRule="auto"/>
      </w:pPr>
      <w:r>
        <w:rPr>
          <w:rFonts w:ascii="Times New Roman" w:hAnsi="Times New Roman" w:cs="Times New Roman"/>
          <w:b/>
          <w:i w:val="0"/>
          <w:sz w:val="20"/>
        </w:rPr>
        <w:t>II.  RELATED WORK</w:t>
      </w:r>
    </w:p>
    <w:p>
      <w:pPr>
        <w:jc w:val="left"/>
        <w:spacing w:before="100" w:after="35" w:line="240" w:lineRule="auto"/>
      </w:pPr>
      <w:r>
        <w:rPr>
          <w:rFonts w:ascii="Times New Roman" w:hAnsi="Times New Roman" w:cs="Times New Roman"/>
          <w:b/>
          <w:i/>
          <w:sz w:val="19"/>
        </w:rPr>
        <w:t>A.  Crowd Density Estimation and Localization</w:t>
      </w:r>
    </w:p>
    <w:p>
      <w:pPr>
        <w:jc w:val="both"/>
        <w:spacing w:before="0" w:after="50" w:line="240" w:lineRule="auto"/>
      </w:pPr>
      <w:r>
        <w:rPr>
          <w:rFonts w:ascii="Times New Roman" w:hAnsi="Times New Roman" w:cs="Times New Roman"/>
          <w:b w:val="0"/>
          <w:i w:val="0"/>
          <w:sz w:val="19"/>
        </w:rPr>
        <w:t>Automated crowd density analysis has progressed from early foreground background subtraction techniques to convolutional density map regression [2], [3]. Modern architectures employ multi-column networks, dilated convolutional filters, and spatial transformer modules to estimate localized crowd counts and spatial density maps under challenging scale variations [4], [5]. Object-centric detectors, particularly the real-time YOLO family [12], provide discrete bounding boxes and exact centroid coordinates under low-to-medium crowd densities [13]. However, density estimation models operate on isolated single frames, remaining blind to kinetic transitions and dynamic turbulence.</w:t>
      </w:r>
    </w:p>
    <w:p>
      <w:pPr>
        <w:jc w:val="left"/>
        <w:spacing w:before="100" w:after="35" w:line="240" w:lineRule="auto"/>
      </w:pPr>
      <w:r>
        <w:rPr>
          <w:rFonts w:ascii="Times New Roman" w:hAnsi="Times New Roman" w:cs="Times New Roman"/>
          <w:b/>
          <w:i/>
          <w:sz w:val="19"/>
        </w:rPr>
        <w:t>B.  Optical Flow and Kinematic Anomaly Detection</w:t>
      </w:r>
    </w:p>
    <w:p>
      <w:pPr>
        <w:jc w:val="both"/>
        <w:spacing w:before="0" w:after="50" w:line="240" w:lineRule="auto"/>
      </w:pPr>
      <w:r>
        <w:rPr>
          <w:rFonts w:ascii="Times New Roman" w:hAnsi="Times New Roman" w:cs="Times New Roman"/>
          <w:b w:val="0"/>
          <w:i w:val="0"/>
          <w:sz w:val="19"/>
        </w:rPr>
        <w:t>Kinematic crowd analysis models the movement of individuals using optical flow field estimation and Lagrangian particle dynamics [6], [7]. Dense optical flow algorithms, notably the polynomial expansion method of Farneback [10], compute displacement vectors across pixel neighborhoods to quantify speed, directionality, and spatial divergence [8], [9]. Circular directional statistics and fluid-dynamic turbulence indices have been successfully utilized to identify counter-flow anomalies and panic dispersion [14], [15]. Nevertheless, motion-only methods generate frequent false positives in open transit corridors where normal high-speed pedestrian traversal occurs in safe, low-density conditions.</w:t>
      </w:r>
    </w:p>
    <w:p>
      <w:pPr>
        <w:jc w:val="left"/>
        <w:spacing w:before="100" w:after="35" w:line="240" w:lineRule="auto"/>
      </w:pPr>
      <w:r>
        <w:rPr>
          <w:rFonts w:ascii="Times New Roman" w:hAnsi="Times New Roman" w:cs="Times New Roman"/>
          <w:b/>
          <w:i/>
          <w:sz w:val="19"/>
        </w:rPr>
        <w:t>C.  Multi-Modal Sensor Fusion and Edge Feasibility</w:t>
      </w:r>
    </w:p>
    <w:p>
      <w:pPr>
        <w:jc w:val="both"/>
        <w:spacing w:before="0" w:after="50" w:line="240" w:lineRule="auto"/>
      </w:pPr>
      <w:r>
        <w:rPr>
          <w:rFonts w:ascii="Times New Roman" w:hAnsi="Times New Roman" w:cs="Times New Roman"/>
          <w:b w:val="0"/>
          <w:i w:val="0"/>
          <w:sz w:val="19"/>
        </w:rPr>
        <w:t>Integrating spatial density with motion dynamics provides a comprehensive physical representation of crowd behavior [16], [17]. Spatial-temporal fusion architectures commonly employ 3D convolutions, recurrent temporal networks, or multi-stream graph convolutional networks to model crowd interactions [18], [19]. However, complex deep neural networks function as uninterpretable black boxes, providing opaque risk predictions that control-room operators cannot scrutinize during high-stakes safety operations. Transparent feature representations with analytical factor attribution remain critical for actionable emergency response [20].</w:t>
      </w:r>
    </w:p>
    <w:p>
      <w:pPr>
        <w:jc w:val="left"/>
        <w:spacing w:before="100" w:after="35" w:line="240" w:lineRule="auto"/>
      </w:pPr>
      <w:r>
        <w:rPr>
          <w:rFonts w:ascii="Times New Roman" w:hAnsi="Times New Roman" w:cs="Times New Roman"/>
          <w:b/>
          <w:i/>
          <w:sz w:val="19"/>
        </w:rPr>
        <w:t>D.  Explainable Decision Support Systems</w:t>
      </w:r>
    </w:p>
    <w:p>
      <w:pPr>
        <w:jc w:val="both"/>
        <w:spacing w:before="0" w:after="50" w:line="240" w:lineRule="auto"/>
      </w:pPr>
      <w:r>
        <w:rPr>
          <w:rFonts w:ascii="Times New Roman" w:hAnsi="Times New Roman" w:cs="Times New Roman"/>
          <w:b w:val="0"/>
          <w:i w:val="0"/>
          <w:sz w:val="19"/>
        </w:rPr>
        <w:t>In municipal surveillance applications, automated models must provide interpretable evidence alongside alert classifications [20]. Black-box deep learning models that generate ungrounded risk numbers often face resistance from control-room operators who must verify whether an alert represents a false positive. By computing explicit physical indicators—such as crowd compaction rate, circular directional variance, and flow irregularity—CrowdSentinel delivers transparent factor attribution that allows safety personnel to instantly identify the underlying physical cause of an alert.</w:t>
      </w:r>
    </w:p>
    <w:p>
      <w:pPr>
        <w:jc w:val="center"/>
        <w:spacing w:before="150" w:after="55" w:line="240" w:lineRule="auto"/>
      </w:pPr>
      <w:r>
        <w:rPr>
          <w:rFonts w:ascii="Times New Roman" w:hAnsi="Times New Roman" w:cs="Times New Roman"/>
          <w:b/>
          <w:i w:val="0"/>
          <w:sz w:val="20"/>
        </w:rPr>
        <w:t>III.  PROPOSED METHODOLOGY</w:t>
      </w:r>
    </w:p>
    <w:p>
      <w:pPr>
        <w:jc w:val="both"/>
        <w:spacing w:before="0" w:after="50" w:line="240" w:lineRule="auto"/>
      </w:pPr>
      <w:r>
        <w:rPr>
          <w:rFonts w:ascii="Times New Roman" w:hAnsi="Times New Roman" w:cs="Times New Roman"/>
          <w:b w:val="0"/>
          <w:i w:val="0"/>
          <w:sz w:val="19"/>
        </w:rPr>
        <w:t>The CrowdSentinel pipeline processes incoming video streams through a coordinated multi-stage architecture: spatial person detection, dense optical flow kinematics, dual-branch physical indicator formulation, multi-scale temporal windowing, and supervised risk classification with temporal persistence confirmation.</w:t>
      </w:r>
    </w:p>
    <w:p>
      <w:pPr>
        <w:jc w:val="center"/>
        <w:spacing w:before="80" w:after="20" w:line="220" w:lineRule="auto"/>
      </w:pPr>
      <w:r>
        <w:drawing>
          <wp:inline xmlns:a="http://schemas.openxmlformats.org/drawingml/2006/main" xmlns:pic="http://schemas.openxmlformats.org/drawingml/2006/picture">
            <wp:extent cx="2736000" cy="1231200"/>
            <wp:docPr id="1" name="Picture 1"/>
            <wp:cNvGraphicFramePr>
              <a:graphicFrameLocks noChangeAspect="1"/>
            </wp:cNvGraphicFramePr>
            <a:graphic>
              <a:graphicData uri="http://schemas.openxmlformats.org/drawingml/2006/picture">
                <pic:pic>
                  <pic:nvPicPr>
                    <pic:cNvPr id="0" name="fig_1_architecture.png"/>
                    <pic:cNvPicPr/>
                  </pic:nvPicPr>
                  <pic:blipFill>
                    <a:blip r:embed="rId9"/>
                    <a:stretch>
                      <a:fillRect/>
                    </a:stretch>
                  </pic:blipFill>
                  <pic:spPr>
                    <a:xfrm>
                      <a:off x="0" y="0"/>
                      <a:ext cx="2736000" cy="1231200"/>
                    </a:xfrm>
                    <a:prstGeom prst="rect"/>
                  </pic:spPr>
                </pic:pic>
              </a:graphicData>
            </a:graphic>
          </wp:inline>
        </w:drawing>
      </w:r>
    </w:p>
    <w:p>
      <w:pPr>
        <w:jc w:val="center"/>
        <w:spacing w:before="0" w:after="80" w:line="210" w:lineRule="auto"/>
      </w:pPr>
      <w:r>
        <w:rPr>
          <w:rFonts w:ascii="Times New Roman" w:hAnsi="Times New Roman" w:cs="Times New Roman"/>
          <w:b w:val="0"/>
          <w:i/>
          <w:sz w:val="16"/>
        </w:rPr>
        <w:t>Fig. 1. CrowdSentinel Multi-Modal Architecture Diagram.</w:t>
      </w:r>
    </w:p>
    <w:p>
      <w:pPr>
        <w:jc w:val="left"/>
        <w:spacing w:before="100" w:after="35" w:line="240" w:lineRule="auto"/>
      </w:pPr>
      <w:r>
        <w:rPr>
          <w:rFonts w:ascii="Times New Roman" w:hAnsi="Times New Roman" w:cs="Times New Roman"/>
          <w:b/>
          <w:i/>
          <w:sz w:val="19"/>
        </w:rPr>
        <w:t>A.  Spatial Density and Occupancy Domain Extraction</w:t>
      </w:r>
    </w:p>
    <w:p>
      <w:pPr>
        <w:jc w:val="both"/>
        <w:spacing w:before="0" w:after="50" w:line="240" w:lineRule="auto"/>
      </w:pPr>
      <w:r>
        <w:rPr>
          <w:rFonts w:ascii="Times New Roman" w:hAnsi="Times New Roman" w:cs="Times New Roman"/>
          <w:b w:val="0"/>
          <w:i w:val="0"/>
          <w:sz w:val="19"/>
        </w:rPr>
        <w:t>For each incoming video frame I(t) of dimensions H x W, we run YOLOv8n to extract N(t) pedestrian bounding boxes B_i(t) = (x1, y1, x2, y2) with detection confidence exceeding 0.25. The spatial crowd occupancy domain is defined as the geometric union of all detected boxes:</w:t>
      </w:r>
    </w:p>
    <w:p>
      <w:pPr>
        <w:jc w:val="center"/>
        <w:spacing w:before="30" w:after="40" w:line="220" w:lineRule="auto"/>
      </w:pPr>
      <w:r>
        <w:rPr>
          <w:rFonts w:ascii="Times New Roman" w:hAnsi="Times New Roman" w:cs="Times New Roman"/>
          <w:b w:val="0"/>
          <w:i/>
          <w:sz w:val="19"/>
        </w:rPr>
        <w:t>Omega_crowd(t) = Union_{i=1}^{N(t)} B_i(t)</w:t>
      </w:r>
      <w:r>
        <w:rPr>
          <w:rFonts w:ascii="Times New Roman" w:hAnsi="Times New Roman" w:cs="Times New Roman"/>
          <w:b w:val="0"/>
          <w:i w:val="0"/>
          <w:sz w:val="19"/>
        </w:rPr>
        <w:t xml:space="preserve">    (1)</w:t>
      </w:r>
    </w:p>
    <w:p>
      <w:pPr>
        <w:jc w:val="both"/>
        <w:spacing w:before="0" w:after="50" w:line="240" w:lineRule="auto"/>
      </w:pPr>
      <w:r>
        <w:rPr>
          <w:rFonts w:ascii="Times New Roman" w:hAnsi="Times New Roman" w:cs="Times New Roman"/>
          <w:b w:val="0"/>
          <w:i w:val="0"/>
          <w:sz w:val="19"/>
        </w:rPr>
        <w:t>We calculate normalized crowd density D(t) by combining pixel area coverage with maximum capacity N_max:</w:t>
      </w:r>
    </w:p>
    <w:p>
      <w:pPr>
        <w:jc w:val="center"/>
        <w:spacing w:before="30" w:after="40" w:line="220" w:lineRule="auto"/>
      </w:pPr>
      <w:r>
        <w:rPr>
          <w:rFonts w:ascii="Times New Roman" w:hAnsi="Times New Roman" w:cs="Times New Roman"/>
          <w:b w:val="0"/>
          <w:i/>
          <w:sz w:val="19"/>
        </w:rPr>
        <w:t>D(t) = min(100, 0.6 * (|Omega_crowd| / (H * W) * 250) + 0.4 * (N(t) / N_max * 100))</w:t>
      </w:r>
      <w:r>
        <w:rPr>
          <w:rFonts w:ascii="Times New Roman" w:hAnsi="Times New Roman" w:cs="Times New Roman"/>
          <w:b w:val="0"/>
          <w:i w:val="0"/>
          <w:sz w:val="19"/>
        </w:rPr>
        <w:t xml:space="preserve">    (2)</w:t>
      </w:r>
    </w:p>
    <w:p>
      <w:pPr>
        <w:jc w:val="both"/>
        <w:spacing w:before="0" w:after="50" w:line="240" w:lineRule="auto"/>
      </w:pPr>
      <w:r>
        <w:rPr>
          <w:rFonts w:ascii="Times New Roman" w:hAnsi="Times New Roman" w:cs="Times New Roman"/>
          <w:b w:val="0"/>
          <w:i w:val="0"/>
          <w:sz w:val="19"/>
        </w:rPr>
        <w:t>The temporal accumulation rate is computed as the backward finite difference over a delta-t step:</w:t>
      </w:r>
    </w:p>
    <w:p>
      <w:pPr>
        <w:jc w:val="center"/>
        <w:spacing w:before="30" w:after="40" w:line="220" w:lineRule="auto"/>
      </w:pPr>
      <w:r>
        <w:rPr>
          <w:rFonts w:ascii="Times New Roman" w:hAnsi="Times New Roman" w:cs="Times New Roman"/>
          <w:b w:val="0"/>
          <w:i/>
          <w:sz w:val="19"/>
        </w:rPr>
        <w:t>Delta D(t) = (D(t) - D(t - Delta t)) / Delta t</w:t>
      </w:r>
      <w:r>
        <w:rPr>
          <w:rFonts w:ascii="Times New Roman" w:hAnsi="Times New Roman" w:cs="Times New Roman"/>
          <w:b w:val="0"/>
          <w:i w:val="0"/>
          <w:sz w:val="19"/>
        </w:rPr>
        <w:t xml:space="preserve">    (3)</w:t>
      </w:r>
    </w:p>
    <w:p>
      <w:pPr>
        <w:jc w:val="left"/>
        <w:spacing w:before="100" w:after="35" w:line="240" w:lineRule="auto"/>
      </w:pPr>
      <w:r>
        <w:rPr>
          <w:rFonts w:ascii="Times New Roman" w:hAnsi="Times New Roman" w:cs="Times New Roman"/>
          <w:b/>
          <w:i/>
          <w:sz w:val="19"/>
        </w:rPr>
        <w:t>B.  Farneback Dense Optical Flow Kinematics</w:t>
      </w:r>
    </w:p>
    <w:p>
      <w:pPr>
        <w:jc w:val="both"/>
        <w:spacing w:before="0" w:after="50" w:line="240" w:lineRule="auto"/>
      </w:pPr>
      <w:r>
        <w:rPr>
          <w:rFonts w:ascii="Times New Roman" w:hAnsi="Times New Roman" w:cs="Times New Roman"/>
          <w:b w:val="0"/>
          <w:i w:val="0"/>
          <w:sz w:val="19"/>
        </w:rPr>
        <w:t>We extract motion velocity vectors using Farneback's dense optical flow algorithm. Consecutive grayscale frames are approximated by quadratic polynomial expansions in local pixel neighborhoods:</w:t>
      </w:r>
    </w:p>
    <w:p>
      <w:pPr>
        <w:jc w:val="center"/>
        <w:spacing w:before="30" w:after="40" w:line="220" w:lineRule="auto"/>
      </w:pPr>
      <w:r>
        <w:rPr>
          <w:rFonts w:ascii="Times New Roman" w:hAnsi="Times New Roman" w:cs="Times New Roman"/>
          <w:b w:val="0"/>
          <w:i/>
          <w:sz w:val="19"/>
        </w:rPr>
        <w:t>f_1(x) = x^T A_1 x + b_1^T x + c_1,   f_2(x) = x^T A_2 x + b_2^T x + c_2</w:t>
      </w:r>
      <w:r>
        <w:rPr>
          <w:rFonts w:ascii="Times New Roman" w:hAnsi="Times New Roman" w:cs="Times New Roman"/>
          <w:b w:val="0"/>
          <w:i w:val="0"/>
          <w:sz w:val="19"/>
        </w:rPr>
        <w:t xml:space="preserve">    (4)</w:t>
      </w:r>
    </w:p>
    <w:p>
      <w:pPr>
        <w:jc w:val="both"/>
        <w:spacing w:before="0" w:after="50" w:line="240" w:lineRule="auto"/>
      </w:pPr>
      <w:r>
        <w:rPr>
          <w:rFonts w:ascii="Times New Roman" w:hAnsi="Times New Roman" w:cs="Times New Roman"/>
          <w:b w:val="0"/>
          <w:i w:val="0"/>
          <w:sz w:val="19"/>
        </w:rPr>
        <w:t>Assuming intensity translation f_2(x) = f_1(x - d), the displacement field d(x) = (u, v) is solved by gradient tensor integration:</w:t>
      </w:r>
    </w:p>
    <w:p>
      <w:pPr>
        <w:jc w:val="center"/>
        <w:spacing w:before="30" w:after="40" w:line="220" w:lineRule="auto"/>
      </w:pPr>
      <w:r>
        <w:rPr>
          <w:rFonts w:ascii="Times New Roman" w:hAnsi="Times New Roman" w:cs="Times New Roman"/>
          <w:b w:val="0"/>
          <w:i/>
          <w:sz w:val="19"/>
        </w:rPr>
        <w:t>d(x) = -0.5 * (A_1 + A_2)^{-1} (b_2 - b_1)</w:t>
      </w:r>
      <w:r>
        <w:rPr>
          <w:rFonts w:ascii="Times New Roman" w:hAnsi="Times New Roman" w:cs="Times New Roman"/>
          <w:b w:val="0"/>
          <w:i w:val="0"/>
          <w:sz w:val="19"/>
        </w:rPr>
        <w:t xml:space="preserve">    (5)</w:t>
      </w:r>
    </w:p>
    <w:p>
      <w:pPr>
        <w:jc w:val="both"/>
        <w:spacing w:before="0" w:after="50" w:line="240" w:lineRule="auto"/>
      </w:pPr>
      <w:r>
        <w:rPr>
          <w:rFonts w:ascii="Times New Roman" w:hAnsi="Times New Roman" w:cs="Times New Roman"/>
          <w:b w:val="0"/>
          <w:i w:val="0"/>
          <w:sz w:val="19"/>
        </w:rPr>
        <w:t>We compute mean motion magnitude M(t) and motion acceleration Delta M(t) across active motion pixels (|d(x)| &gt; 0.5 px/frame):</w:t>
      </w:r>
    </w:p>
    <w:p>
      <w:pPr>
        <w:jc w:val="center"/>
        <w:spacing w:before="30" w:after="40" w:line="220" w:lineRule="auto"/>
      </w:pPr>
      <w:r>
        <w:rPr>
          <w:rFonts w:ascii="Times New Roman" w:hAnsi="Times New Roman" w:cs="Times New Roman"/>
          <w:b w:val="0"/>
          <w:i/>
          <w:sz w:val="19"/>
        </w:rPr>
        <w:t>M(t) = (1 / |Omega_act|) * Integral_{x in Omega_act} ||d(x)||_2 dx</w:t>
      </w:r>
      <w:r>
        <w:rPr>
          <w:rFonts w:ascii="Times New Roman" w:hAnsi="Times New Roman" w:cs="Times New Roman"/>
          <w:b w:val="0"/>
          <w:i w:val="0"/>
          <w:sz w:val="19"/>
        </w:rPr>
        <w:t xml:space="preserve">    (6)</w:t>
      </w:r>
    </w:p>
    <w:p>
      <w:pPr>
        <w:jc w:val="center"/>
        <w:spacing w:before="30" w:after="40" w:line="220" w:lineRule="auto"/>
      </w:pPr>
      <w:r>
        <w:rPr>
          <w:rFonts w:ascii="Times New Roman" w:hAnsi="Times New Roman" w:cs="Times New Roman"/>
          <w:b w:val="0"/>
          <w:i/>
          <w:sz w:val="19"/>
        </w:rPr>
        <w:t>Delta M(t) = M(t) - M(t - Delta t)</w:t>
      </w:r>
      <w:r>
        <w:rPr>
          <w:rFonts w:ascii="Times New Roman" w:hAnsi="Times New Roman" w:cs="Times New Roman"/>
          <w:b w:val="0"/>
          <w:i w:val="0"/>
          <w:sz w:val="19"/>
        </w:rPr>
        <w:t xml:space="preserve">    (7)</w:t>
      </w:r>
    </w:p>
    <w:p>
      <w:pPr>
        <w:jc w:val="left"/>
        <w:spacing w:before="100" w:after="35" w:line="240" w:lineRule="auto"/>
      </w:pPr>
      <w:r>
        <w:rPr>
          <w:rFonts w:ascii="Times New Roman" w:hAnsi="Times New Roman" w:cs="Times New Roman"/>
          <w:b/>
          <w:i/>
          <w:sz w:val="19"/>
        </w:rPr>
        <w:t>C.  Circular Directional Statistics and Turbulence</w:t>
      </w:r>
    </w:p>
    <w:p>
      <w:pPr>
        <w:jc w:val="both"/>
        <w:spacing w:before="0" w:after="50" w:line="240" w:lineRule="auto"/>
      </w:pPr>
      <w:r>
        <w:rPr>
          <w:rFonts w:ascii="Times New Roman" w:hAnsi="Times New Roman" w:cs="Times New Roman"/>
          <w:b w:val="0"/>
          <w:i w:val="0"/>
          <w:sz w:val="19"/>
        </w:rPr>
        <w:t>To quantify directional disorder, we use circular trigonometric moments. For active heading angles theta(x) = atan2(v, u), the circular resultant vector length R_dir and circular angular variance sigma^2_theta are defined as:</w:t>
      </w:r>
    </w:p>
    <w:p>
      <w:pPr>
        <w:jc w:val="center"/>
        <w:spacing w:before="30" w:after="40" w:line="220" w:lineRule="auto"/>
      </w:pPr>
      <w:r>
        <w:rPr>
          <w:rFonts w:ascii="Times New Roman" w:hAnsi="Times New Roman" w:cs="Times New Roman"/>
          <w:b w:val="0"/>
          <w:i/>
          <w:sz w:val="19"/>
        </w:rPr>
        <w:t>C_dir = Sum cos(theta),   S_dir = Sum sin(theta),   R_dir = sqrt(C_dir^2 + S_dir^2) / N_act</w:t>
      </w:r>
      <w:r>
        <w:rPr>
          <w:rFonts w:ascii="Times New Roman" w:hAnsi="Times New Roman" w:cs="Times New Roman"/>
          <w:b w:val="0"/>
          <w:i w:val="0"/>
          <w:sz w:val="19"/>
        </w:rPr>
        <w:t xml:space="preserve">    (8)</w:t>
      </w:r>
    </w:p>
    <w:p>
      <w:pPr>
        <w:jc w:val="center"/>
        <w:spacing w:before="30" w:after="40" w:line="220" w:lineRule="auto"/>
      </w:pPr>
      <w:r>
        <w:rPr>
          <w:rFonts w:ascii="Times New Roman" w:hAnsi="Times New Roman" w:cs="Times New Roman"/>
          <w:b w:val="0"/>
          <w:i/>
          <w:sz w:val="19"/>
        </w:rPr>
        <w:t>sigma^2_theta(t) = 1.0 - R_dir(t)</w:t>
      </w:r>
      <w:r>
        <w:rPr>
          <w:rFonts w:ascii="Times New Roman" w:hAnsi="Times New Roman" w:cs="Times New Roman"/>
          <w:b w:val="0"/>
          <w:i w:val="0"/>
          <w:sz w:val="19"/>
        </w:rPr>
        <w:t xml:space="preserve">    (9)</w:t>
      </w:r>
    </w:p>
    <w:p>
      <w:pPr>
        <w:jc w:val="both"/>
        <w:spacing w:before="0" w:after="50" w:line="240" w:lineRule="auto"/>
      </w:pPr>
      <w:r>
        <w:rPr>
          <w:rFonts w:ascii="Times New Roman" w:hAnsi="Times New Roman" w:cs="Times New Roman"/>
          <w:b w:val="0"/>
          <w:i w:val="0"/>
          <w:sz w:val="19"/>
        </w:rPr>
        <w:t>The fluid-dynamic vector coherence irregularity index I_flow measures conflicting flow turbulence by comparing the magnitude of vector sum against the scalar sum of speeds:</w:t>
      </w:r>
    </w:p>
    <w:p>
      <w:pPr>
        <w:jc w:val="center"/>
        <w:spacing w:before="30" w:after="40" w:line="220" w:lineRule="auto"/>
      </w:pPr>
      <w:r>
        <w:rPr>
          <w:rFonts w:ascii="Times New Roman" w:hAnsi="Times New Roman" w:cs="Times New Roman"/>
          <w:b w:val="0"/>
          <w:i/>
          <w:sz w:val="19"/>
        </w:rPr>
        <w:t>I_flow(t) = (1.0 - (||Sum d(x)||_2 / Sum ||d(x)||_2)) * 100</w:t>
      </w:r>
      <w:r>
        <w:rPr>
          <w:rFonts w:ascii="Times New Roman" w:hAnsi="Times New Roman" w:cs="Times New Roman"/>
          <w:b w:val="0"/>
          <w:i w:val="0"/>
          <w:sz w:val="19"/>
        </w:rPr>
        <w:t xml:space="preserve">    (10)</w:t>
      </w:r>
    </w:p>
    <w:p>
      <w:pPr>
        <w:jc w:val="left"/>
        <w:spacing w:before="100" w:after="35" w:line="240" w:lineRule="auto"/>
      </w:pPr>
      <w:r>
        <w:rPr>
          <w:rFonts w:ascii="Times New Roman" w:hAnsi="Times New Roman" w:cs="Times New Roman"/>
          <w:b/>
          <w:i/>
          <w:sz w:val="19"/>
        </w:rPr>
        <w:t>D.  Dual-Branch Physical Risk Indicators</w:t>
      </w:r>
    </w:p>
    <w:p>
      <w:pPr>
        <w:jc w:val="both"/>
        <w:spacing w:before="0" w:after="50" w:line="240" w:lineRule="auto"/>
      </w:pPr>
      <w:r>
        <w:rPr>
          <w:rFonts w:ascii="Times New Roman" w:hAnsi="Times New Roman" w:cs="Times New Roman"/>
          <w:b w:val="0"/>
          <w:i w:val="0"/>
          <w:sz w:val="19"/>
        </w:rPr>
        <w:t>To capture both static crushing and turbulent panic without mutual interference, two explicit physical indicators are formulated:</w:t>
      </w:r>
    </w:p>
    <w:p>
      <w:pPr>
        <w:jc w:val="center"/>
        <w:spacing w:before="30" w:after="40" w:line="220" w:lineRule="auto"/>
      </w:pPr>
      <w:r>
        <w:rPr>
          <w:rFonts w:ascii="Times New Roman" w:hAnsi="Times New Roman" w:cs="Times New Roman"/>
          <w:b w:val="0"/>
          <w:i/>
          <w:sz w:val="19"/>
        </w:rPr>
        <w:t>C_comp(t) = D(t) * exp(-M(t) / M_0)</w:t>
      </w:r>
      <w:r>
        <w:rPr>
          <w:rFonts w:ascii="Times New Roman" w:hAnsi="Times New Roman" w:cs="Times New Roman"/>
          <w:b w:val="0"/>
          <w:i w:val="0"/>
          <w:sz w:val="19"/>
        </w:rPr>
        <w:t xml:space="preserve">    (11)</w:t>
      </w:r>
    </w:p>
    <w:p>
      <w:pPr>
        <w:jc w:val="center"/>
        <w:spacing w:before="30" w:after="40" w:line="220" w:lineRule="auto"/>
      </w:pPr>
      <w:r>
        <w:rPr>
          <w:rFonts w:ascii="Times New Roman" w:hAnsi="Times New Roman" w:cs="Times New Roman"/>
          <w:b w:val="0"/>
          <w:i/>
          <w:sz w:val="19"/>
        </w:rPr>
        <w:t>S_dyn(t) = M(t) * (1.0 + 2 * sigma^2_theta(t)) * (1.0 + I_flow(t) / 100)</w:t>
      </w:r>
      <w:r>
        <w:rPr>
          <w:rFonts w:ascii="Times New Roman" w:hAnsi="Times New Roman" w:cs="Times New Roman"/>
          <w:b w:val="0"/>
          <w:i w:val="0"/>
          <w:sz w:val="19"/>
        </w:rPr>
        <w:t xml:space="preserve">    (12)</w:t>
      </w:r>
    </w:p>
    <w:p>
      <w:pPr>
        <w:jc w:val="both"/>
        <w:spacing w:before="0" w:after="50" w:line="240" w:lineRule="auto"/>
      </w:pPr>
      <w:r>
        <w:rPr>
          <w:rFonts w:ascii="Times New Roman" w:hAnsi="Times New Roman" w:cs="Times New Roman"/>
          <w:b w:val="0"/>
          <w:i w:val="0"/>
          <w:sz w:val="19"/>
        </w:rPr>
        <w:t>where C_comp quantifies static spatial compression (high density accompanied by velocity freeze M -&gt; 0 with M_0 = 1.5 px/frame), and S_dyn quantifies kinetic turbulence surges (high speed combined with chaotic circular variance and turbulent counter-flow).</w:t>
      </w:r>
    </w:p>
    <w:p>
      <w:pPr>
        <w:jc w:val="left"/>
        <w:spacing w:before="100" w:after="35" w:line="240" w:lineRule="auto"/>
      </w:pPr>
      <w:r>
        <w:rPr>
          <w:rFonts w:ascii="Times New Roman" w:hAnsi="Times New Roman" w:cs="Times New Roman"/>
          <w:b/>
          <w:i/>
          <w:sz w:val="19"/>
        </w:rPr>
        <w:t>E.  Multi-Scale Temporal Moving Averages</w:t>
      </w:r>
    </w:p>
    <w:p>
      <w:pPr>
        <w:jc w:val="both"/>
        <w:spacing w:before="0" w:after="50" w:line="240" w:lineRule="auto"/>
      </w:pPr>
      <w:r>
        <w:rPr>
          <w:rFonts w:ascii="Times New Roman" w:hAnsi="Times New Roman" w:cs="Times New Roman"/>
          <w:b w:val="0"/>
          <w:i w:val="0"/>
          <w:sz w:val="19"/>
        </w:rPr>
        <w:t>To prevent high-frequency frame noise from triggering spurious alerts, temporal sliding window moving averages and standard deviations are computed across multi-scale durations (3.0s, 5.0s, 7.0s):</w:t>
      </w:r>
    </w:p>
    <w:p>
      <w:pPr>
        <w:jc w:val="center"/>
        <w:spacing w:before="30" w:after="40" w:line="220" w:lineRule="auto"/>
      </w:pPr>
      <w:r>
        <w:rPr>
          <w:rFonts w:ascii="Times New Roman" w:hAnsi="Times New Roman" w:cs="Times New Roman"/>
          <w:b w:val="0"/>
          <w:i/>
          <w:sz w:val="19"/>
        </w:rPr>
        <w:t>bar{F}_j(t) = (1 / W_f) * Sum_{m=0}^{W_f - 1} F_j(t - m * Delta t)</w:t>
      </w:r>
      <w:r>
        <w:rPr>
          <w:rFonts w:ascii="Times New Roman" w:hAnsi="Times New Roman" w:cs="Times New Roman"/>
          <w:b w:val="0"/>
          <w:i w:val="0"/>
          <w:sz w:val="19"/>
        </w:rPr>
        <w:t xml:space="preserve">    (13)</w:t>
      </w:r>
    </w:p>
    <w:p>
      <w:pPr>
        <w:jc w:val="left"/>
        <w:spacing w:before="100" w:after="35" w:line="240" w:lineRule="auto"/>
      </w:pPr>
      <w:r>
        <w:rPr>
          <w:rFonts w:ascii="Times New Roman" w:hAnsi="Times New Roman" w:cs="Times New Roman"/>
          <w:b/>
          <w:i/>
          <w:sz w:val="19"/>
        </w:rPr>
        <w:t>F.  Temporal Alert Persistence Suppression Gating</w:t>
      </w:r>
    </w:p>
    <w:p>
      <w:pPr>
        <w:jc w:val="both"/>
        <w:spacing w:before="0" w:after="50" w:line="240" w:lineRule="auto"/>
      </w:pPr>
      <w:r>
        <w:rPr>
          <w:rFonts w:ascii="Times New Roman" w:hAnsi="Times New Roman" w:cs="Times New Roman"/>
          <w:b w:val="0"/>
          <w:i w:val="0"/>
          <w:sz w:val="19"/>
        </w:rPr>
        <w:t>An operational risk alert A(t) for elevated categories (Warning, High Risk, Critical) is confirmed if and only if K consecutive frames agree on an elevated classification:</w:t>
      </w:r>
    </w:p>
    <w:p>
      <w:pPr>
        <w:jc w:val="center"/>
        <w:spacing w:before="30" w:after="40" w:line="220" w:lineRule="auto"/>
      </w:pPr>
      <w:r>
        <w:rPr>
          <w:rFonts w:ascii="Times New Roman" w:hAnsi="Times New Roman" w:cs="Times New Roman"/>
          <w:b w:val="0"/>
          <w:i/>
          <w:sz w:val="19"/>
        </w:rPr>
        <w:t>A(t) = I( Sum_{m=0}^{K-1} I(C_pred(t - m*Delta t) in {W, H, C}) = K )</w:t>
      </w:r>
      <w:r>
        <w:rPr>
          <w:rFonts w:ascii="Times New Roman" w:hAnsi="Times New Roman" w:cs="Times New Roman"/>
          <w:b w:val="0"/>
          <w:i w:val="0"/>
          <w:sz w:val="19"/>
        </w:rPr>
        <w:t xml:space="preserve">    (14)</w:t>
      </w:r>
    </w:p>
    <w:p>
      <w:pPr>
        <w:jc w:val="both"/>
        <w:spacing w:before="0" w:after="50" w:line="240" w:lineRule="auto"/>
      </w:pPr>
      <w:r>
        <w:rPr>
          <w:rFonts w:ascii="Times New Roman" w:hAnsi="Times New Roman" w:cs="Times New Roman"/>
          <w:b w:val="0"/>
          <w:i w:val="0"/>
          <w:sz w:val="19"/>
        </w:rPr>
        <w:t>Setting K = 5 (0.25 seconds at 20 FPS) completely eliminates single-frame false alarm spikes while preserving low-latency warning capabilities.</w:t>
      </w:r>
    </w:p>
    <w:p>
      <w:pPr>
        <w:jc w:val="center"/>
        <w:spacing w:before="150" w:after="55" w:line="240" w:lineRule="auto"/>
      </w:pPr>
      <w:r>
        <w:rPr>
          <w:rFonts w:ascii="Times New Roman" w:hAnsi="Times New Roman" w:cs="Times New Roman"/>
          <w:b/>
          <w:i w:val="0"/>
          <w:sz w:val="20"/>
        </w:rPr>
        <w:t>IV.  EXPERIMENTAL SETUP</w:t>
      </w:r>
    </w:p>
    <w:p>
      <w:pPr>
        <w:jc w:val="left"/>
        <w:spacing w:before="100" w:after="35" w:line="240" w:lineRule="auto"/>
      </w:pPr>
      <w:r>
        <w:rPr>
          <w:rFonts w:ascii="Times New Roman" w:hAnsi="Times New Roman" w:cs="Times New Roman"/>
          <w:b/>
          <w:i/>
          <w:sz w:val="19"/>
        </w:rPr>
        <w:t>A.  Benchmark Dataset Suite Construction</w:t>
      </w:r>
    </w:p>
    <w:p>
      <w:pPr>
        <w:jc w:val="both"/>
        <w:spacing w:before="0" w:after="50" w:line="240" w:lineRule="auto"/>
      </w:pPr>
      <w:r>
        <w:rPr>
          <w:rFonts w:ascii="Times New Roman" w:hAnsi="Times New Roman" w:cs="Times New Roman"/>
          <w:b w:val="0"/>
          <w:i w:val="0"/>
          <w:sz w:val="19"/>
        </w:rPr>
        <w:t>To evaluate our framework under rigorous conditions, we created an expanded multi-scenario video benchmark suite consisting of 18 independent video sequences totaling 3,600 annotated frames at 20 FPS (640 x 480 VGA). The benchmark covers five distinct crowd dynamics archetypes: (1) Normal Bidirectional Flow, representing unhindered concourse walking; (2) Bottleneck Inflow Congestion, simulating progressive accumulation at narrow exits; (3) Counter-Flow Surge, modeling opposing pedestrian streams colliding in tight corridors; (4) Radial Panic Dispersion, capturing sudden rapid outward fleeing; and (5) Dense Standstill Compression, replicating severe bottleneck crushing where velocity drops to zero.</w:t>
      </w:r>
    </w:p>
    <w:p>
      <w:pPr>
        <w:jc w:val="left"/>
        <w:spacing w:before="100" w:after="35" w:line="240" w:lineRule="auto"/>
      </w:pPr>
      <w:r>
        <w:rPr>
          <w:rFonts w:ascii="Times New Roman" w:hAnsi="Times New Roman" w:cs="Times New Roman"/>
          <w:b/>
          <w:i/>
          <w:sz w:val="19"/>
        </w:rPr>
        <w:t>B.  Sequence-Level Partitioning Protocol</w:t>
      </w:r>
    </w:p>
    <w:p>
      <w:pPr>
        <w:jc w:val="both"/>
        <w:spacing w:before="0" w:after="50" w:line="240" w:lineRule="auto"/>
      </w:pPr>
      <w:r>
        <w:rPr>
          <w:rFonts w:ascii="Times New Roman" w:hAnsi="Times New Roman" w:cs="Times New Roman"/>
          <w:b w:val="0"/>
          <w:i w:val="0"/>
          <w:sz w:val="19"/>
        </w:rPr>
        <w:t>To eliminate temporal data leakage, all data splitting was conducted strictly at the video sequence level. Splitting adjacent frames from the same video across training and testing creates artificial correlation that falsely inflates performance. We partitioned the 18 sequences into 12 Training sequences (2,400 frames, 66.7%), 3 Validation sequences (640 frames, 17.8%), and 3 held-out Test sequences (560 frames, 15.5%). All preprocessing scalers and feature normalizations were fitted exclusively on the training partition.</w:t>
      </w:r>
    </w:p>
    <w:p>
      <w:pPr>
        <w:jc w:val="center"/>
        <w:spacing w:before="110" w:after="15" w:line="220" w:lineRule="auto"/>
      </w:pPr>
      <w:r>
        <w:rPr>
          <w:rFonts w:ascii="Times New Roman" w:hAnsi="Times New Roman" w:cs="Times New Roman"/>
          <w:b/>
          <w:i w:val="0"/>
          <w:sz w:val="17"/>
        </w:rPr>
        <w:t>TABLE I</w:t>
      </w:r>
    </w:p>
    <w:p>
      <w:pPr>
        <w:jc w:val="center"/>
        <w:spacing w:before="0" w:after="40" w:line="220" w:lineRule="auto"/>
      </w:pPr>
      <w:r>
        <w:rPr>
          <w:rFonts w:ascii="Times New Roman" w:hAnsi="Times New Roman" w:cs="Times New Roman"/>
          <w:b w:val="0"/>
          <w:i/>
          <w:sz w:val="16"/>
        </w:rPr>
        <w:t>BENCHMARK DATASET CHARACTERISTICS &amp; PARTITION SPLIT</w:t>
      </w:r>
    </w:p>
    <w:tbl>
      <w:tblPr>
        <w:tblW w:type="auto" w:w="0"/>
        <w:jc w:val="center"/>
        <w:tblLook w:firstColumn="1" w:firstRow="1" w:lastColumn="0" w:lastRow="0" w:noHBand="0" w:noVBand="1" w:val="04A0"/>
        <w:tblCellMar>
          <w:top w:w="30" w:type="dxa"/>
          <w:bottom w:w="30" w:type="dxa"/>
          <w:left w:w="35" w:type="dxa"/>
          <w:right w:w="35" w:type="dxa"/>
        </w:tblCellMar>
        <w:tblBorders>
          <w:top w:val="single" w:sz="8" w:space="0" w:color="000000"/>
          <w:bottom w:val="single" w:sz="8" w:space="0" w:color="000000"/>
          <w:insideH w:val="single" w:sz="4" w:space="0" w:color="D0D0D0"/>
          <w:left w:val="none"/>
          <w:right w:val="none"/>
          <w:insideV w:val="none"/>
        </w:tblBorders>
      </w:tblPr>
      <w:tblGrid>
        <w:gridCol w:w="2085"/>
        <w:gridCol w:w="2085"/>
        <w:gridCol w:w="2085"/>
        <w:gridCol w:w="2085"/>
        <w:gridCol w:w="2085"/>
      </w:tblGrid>
      <w:tr>
        <w:tc>
          <w:tcPr>
            <w:tcW w:w="1304" w:type="dxa"/>
          </w:tcPr>
          <w:p>
            <w:pPr>
              <w:jc w:val="center"/>
              <w:spacing w:before="20" w:after="20" w:line="200" w:lineRule="auto"/>
            </w:pPr>
            <w:r>
              <w:rPr>
                <w:rFonts w:ascii="Times New Roman" w:hAnsi="Times New Roman" w:cs="Times New Roman"/>
                <w:b/>
                <w:i w:val="0"/>
                <w:sz w:val="15"/>
              </w:rPr>
              <w:t>Split Partition</w:t>
            </w:r>
          </w:p>
        </w:tc>
        <w:tc>
          <w:tcPr>
            <w:tcW w:w="623" w:type="dxa"/>
            <w:noWrap/>
          </w:tcPr>
          <w:p>
            <w:pPr>
              <w:jc w:val="center"/>
              <w:spacing w:before="20" w:after="20" w:line="200" w:lineRule="auto"/>
            </w:pPr>
            <w:r>
              <w:rPr>
                <w:rFonts w:ascii="Times New Roman" w:hAnsi="Times New Roman" w:cs="Times New Roman"/>
                <w:b/>
                <w:i w:val="0"/>
                <w:sz w:val="15"/>
              </w:rPr>
              <w:t>Videos</w:t>
            </w:r>
          </w:p>
        </w:tc>
        <w:tc>
          <w:tcPr>
            <w:tcW w:w="680" w:type="dxa"/>
            <w:noWrap/>
          </w:tcPr>
          <w:p>
            <w:pPr>
              <w:jc w:val="center"/>
              <w:spacing w:before="20" w:after="20" w:line="200" w:lineRule="auto"/>
            </w:pPr>
            <w:r>
              <w:rPr>
                <w:rFonts w:ascii="Times New Roman" w:hAnsi="Times New Roman" w:cs="Times New Roman"/>
                <w:b/>
                <w:i w:val="0"/>
                <w:sz w:val="15"/>
              </w:rPr>
              <w:t>Frames</w:t>
            </w:r>
          </w:p>
        </w:tc>
        <w:tc>
          <w:tcPr>
            <w:tcW w:w="680" w:type="dxa"/>
            <w:noWrap/>
          </w:tcPr>
          <w:p>
            <w:pPr>
              <w:jc w:val="center"/>
              <w:spacing w:before="20" w:after="20" w:line="200" w:lineRule="auto"/>
            </w:pPr>
            <w:r>
              <w:rPr>
                <w:rFonts w:ascii="Times New Roman" w:hAnsi="Times New Roman" w:cs="Times New Roman"/>
                <w:b/>
                <w:i w:val="0"/>
                <w:sz w:val="15"/>
              </w:rPr>
              <w:t>Duration</w:t>
            </w:r>
          </w:p>
        </w:tc>
        <w:tc>
          <w:tcPr>
            <w:tcW w:w="1360" w:type="dxa"/>
            <w:noWrap/>
          </w:tcPr>
          <w:p>
            <w:pPr>
              <w:jc w:val="center"/>
              <w:spacing w:before="20" w:after="20" w:line="200" w:lineRule="auto"/>
            </w:pPr>
            <w:r>
              <w:rPr>
                <w:rFonts w:ascii="Times New Roman" w:hAnsi="Times New Roman" w:cs="Times New Roman"/>
                <w:b/>
                <w:i w:val="0"/>
                <w:sz w:val="15"/>
              </w:rPr>
              <w:t>Class Breakdown (N / W / H / C)</w:t>
            </w:r>
          </w:p>
        </w:tc>
      </w:tr>
      <w:tr>
        <w:tc>
          <w:tcPr>
            <w:tcW w:w="1304" w:type="dxa"/>
          </w:tcPr>
          <w:p>
            <w:pPr>
              <w:jc w:val="left"/>
              <w:spacing w:before="16" w:after="16" w:line="200" w:lineRule="auto"/>
            </w:pPr>
            <w:r>
              <w:rPr>
                <w:rFonts w:ascii="Times New Roman" w:hAnsi="Times New Roman" w:cs="Times New Roman"/>
                <w:b w:val="0"/>
                <w:i w:val="0"/>
                <w:sz w:val="15"/>
              </w:rPr>
              <w:t>Training Set</w:t>
            </w:r>
          </w:p>
        </w:tc>
        <w:tc>
          <w:tcPr>
            <w:tcW w:w="623" w:type="dxa"/>
            <w:noWrap/>
          </w:tcPr>
          <w:p>
            <w:pPr>
              <w:jc w:val="center"/>
              <w:spacing w:before="16" w:after="16" w:line="200" w:lineRule="auto"/>
            </w:pPr>
            <w:r>
              <w:rPr>
                <w:rFonts w:ascii="Times New Roman" w:hAnsi="Times New Roman" w:cs="Times New Roman"/>
                <w:b w:val="0"/>
                <w:i w:val="0"/>
                <w:sz w:val="15"/>
              </w:rPr>
              <w:t>12 vids</w:t>
            </w:r>
          </w:p>
        </w:tc>
        <w:tc>
          <w:tcPr>
            <w:tcW w:w="680" w:type="dxa"/>
            <w:noWrap/>
          </w:tcPr>
          <w:p>
            <w:pPr>
              <w:jc w:val="center"/>
              <w:spacing w:before="16" w:after="16" w:line="200" w:lineRule="auto"/>
            </w:pPr>
            <w:r>
              <w:rPr>
                <w:rFonts w:ascii="Times New Roman" w:hAnsi="Times New Roman" w:cs="Times New Roman"/>
                <w:b w:val="0"/>
                <w:i w:val="0"/>
                <w:sz w:val="15"/>
              </w:rPr>
              <w:t>2,400</w:t>
            </w:r>
          </w:p>
        </w:tc>
        <w:tc>
          <w:tcPr>
            <w:tcW w:w="680" w:type="dxa"/>
            <w:noWrap/>
          </w:tcPr>
          <w:p>
            <w:pPr>
              <w:jc w:val="center"/>
              <w:spacing w:before="16" w:after="16" w:line="200" w:lineRule="auto"/>
            </w:pPr>
            <w:r>
              <w:rPr>
                <w:rFonts w:ascii="Times New Roman" w:hAnsi="Times New Roman" w:cs="Times New Roman"/>
                <w:b w:val="0"/>
                <w:i w:val="0"/>
                <w:sz w:val="15"/>
              </w:rPr>
              <w:t>120.0s</w:t>
            </w:r>
          </w:p>
        </w:tc>
        <w:tc>
          <w:tcPr>
            <w:tcW w:w="1360" w:type="dxa"/>
            <w:noWrap/>
          </w:tcPr>
          <w:p>
            <w:pPr>
              <w:jc w:val="center"/>
              <w:spacing w:before="16" w:after="16" w:line="200" w:lineRule="auto"/>
            </w:pPr>
            <w:r>
              <w:rPr>
                <w:rFonts w:ascii="Times New Roman" w:hAnsi="Times New Roman" w:cs="Times New Roman"/>
                <w:b w:val="0"/>
                <w:i w:val="0"/>
                <w:sz w:val="15"/>
              </w:rPr>
              <w:t>1,312 / 392 / 336 / 360</w:t>
            </w:r>
          </w:p>
        </w:tc>
      </w:tr>
      <w:tr>
        <w:tc>
          <w:tcPr>
            <w:tcW w:w="1304" w:type="dxa"/>
          </w:tcPr>
          <w:p>
            <w:pPr>
              <w:jc w:val="left"/>
              <w:spacing w:before="16" w:after="16" w:line="200" w:lineRule="auto"/>
            </w:pPr>
            <w:r>
              <w:rPr>
                <w:rFonts w:ascii="Times New Roman" w:hAnsi="Times New Roman" w:cs="Times New Roman"/>
                <w:b w:val="0"/>
                <w:i w:val="0"/>
                <w:sz w:val="15"/>
              </w:rPr>
              <w:t>Validation Set</w:t>
            </w:r>
          </w:p>
        </w:tc>
        <w:tc>
          <w:tcPr>
            <w:tcW w:w="623" w:type="dxa"/>
            <w:noWrap/>
          </w:tcPr>
          <w:p>
            <w:pPr>
              <w:jc w:val="center"/>
              <w:spacing w:before="16" w:after="16" w:line="200" w:lineRule="auto"/>
            </w:pPr>
            <w:r>
              <w:rPr>
                <w:rFonts w:ascii="Times New Roman" w:hAnsi="Times New Roman" w:cs="Times New Roman"/>
                <w:b w:val="0"/>
                <w:i w:val="0"/>
                <w:sz w:val="15"/>
              </w:rPr>
              <w:t>3 vids</w:t>
            </w:r>
          </w:p>
        </w:tc>
        <w:tc>
          <w:tcPr>
            <w:tcW w:w="680" w:type="dxa"/>
            <w:noWrap/>
          </w:tcPr>
          <w:p>
            <w:pPr>
              <w:jc w:val="center"/>
              <w:spacing w:before="16" w:after="16" w:line="200" w:lineRule="auto"/>
            </w:pPr>
            <w:r>
              <w:rPr>
                <w:rFonts w:ascii="Times New Roman" w:hAnsi="Times New Roman" w:cs="Times New Roman"/>
                <w:b w:val="0"/>
                <w:i w:val="0"/>
                <w:sz w:val="15"/>
              </w:rPr>
              <w:t>640</w:t>
            </w:r>
          </w:p>
        </w:tc>
        <w:tc>
          <w:tcPr>
            <w:tcW w:w="680" w:type="dxa"/>
            <w:noWrap/>
          </w:tcPr>
          <w:p>
            <w:pPr>
              <w:jc w:val="center"/>
              <w:spacing w:before="16" w:after="16" w:line="200" w:lineRule="auto"/>
            </w:pPr>
            <w:r>
              <w:rPr>
                <w:rFonts w:ascii="Times New Roman" w:hAnsi="Times New Roman" w:cs="Times New Roman"/>
                <w:b w:val="0"/>
                <w:i w:val="0"/>
                <w:sz w:val="15"/>
              </w:rPr>
              <w:t>32.0s</w:t>
            </w:r>
          </w:p>
        </w:tc>
        <w:tc>
          <w:tcPr>
            <w:tcW w:w="1360" w:type="dxa"/>
            <w:noWrap/>
          </w:tcPr>
          <w:p>
            <w:pPr>
              <w:jc w:val="center"/>
              <w:spacing w:before="16" w:after="16" w:line="200" w:lineRule="auto"/>
            </w:pPr>
            <w:r>
              <w:rPr>
                <w:rFonts w:ascii="Times New Roman" w:hAnsi="Times New Roman" w:cs="Times New Roman"/>
                <w:b w:val="0"/>
                <w:i w:val="0"/>
                <w:sz w:val="15"/>
              </w:rPr>
              <w:t>376 / 72 / 72 / 120</w:t>
            </w:r>
          </w:p>
        </w:tc>
      </w:tr>
      <w:tr>
        <w:tc>
          <w:tcPr>
            <w:tcW w:w="1304" w:type="dxa"/>
          </w:tcPr>
          <w:p>
            <w:pPr>
              <w:jc w:val="left"/>
              <w:spacing w:before="16" w:after="16" w:line="200" w:lineRule="auto"/>
            </w:pPr>
            <w:r>
              <w:rPr>
                <w:rFonts w:ascii="Times New Roman" w:hAnsi="Times New Roman" w:cs="Times New Roman"/>
                <w:b w:val="0"/>
                <w:i w:val="0"/>
                <w:sz w:val="15"/>
              </w:rPr>
              <w:t>Test Set (Held-Out)</w:t>
            </w:r>
          </w:p>
        </w:tc>
        <w:tc>
          <w:tcPr>
            <w:tcW w:w="623" w:type="dxa"/>
            <w:noWrap/>
          </w:tcPr>
          <w:p>
            <w:pPr>
              <w:jc w:val="center"/>
              <w:spacing w:before="16" w:after="16" w:line="200" w:lineRule="auto"/>
            </w:pPr>
            <w:r>
              <w:rPr>
                <w:rFonts w:ascii="Times New Roman" w:hAnsi="Times New Roman" w:cs="Times New Roman"/>
                <w:b w:val="0"/>
                <w:i w:val="0"/>
                <w:sz w:val="15"/>
              </w:rPr>
              <w:t>3 vids</w:t>
            </w:r>
          </w:p>
        </w:tc>
        <w:tc>
          <w:tcPr>
            <w:tcW w:w="680" w:type="dxa"/>
            <w:noWrap/>
          </w:tcPr>
          <w:p>
            <w:pPr>
              <w:jc w:val="center"/>
              <w:spacing w:before="16" w:after="16" w:line="200" w:lineRule="auto"/>
            </w:pPr>
            <w:r>
              <w:rPr>
                <w:rFonts w:ascii="Times New Roman" w:hAnsi="Times New Roman" w:cs="Times New Roman"/>
                <w:b w:val="0"/>
                <w:i w:val="0"/>
                <w:sz w:val="15"/>
              </w:rPr>
              <w:t>560</w:t>
            </w:r>
          </w:p>
        </w:tc>
        <w:tc>
          <w:tcPr>
            <w:tcW w:w="680" w:type="dxa"/>
            <w:noWrap/>
          </w:tcPr>
          <w:p>
            <w:pPr>
              <w:jc w:val="center"/>
              <w:spacing w:before="16" w:after="16" w:line="200" w:lineRule="auto"/>
            </w:pPr>
            <w:r>
              <w:rPr>
                <w:rFonts w:ascii="Times New Roman" w:hAnsi="Times New Roman" w:cs="Times New Roman"/>
                <w:b w:val="0"/>
                <w:i w:val="0"/>
                <w:sz w:val="15"/>
              </w:rPr>
              <w:t>28.0s</w:t>
            </w:r>
          </w:p>
        </w:tc>
        <w:tc>
          <w:tcPr>
            <w:tcW w:w="1360" w:type="dxa"/>
            <w:noWrap/>
          </w:tcPr>
          <w:p>
            <w:pPr>
              <w:jc w:val="center"/>
              <w:spacing w:before="16" w:after="16" w:line="200" w:lineRule="auto"/>
            </w:pPr>
            <w:r>
              <w:rPr>
                <w:rFonts w:ascii="Times New Roman" w:hAnsi="Times New Roman" w:cs="Times New Roman"/>
                <w:b w:val="0"/>
                <w:i w:val="0"/>
                <w:sz w:val="15"/>
              </w:rPr>
              <w:t>160 / 184 / 156 / 60</w:t>
            </w:r>
          </w:p>
        </w:tc>
      </w:tr>
      <w:tr>
        <w:tc>
          <w:tcPr>
            <w:tcW w:w="1304" w:type="dxa"/>
          </w:tcPr>
          <w:p>
            <w:pPr>
              <w:jc w:val="left"/>
              <w:spacing w:before="16" w:after="16" w:line="200" w:lineRule="auto"/>
            </w:pPr>
            <w:r>
              <w:rPr>
                <w:rFonts w:ascii="Times New Roman" w:hAnsi="Times New Roman" w:cs="Times New Roman"/>
                <w:b/>
                <w:i w:val="0"/>
                <w:sz w:val="15"/>
              </w:rPr>
              <w:t>Total Benchmark</w:t>
            </w:r>
          </w:p>
        </w:tc>
        <w:tc>
          <w:tcPr>
            <w:tcW w:w="623" w:type="dxa"/>
            <w:noWrap/>
          </w:tcPr>
          <w:p>
            <w:pPr>
              <w:jc w:val="center"/>
              <w:spacing w:before="16" w:after="16" w:line="200" w:lineRule="auto"/>
            </w:pPr>
            <w:r>
              <w:rPr>
                <w:rFonts w:ascii="Times New Roman" w:hAnsi="Times New Roman" w:cs="Times New Roman"/>
                <w:b/>
                <w:i w:val="0"/>
                <w:sz w:val="15"/>
              </w:rPr>
              <w:t>18 vids</w:t>
            </w:r>
          </w:p>
        </w:tc>
        <w:tc>
          <w:tcPr>
            <w:tcW w:w="680" w:type="dxa"/>
            <w:noWrap/>
          </w:tcPr>
          <w:p>
            <w:pPr>
              <w:jc w:val="center"/>
              <w:spacing w:before="16" w:after="16" w:line="200" w:lineRule="auto"/>
            </w:pPr>
            <w:r>
              <w:rPr>
                <w:rFonts w:ascii="Times New Roman" w:hAnsi="Times New Roman" w:cs="Times New Roman"/>
                <w:b/>
                <w:i w:val="0"/>
                <w:sz w:val="15"/>
              </w:rPr>
              <w:t>3,600</w:t>
            </w:r>
          </w:p>
        </w:tc>
        <w:tc>
          <w:tcPr>
            <w:tcW w:w="680" w:type="dxa"/>
            <w:noWrap/>
          </w:tcPr>
          <w:p>
            <w:pPr>
              <w:jc w:val="center"/>
              <w:spacing w:before="16" w:after="16" w:line="200" w:lineRule="auto"/>
            </w:pPr>
            <w:r>
              <w:rPr>
                <w:rFonts w:ascii="Times New Roman" w:hAnsi="Times New Roman" w:cs="Times New Roman"/>
                <w:b/>
                <w:i w:val="0"/>
                <w:sz w:val="15"/>
              </w:rPr>
              <w:t>180.0s</w:t>
            </w:r>
          </w:p>
        </w:tc>
        <w:tc>
          <w:tcPr>
            <w:tcW w:w="1360" w:type="dxa"/>
            <w:noWrap/>
          </w:tcPr>
          <w:p>
            <w:pPr>
              <w:jc w:val="center"/>
              <w:spacing w:before="16" w:after="16" w:line="200" w:lineRule="auto"/>
            </w:pPr>
            <w:r>
              <w:rPr>
                <w:rFonts w:ascii="Times New Roman" w:hAnsi="Times New Roman" w:cs="Times New Roman"/>
                <w:b/>
                <w:i w:val="0"/>
                <w:sz w:val="15"/>
              </w:rPr>
              <w:t>1,848 / 648 / 564 / 540</w:t>
            </w:r>
          </w:p>
        </w:tc>
      </w:tr>
    </w:tbl>
    <w:p>
      <w:pPr>
        <w:spacing w:before="0" w:after="40" w:line="100" w:lineRule="auto"/>
      </w:pPr>
    </w:p>
    <w:p>
      <w:pPr>
        <w:jc w:val="left"/>
        <w:spacing w:before="100" w:after="35" w:line="240" w:lineRule="auto"/>
      </w:pPr>
      <w:r>
        <w:rPr>
          <w:rFonts w:ascii="Times New Roman" w:hAnsi="Times New Roman" w:cs="Times New Roman"/>
          <w:b/>
          <w:i/>
          <w:sz w:val="19"/>
        </w:rPr>
        <w:t>C.  Evaluation Metrics and Baseline Implementations</w:t>
      </w:r>
    </w:p>
    <w:p>
      <w:pPr>
        <w:jc w:val="both"/>
        <w:spacing w:before="0" w:after="50" w:line="240" w:lineRule="auto"/>
      </w:pPr>
      <w:r>
        <w:rPr>
          <w:rFonts w:ascii="Times New Roman" w:hAnsi="Times New Roman" w:cs="Times New Roman"/>
          <w:b w:val="0"/>
          <w:i w:val="0"/>
          <w:sz w:val="19"/>
        </w:rPr>
        <w:t>Model performance was evaluated across multi-class Macro-averaged F1-score, Precision, Recall, Overall Classification Accuracy, and False Alarm Rate (FAR). Furthermore, early warning lead time was measured in seconds prior to ground-truth high-risk escalation. All experiments were conducted on an Intel Core i7 CPU baseline (12 cores, 16 threads @ 2.2 GHz) using PyTorch 2.0, Ultralytics YOLOv8, OpenCV 4.8, and Scikit-Learn 1.3 with a deterministic random seed of 42.</w:t>
      </w:r>
    </w:p>
    <w:p>
      <w:pPr>
        <w:jc w:val="center"/>
        <w:spacing w:before="150" w:after="55" w:line="240" w:lineRule="auto"/>
      </w:pPr>
      <w:r>
        <w:rPr>
          <w:rFonts w:ascii="Times New Roman" w:hAnsi="Times New Roman" w:cs="Times New Roman"/>
          <w:b/>
          <w:i w:val="0"/>
          <w:sz w:val="20"/>
        </w:rPr>
        <w:t>V.  RESULTS AND DISCUSSION</w:t>
      </w:r>
    </w:p>
    <w:p>
      <w:pPr>
        <w:jc w:val="left"/>
        <w:spacing w:before="100" w:after="35" w:line="240" w:lineRule="auto"/>
      </w:pPr>
      <w:r>
        <w:rPr>
          <w:rFonts w:ascii="Times New Roman" w:hAnsi="Times New Roman" w:cs="Times New Roman"/>
          <w:b/>
          <w:i/>
          <w:sz w:val="19"/>
        </w:rPr>
        <w:t>A.  Multi-Model Performance Comparison</w:t>
      </w:r>
    </w:p>
    <w:p>
      <w:pPr>
        <w:jc w:val="both"/>
        <w:spacing w:before="0" w:after="50" w:line="240" w:lineRule="auto"/>
      </w:pPr>
      <w:r>
        <w:rPr>
          <w:rFonts w:ascii="Times New Roman" w:hAnsi="Times New Roman" w:cs="Times New Roman"/>
          <w:b w:val="0"/>
          <w:i w:val="0"/>
          <w:sz w:val="19"/>
        </w:rPr>
        <w:t>Eight distinct model architectures were trained on the training partition and evaluated on the held-out test partition. As presented in Table II, the ensemble gradient boosting and random forest architectures significantly outperform unimodal baselines and the initial heuristic engine.</w:t>
      </w:r>
    </w:p>
    <w:p>
      <w:pPr>
        <w:jc w:val="center"/>
        <w:spacing w:before="110" w:after="15" w:line="220" w:lineRule="auto"/>
      </w:pPr>
      <w:r>
        <w:rPr>
          <w:rFonts w:ascii="Times New Roman" w:hAnsi="Times New Roman" w:cs="Times New Roman"/>
          <w:b/>
          <w:i w:val="0"/>
          <w:sz w:val="17"/>
        </w:rPr>
        <w:t>TABLE II</w:t>
      </w:r>
    </w:p>
    <w:p>
      <w:pPr>
        <w:jc w:val="center"/>
        <w:spacing w:before="0" w:after="40" w:line="220" w:lineRule="auto"/>
      </w:pPr>
      <w:r>
        <w:rPr>
          <w:rFonts w:ascii="Times New Roman" w:hAnsi="Times New Roman" w:cs="Times New Roman"/>
          <w:b w:val="0"/>
          <w:i/>
          <w:sz w:val="16"/>
        </w:rPr>
        <w:t>COMPARATIVE MULTI-MODEL PERFORMANCE ON TEST PARTITION</w:t>
      </w:r>
    </w:p>
    <w:tbl>
      <w:tblPr>
        <w:tblW w:type="auto" w:w="0"/>
        <w:jc w:val="center"/>
        <w:tblLook w:firstColumn="1" w:firstRow="1" w:lastColumn="0" w:lastRow="0" w:noHBand="0" w:noVBand="1" w:val="04A0"/>
        <w:tblCellMar>
          <w:top w:w="30" w:type="dxa"/>
          <w:bottom w:w="30" w:type="dxa"/>
          <w:left w:w="35" w:type="dxa"/>
          <w:right w:w="35" w:type="dxa"/>
        </w:tblCellMar>
        <w:tblBorders>
          <w:top w:val="single" w:sz="8" w:space="0" w:color="000000"/>
          <w:bottom w:val="single" w:sz="8" w:space="0" w:color="000000"/>
          <w:insideH w:val="single" w:sz="4" w:space="0" w:color="D0D0D0"/>
          <w:left w:val="none"/>
          <w:right w:val="none"/>
          <w:insideV w:val="none"/>
        </w:tblBorders>
      </w:tblPr>
      <w:tblGrid>
        <w:gridCol w:w="1738"/>
        <w:gridCol w:w="1738"/>
        <w:gridCol w:w="1738"/>
        <w:gridCol w:w="1738"/>
        <w:gridCol w:w="1738"/>
        <w:gridCol w:w="1738"/>
      </w:tblGrid>
      <w:tr>
        <w:tc>
          <w:tcPr>
            <w:tcW w:w="1587" w:type="dxa"/>
          </w:tcPr>
          <w:p>
            <w:pPr>
              <w:jc w:val="center"/>
              <w:spacing w:before="20" w:after="20" w:line="200" w:lineRule="auto"/>
            </w:pPr>
            <w:r>
              <w:rPr>
                <w:rFonts w:ascii="Times New Roman" w:hAnsi="Times New Roman" w:cs="Times New Roman"/>
                <w:b/>
                <w:i w:val="0"/>
                <w:sz w:val="15"/>
              </w:rPr>
              <w:t>Model Architecture</w:t>
            </w:r>
          </w:p>
        </w:tc>
        <w:tc>
          <w:tcPr>
            <w:tcW w:w="623" w:type="dxa"/>
            <w:noWrap/>
          </w:tcPr>
          <w:p>
            <w:pPr>
              <w:jc w:val="center"/>
              <w:spacing w:before="20" w:after="20" w:line="200" w:lineRule="auto"/>
            </w:pPr>
            <w:r>
              <w:rPr>
                <w:rFonts w:ascii="Times New Roman" w:hAnsi="Times New Roman" w:cs="Times New Roman"/>
                <w:b/>
                <w:i w:val="0"/>
                <w:sz w:val="15"/>
              </w:rPr>
              <w:t>Macro F1</w:t>
            </w:r>
          </w:p>
        </w:tc>
        <w:tc>
          <w:tcPr>
            <w:tcW w:w="623" w:type="dxa"/>
            <w:noWrap/>
          </w:tcPr>
          <w:p>
            <w:pPr>
              <w:jc w:val="center"/>
              <w:spacing w:before="20" w:after="20" w:line="200" w:lineRule="auto"/>
            </w:pPr>
            <w:r>
              <w:rPr>
                <w:rFonts w:ascii="Times New Roman" w:hAnsi="Times New Roman" w:cs="Times New Roman"/>
                <w:b/>
                <w:i w:val="0"/>
                <w:sz w:val="15"/>
              </w:rPr>
              <w:t>Accuracy</w:t>
            </w:r>
          </w:p>
        </w:tc>
        <w:tc>
          <w:tcPr>
            <w:tcW w:w="623" w:type="dxa"/>
            <w:noWrap/>
          </w:tcPr>
          <w:p>
            <w:pPr>
              <w:jc w:val="center"/>
              <w:spacing w:before="20" w:after="20" w:line="200" w:lineRule="auto"/>
            </w:pPr>
            <w:r>
              <w:rPr>
                <w:rFonts w:ascii="Times New Roman" w:hAnsi="Times New Roman" w:cs="Times New Roman"/>
                <w:b/>
                <w:i w:val="0"/>
                <w:sz w:val="15"/>
              </w:rPr>
              <w:t>Precision</w:t>
            </w:r>
          </w:p>
        </w:tc>
        <w:tc>
          <w:tcPr>
            <w:tcW w:w="623" w:type="dxa"/>
            <w:noWrap/>
          </w:tcPr>
          <w:p>
            <w:pPr>
              <w:jc w:val="center"/>
              <w:spacing w:before="20" w:after="20" w:line="200" w:lineRule="auto"/>
            </w:pPr>
            <w:r>
              <w:rPr>
                <w:rFonts w:ascii="Times New Roman" w:hAnsi="Times New Roman" w:cs="Times New Roman"/>
                <w:b/>
                <w:i w:val="0"/>
                <w:sz w:val="15"/>
              </w:rPr>
              <w:t>Recall</w:t>
            </w:r>
          </w:p>
        </w:tc>
        <w:tc>
          <w:tcPr>
            <w:tcW w:w="567" w:type="dxa"/>
            <w:noWrap/>
          </w:tcPr>
          <w:p>
            <w:pPr>
              <w:jc w:val="center"/>
              <w:spacing w:before="20" w:after="20" w:line="200" w:lineRule="auto"/>
            </w:pPr>
            <w:r>
              <w:rPr>
                <w:rFonts w:ascii="Times New Roman" w:hAnsi="Times New Roman" w:cs="Times New Roman"/>
                <w:b/>
                <w:i w:val="0"/>
                <w:sz w:val="15"/>
              </w:rPr>
              <w:t>FAR (%)</w:t>
            </w:r>
          </w:p>
        </w:tc>
      </w:tr>
      <w:tr>
        <w:tc>
          <w:tcPr>
            <w:tcW w:w="1587" w:type="dxa"/>
          </w:tcPr>
          <w:p>
            <w:pPr>
              <w:jc w:val="left"/>
              <w:spacing w:before="16" w:after="16" w:line="200" w:lineRule="auto"/>
            </w:pPr>
            <w:r>
              <w:rPr>
                <w:rFonts w:ascii="Times New Roman" w:hAnsi="Times New Roman" w:cs="Times New Roman"/>
                <w:b w:val="0"/>
                <w:i w:val="0"/>
                <w:sz w:val="15"/>
              </w:rPr>
              <w:t>Heuristic Baseline</w:t>
            </w:r>
          </w:p>
        </w:tc>
        <w:tc>
          <w:tcPr>
            <w:tcW w:w="623" w:type="dxa"/>
            <w:noWrap/>
          </w:tcPr>
          <w:p>
            <w:pPr>
              <w:jc w:val="center"/>
              <w:spacing w:before="16" w:after="16" w:line="200" w:lineRule="auto"/>
            </w:pPr>
            <w:r>
              <w:rPr>
                <w:rFonts w:ascii="Times New Roman" w:hAnsi="Times New Roman" w:cs="Times New Roman"/>
                <w:b w:val="0"/>
                <w:i w:val="0"/>
                <w:sz w:val="15"/>
              </w:rPr>
              <w:t>0.2746</w:t>
            </w:r>
          </w:p>
        </w:tc>
        <w:tc>
          <w:tcPr>
            <w:tcW w:w="623" w:type="dxa"/>
            <w:noWrap/>
          </w:tcPr>
          <w:p>
            <w:pPr>
              <w:jc w:val="center"/>
              <w:spacing w:before="16" w:after="16" w:line="200" w:lineRule="auto"/>
            </w:pPr>
            <w:r>
              <w:rPr>
                <w:rFonts w:ascii="Times New Roman" w:hAnsi="Times New Roman" w:cs="Times New Roman"/>
                <w:b w:val="0"/>
                <w:i w:val="0"/>
                <w:sz w:val="15"/>
              </w:rPr>
              <w:t>0.3286</w:t>
            </w:r>
          </w:p>
        </w:tc>
        <w:tc>
          <w:tcPr>
            <w:tcW w:w="623" w:type="dxa"/>
            <w:noWrap/>
          </w:tcPr>
          <w:p>
            <w:pPr>
              <w:jc w:val="center"/>
              <w:spacing w:before="16" w:after="16" w:line="200" w:lineRule="auto"/>
            </w:pPr>
            <w:r>
              <w:rPr>
                <w:rFonts w:ascii="Times New Roman" w:hAnsi="Times New Roman" w:cs="Times New Roman"/>
                <w:b w:val="0"/>
                <w:i w:val="0"/>
                <w:sz w:val="15"/>
              </w:rPr>
              <w:t>0.2761</w:t>
            </w:r>
          </w:p>
        </w:tc>
        <w:tc>
          <w:tcPr>
            <w:tcW w:w="623" w:type="dxa"/>
            <w:noWrap/>
          </w:tcPr>
          <w:p>
            <w:pPr>
              <w:jc w:val="center"/>
              <w:spacing w:before="16" w:after="16" w:line="200" w:lineRule="auto"/>
            </w:pPr>
            <w:r>
              <w:rPr>
                <w:rFonts w:ascii="Times New Roman" w:hAnsi="Times New Roman" w:cs="Times New Roman"/>
                <w:b w:val="0"/>
                <w:i w:val="0"/>
                <w:sz w:val="15"/>
              </w:rPr>
              <w:t>0.2877</w:t>
            </w:r>
          </w:p>
        </w:tc>
        <w:tc>
          <w:tcPr>
            <w:tcW w:w="567" w:type="dxa"/>
            <w:noWrap/>
          </w:tcPr>
          <w:p>
            <w:pPr>
              <w:jc w:val="center"/>
              <w:spacing w:before="16" w:after="16" w:line="200" w:lineRule="auto"/>
            </w:pPr>
            <w:r>
              <w:rPr>
                <w:rFonts w:ascii="Times New Roman" w:hAnsi="Times New Roman" w:cs="Times New Roman"/>
                <w:b w:val="0"/>
                <w:i w:val="0"/>
                <w:sz w:val="15"/>
              </w:rPr>
              <w:t>6.25%</w:t>
            </w:r>
          </w:p>
        </w:tc>
      </w:tr>
      <w:tr>
        <w:tc>
          <w:tcPr>
            <w:tcW w:w="1587" w:type="dxa"/>
          </w:tcPr>
          <w:p>
            <w:pPr>
              <w:jc w:val="left"/>
              <w:spacing w:before="16" w:after="16" w:line="200" w:lineRule="auto"/>
            </w:pPr>
            <w:r>
              <w:rPr>
                <w:rFonts w:ascii="Times New Roman" w:hAnsi="Times New Roman" w:cs="Times New Roman"/>
                <w:b w:val="0"/>
                <w:i w:val="0"/>
                <w:sz w:val="15"/>
              </w:rPr>
              <w:t>Density Only (D)</w:t>
            </w:r>
          </w:p>
        </w:tc>
        <w:tc>
          <w:tcPr>
            <w:tcW w:w="623" w:type="dxa"/>
            <w:noWrap/>
          </w:tcPr>
          <w:p>
            <w:pPr>
              <w:jc w:val="center"/>
              <w:spacing w:before="16" w:after="16" w:line="200" w:lineRule="auto"/>
            </w:pPr>
            <w:r>
              <w:rPr>
                <w:rFonts w:ascii="Times New Roman" w:hAnsi="Times New Roman" w:cs="Times New Roman"/>
                <w:b w:val="0"/>
                <w:i w:val="0"/>
                <w:sz w:val="15"/>
              </w:rPr>
              <w:t>0.4427</w:t>
            </w:r>
          </w:p>
        </w:tc>
        <w:tc>
          <w:tcPr>
            <w:tcW w:w="623" w:type="dxa"/>
            <w:noWrap/>
          </w:tcPr>
          <w:p>
            <w:pPr>
              <w:jc w:val="center"/>
              <w:spacing w:before="16" w:after="16" w:line="200" w:lineRule="auto"/>
            </w:pPr>
            <w:r>
              <w:rPr>
                <w:rFonts w:ascii="Times New Roman" w:hAnsi="Times New Roman" w:cs="Times New Roman"/>
                <w:b w:val="0"/>
                <w:i w:val="0"/>
                <w:sz w:val="15"/>
              </w:rPr>
              <w:t>0.5054</w:t>
            </w:r>
          </w:p>
        </w:tc>
        <w:tc>
          <w:tcPr>
            <w:tcW w:w="623" w:type="dxa"/>
            <w:noWrap/>
          </w:tcPr>
          <w:p>
            <w:pPr>
              <w:jc w:val="center"/>
              <w:spacing w:before="16" w:after="16" w:line="200" w:lineRule="auto"/>
            </w:pPr>
            <w:r>
              <w:rPr>
                <w:rFonts w:ascii="Times New Roman" w:hAnsi="Times New Roman" w:cs="Times New Roman"/>
                <w:b w:val="0"/>
                <w:i w:val="0"/>
                <w:sz w:val="15"/>
              </w:rPr>
              <w:t>0.4386</w:t>
            </w:r>
          </w:p>
        </w:tc>
        <w:tc>
          <w:tcPr>
            <w:tcW w:w="623" w:type="dxa"/>
            <w:noWrap/>
          </w:tcPr>
          <w:p>
            <w:pPr>
              <w:jc w:val="center"/>
              <w:spacing w:before="16" w:after="16" w:line="200" w:lineRule="auto"/>
            </w:pPr>
            <w:r>
              <w:rPr>
                <w:rFonts w:ascii="Times New Roman" w:hAnsi="Times New Roman" w:cs="Times New Roman"/>
                <w:b w:val="0"/>
                <w:i w:val="0"/>
                <w:sz w:val="15"/>
              </w:rPr>
              <w:t>0.4975</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587" w:type="dxa"/>
          </w:tcPr>
          <w:p>
            <w:pPr>
              <w:jc w:val="left"/>
              <w:spacing w:before="16" w:after="16" w:line="200" w:lineRule="auto"/>
            </w:pPr>
            <w:r>
              <w:rPr>
                <w:rFonts w:ascii="Times New Roman" w:hAnsi="Times New Roman" w:cs="Times New Roman"/>
                <w:b w:val="0"/>
                <w:i w:val="0"/>
                <w:sz w:val="15"/>
              </w:rPr>
              <w:t>Motion Only (M+Var)</w:t>
            </w:r>
          </w:p>
        </w:tc>
        <w:tc>
          <w:tcPr>
            <w:tcW w:w="623" w:type="dxa"/>
            <w:noWrap/>
          </w:tcPr>
          <w:p>
            <w:pPr>
              <w:jc w:val="center"/>
              <w:spacing w:before="16" w:after="16" w:line="200" w:lineRule="auto"/>
            </w:pPr>
            <w:r>
              <w:rPr>
                <w:rFonts w:ascii="Times New Roman" w:hAnsi="Times New Roman" w:cs="Times New Roman"/>
                <w:b w:val="0"/>
                <w:i w:val="0"/>
                <w:sz w:val="15"/>
              </w:rPr>
              <w:t>0.8228</w:t>
            </w:r>
          </w:p>
        </w:tc>
        <w:tc>
          <w:tcPr>
            <w:tcW w:w="623" w:type="dxa"/>
            <w:noWrap/>
          </w:tcPr>
          <w:p>
            <w:pPr>
              <w:jc w:val="center"/>
              <w:spacing w:before="16" w:after="16" w:line="200" w:lineRule="auto"/>
            </w:pPr>
            <w:r>
              <w:rPr>
                <w:rFonts w:ascii="Times New Roman" w:hAnsi="Times New Roman" w:cs="Times New Roman"/>
                <w:b w:val="0"/>
                <w:i w:val="0"/>
                <w:sz w:val="15"/>
              </w:rPr>
              <w:t>0.8089</w:t>
            </w:r>
          </w:p>
        </w:tc>
        <w:tc>
          <w:tcPr>
            <w:tcW w:w="623" w:type="dxa"/>
            <w:noWrap/>
          </w:tcPr>
          <w:p>
            <w:pPr>
              <w:jc w:val="center"/>
              <w:spacing w:before="16" w:after="16" w:line="200" w:lineRule="auto"/>
            </w:pPr>
            <w:r>
              <w:rPr>
                <w:rFonts w:ascii="Times New Roman" w:hAnsi="Times New Roman" w:cs="Times New Roman"/>
                <w:b w:val="0"/>
                <w:i w:val="0"/>
                <w:sz w:val="15"/>
              </w:rPr>
              <w:t>0.8388</w:t>
            </w:r>
          </w:p>
        </w:tc>
        <w:tc>
          <w:tcPr>
            <w:tcW w:w="623" w:type="dxa"/>
            <w:noWrap/>
          </w:tcPr>
          <w:p>
            <w:pPr>
              <w:jc w:val="center"/>
              <w:spacing w:before="16" w:after="16" w:line="200" w:lineRule="auto"/>
            </w:pPr>
            <w:r>
              <w:rPr>
                <w:rFonts w:ascii="Times New Roman" w:hAnsi="Times New Roman" w:cs="Times New Roman"/>
                <w:b w:val="0"/>
                <w:i w:val="0"/>
                <w:sz w:val="15"/>
              </w:rPr>
              <w:t>0.8311</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587" w:type="dxa"/>
          </w:tcPr>
          <w:p>
            <w:pPr>
              <w:jc w:val="left"/>
              <w:spacing w:before="16" w:after="16" w:line="200" w:lineRule="auto"/>
            </w:pPr>
            <w:r>
              <w:rPr>
                <w:rFonts w:ascii="Times New Roman" w:hAnsi="Times New Roman" w:cs="Times New Roman"/>
                <w:b w:val="0"/>
                <w:i w:val="0"/>
                <w:sz w:val="15"/>
              </w:rPr>
              <w:t>Logistic Regression</w:t>
            </w:r>
          </w:p>
        </w:tc>
        <w:tc>
          <w:tcPr>
            <w:tcW w:w="623" w:type="dxa"/>
            <w:noWrap/>
          </w:tcPr>
          <w:p>
            <w:pPr>
              <w:jc w:val="center"/>
              <w:spacing w:before="16" w:after="16" w:line="200" w:lineRule="auto"/>
            </w:pPr>
            <w:r>
              <w:rPr>
                <w:rFonts w:ascii="Times New Roman" w:hAnsi="Times New Roman" w:cs="Times New Roman"/>
                <w:b w:val="0"/>
                <w:i w:val="0"/>
                <w:sz w:val="15"/>
              </w:rPr>
              <w:t>0.8466</w:t>
            </w:r>
          </w:p>
        </w:tc>
        <w:tc>
          <w:tcPr>
            <w:tcW w:w="623" w:type="dxa"/>
            <w:noWrap/>
          </w:tcPr>
          <w:p>
            <w:pPr>
              <w:jc w:val="center"/>
              <w:spacing w:before="16" w:after="16" w:line="200" w:lineRule="auto"/>
            </w:pPr>
            <w:r>
              <w:rPr>
                <w:rFonts w:ascii="Times New Roman" w:hAnsi="Times New Roman" w:cs="Times New Roman"/>
                <w:b w:val="0"/>
                <w:i w:val="0"/>
                <w:sz w:val="15"/>
              </w:rPr>
              <w:t>0.8286</w:t>
            </w:r>
          </w:p>
        </w:tc>
        <w:tc>
          <w:tcPr>
            <w:tcW w:w="623" w:type="dxa"/>
            <w:noWrap/>
          </w:tcPr>
          <w:p>
            <w:pPr>
              <w:jc w:val="center"/>
              <w:spacing w:before="16" w:after="16" w:line="200" w:lineRule="auto"/>
            </w:pPr>
            <w:r>
              <w:rPr>
                <w:rFonts w:ascii="Times New Roman" w:hAnsi="Times New Roman" w:cs="Times New Roman"/>
                <w:b w:val="0"/>
                <w:i w:val="0"/>
                <w:sz w:val="15"/>
              </w:rPr>
              <w:t>0.8884</w:t>
            </w:r>
          </w:p>
        </w:tc>
        <w:tc>
          <w:tcPr>
            <w:tcW w:w="623" w:type="dxa"/>
            <w:noWrap/>
          </w:tcPr>
          <w:p>
            <w:pPr>
              <w:jc w:val="center"/>
              <w:spacing w:before="16" w:after="16" w:line="200" w:lineRule="auto"/>
            </w:pPr>
            <w:r>
              <w:rPr>
                <w:rFonts w:ascii="Times New Roman" w:hAnsi="Times New Roman" w:cs="Times New Roman"/>
                <w:b w:val="0"/>
                <w:i w:val="0"/>
                <w:sz w:val="15"/>
              </w:rPr>
              <w:t>0.8383</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587" w:type="dxa"/>
          </w:tcPr>
          <w:p>
            <w:pPr>
              <w:jc w:val="left"/>
              <w:spacing w:before="16" w:after="16" w:line="200" w:lineRule="auto"/>
            </w:pPr>
            <w:r>
              <w:rPr>
                <w:rFonts w:ascii="Times New Roman" w:hAnsi="Times New Roman" w:cs="Times New Roman"/>
                <w:b w:val="0"/>
                <w:i w:val="0"/>
                <w:sz w:val="15"/>
              </w:rPr>
              <w:t>Linear SVM (Balanced)</w:t>
            </w:r>
          </w:p>
        </w:tc>
        <w:tc>
          <w:tcPr>
            <w:tcW w:w="623" w:type="dxa"/>
            <w:noWrap/>
          </w:tcPr>
          <w:p>
            <w:pPr>
              <w:jc w:val="center"/>
              <w:spacing w:before="16" w:after="16" w:line="200" w:lineRule="auto"/>
            </w:pPr>
            <w:r>
              <w:rPr>
                <w:rFonts w:ascii="Times New Roman" w:hAnsi="Times New Roman" w:cs="Times New Roman"/>
                <w:b w:val="0"/>
                <w:i w:val="0"/>
                <w:sz w:val="15"/>
              </w:rPr>
              <w:t>0.8500</w:t>
            </w:r>
          </w:p>
        </w:tc>
        <w:tc>
          <w:tcPr>
            <w:tcW w:w="623" w:type="dxa"/>
            <w:noWrap/>
          </w:tcPr>
          <w:p>
            <w:pPr>
              <w:jc w:val="center"/>
              <w:spacing w:before="16" w:after="16" w:line="200" w:lineRule="auto"/>
            </w:pPr>
            <w:r>
              <w:rPr>
                <w:rFonts w:ascii="Times New Roman" w:hAnsi="Times New Roman" w:cs="Times New Roman"/>
                <w:b w:val="0"/>
                <w:i w:val="0"/>
                <w:sz w:val="15"/>
              </w:rPr>
              <w:t>0.8304</w:t>
            </w:r>
          </w:p>
        </w:tc>
        <w:tc>
          <w:tcPr>
            <w:tcW w:w="623" w:type="dxa"/>
            <w:noWrap/>
          </w:tcPr>
          <w:p>
            <w:pPr>
              <w:jc w:val="center"/>
              <w:spacing w:before="16" w:after="16" w:line="200" w:lineRule="auto"/>
            </w:pPr>
            <w:r>
              <w:rPr>
                <w:rFonts w:ascii="Times New Roman" w:hAnsi="Times New Roman" w:cs="Times New Roman"/>
                <w:b w:val="0"/>
                <w:i w:val="0"/>
                <w:sz w:val="15"/>
              </w:rPr>
              <w:t>0.8763</w:t>
            </w:r>
          </w:p>
        </w:tc>
        <w:tc>
          <w:tcPr>
            <w:tcW w:w="623" w:type="dxa"/>
            <w:noWrap/>
          </w:tcPr>
          <w:p>
            <w:pPr>
              <w:jc w:val="center"/>
              <w:spacing w:before="16" w:after="16" w:line="200" w:lineRule="auto"/>
            </w:pPr>
            <w:r>
              <w:rPr>
                <w:rFonts w:ascii="Times New Roman" w:hAnsi="Times New Roman" w:cs="Times New Roman"/>
                <w:b w:val="0"/>
                <w:i w:val="0"/>
                <w:sz w:val="15"/>
              </w:rPr>
              <w:t>0.8447</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587" w:type="dxa"/>
          </w:tcPr>
          <w:p>
            <w:pPr>
              <w:jc w:val="left"/>
              <w:spacing w:before="16" w:after="16" w:line="200" w:lineRule="auto"/>
            </w:pPr>
            <w:r>
              <w:rPr>
                <w:rFonts w:ascii="Times New Roman" w:hAnsi="Times New Roman" w:cs="Times New Roman"/>
                <w:b w:val="0"/>
                <w:i w:val="0"/>
                <w:sz w:val="15"/>
              </w:rPr>
              <w:t>MLP Neural Network</w:t>
            </w:r>
          </w:p>
        </w:tc>
        <w:tc>
          <w:tcPr>
            <w:tcW w:w="623" w:type="dxa"/>
            <w:noWrap/>
          </w:tcPr>
          <w:p>
            <w:pPr>
              <w:jc w:val="center"/>
              <w:spacing w:before="16" w:after="16" w:line="200" w:lineRule="auto"/>
            </w:pPr>
            <w:r>
              <w:rPr>
                <w:rFonts w:ascii="Times New Roman" w:hAnsi="Times New Roman" w:cs="Times New Roman"/>
                <w:b w:val="0"/>
                <w:i w:val="0"/>
                <w:sz w:val="15"/>
              </w:rPr>
              <w:t>0.8666</w:t>
            </w:r>
          </w:p>
        </w:tc>
        <w:tc>
          <w:tcPr>
            <w:tcW w:w="623" w:type="dxa"/>
            <w:noWrap/>
          </w:tcPr>
          <w:p>
            <w:pPr>
              <w:jc w:val="center"/>
              <w:spacing w:before="16" w:after="16" w:line="200" w:lineRule="auto"/>
            </w:pPr>
            <w:r>
              <w:rPr>
                <w:rFonts w:ascii="Times New Roman" w:hAnsi="Times New Roman" w:cs="Times New Roman"/>
                <w:b w:val="0"/>
                <w:i w:val="0"/>
                <w:sz w:val="15"/>
              </w:rPr>
              <w:t>0.8464</w:t>
            </w:r>
          </w:p>
        </w:tc>
        <w:tc>
          <w:tcPr>
            <w:tcW w:w="623" w:type="dxa"/>
            <w:noWrap/>
          </w:tcPr>
          <w:p>
            <w:pPr>
              <w:jc w:val="center"/>
              <w:spacing w:before="16" w:after="16" w:line="200" w:lineRule="auto"/>
            </w:pPr>
            <w:r>
              <w:rPr>
                <w:rFonts w:ascii="Times New Roman" w:hAnsi="Times New Roman" w:cs="Times New Roman"/>
                <w:b w:val="0"/>
                <w:i w:val="0"/>
                <w:sz w:val="15"/>
              </w:rPr>
              <w:t>0.8910</w:t>
            </w:r>
          </w:p>
        </w:tc>
        <w:tc>
          <w:tcPr>
            <w:tcW w:w="623" w:type="dxa"/>
            <w:noWrap/>
          </w:tcPr>
          <w:p>
            <w:pPr>
              <w:jc w:val="center"/>
              <w:spacing w:before="16" w:after="16" w:line="200" w:lineRule="auto"/>
            </w:pPr>
            <w:r>
              <w:rPr>
                <w:rFonts w:ascii="Times New Roman" w:hAnsi="Times New Roman" w:cs="Times New Roman"/>
                <w:b w:val="0"/>
                <w:i w:val="0"/>
                <w:sz w:val="15"/>
              </w:rPr>
              <w:t>0.8607</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587" w:type="dxa"/>
          </w:tcPr>
          <w:p>
            <w:pPr>
              <w:jc w:val="left"/>
              <w:spacing w:before="16" w:after="16" w:line="200" w:lineRule="auto"/>
            </w:pPr>
            <w:r>
              <w:rPr>
                <w:rFonts w:ascii="Times New Roman" w:hAnsi="Times New Roman" w:cs="Times New Roman"/>
                <w:b w:val="0"/>
                <w:i w:val="0"/>
                <w:sz w:val="15"/>
              </w:rPr>
              <w:t>HistGradientBoosting</w:t>
            </w:r>
          </w:p>
        </w:tc>
        <w:tc>
          <w:tcPr>
            <w:tcW w:w="623" w:type="dxa"/>
            <w:noWrap/>
          </w:tcPr>
          <w:p>
            <w:pPr>
              <w:jc w:val="center"/>
              <w:spacing w:before="16" w:after="16" w:line="200" w:lineRule="auto"/>
            </w:pPr>
            <w:r>
              <w:rPr>
                <w:rFonts w:ascii="Times New Roman" w:hAnsi="Times New Roman" w:cs="Times New Roman"/>
                <w:b w:val="0"/>
                <w:i w:val="0"/>
                <w:sz w:val="15"/>
              </w:rPr>
              <w:t>0.8266</w:t>
            </w:r>
          </w:p>
        </w:tc>
        <w:tc>
          <w:tcPr>
            <w:tcW w:w="623" w:type="dxa"/>
            <w:noWrap/>
          </w:tcPr>
          <w:p>
            <w:pPr>
              <w:jc w:val="center"/>
              <w:spacing w:before="16" w:after="16" w:line="200" w:lineRule="auto"/>
            </w:pPr>
            <w:r>
              <w:rPr>
                <w:rFonts w:ascii="Times New Roman" w:hAnsi="Times New Roman" w:cs="Times New Roman"/>
                <w:b w:val="0"/>
                <w:i w:val="0"/>
                <w:sz w:val="15"/>
              </w:rPr>
              <w:t>0.8161</w:t>
            </w:r>
          </w:p>
        </w:tc>
        <w:tc>
          <w:tcPr>
            <w:tcW w:w="623" w:type="dxa"/>
            <w:noWrap/>
          </w:tcPr>
          <w:p>
            <w:pPr>
              <w:jc w:val="center"/>
              <w:spacing w:before="16" w:after="16" w:line="200" w:lineRule="auto"/>
            </w:pPr>
            <w:r>
              <w:rPr>
                <w:rFonts w:ascii="Times New Roman" w:hAnsi="Times New Roman" w:cs="Times New Roman"/>
                <w:b w:val="0"/>
                <w:i w:val="0"/>
                <w:sz w:val="15"/>
              </w:rPr>
              <w:t>0.8712</w:t>
            </w:r>
          </w:p>
        </w:tc>
        <w:tc>
          <w:tcPr>
            <w:tcW w:w="623" w:type="dxa"/>
            <w:noWrap/>
          </w:tcPr>
          <w:p>
            <w:pPr>
              <w:jc w:val="center"/>
              <w:spacing w:before="16" w:after="16" w:line="200" w:lineRule="auto"/>
            </w:pPr>
            <w:r>
              <w:rPr>
                <w:rFonts w:ascii="Times New Roman" w:hAnsi="Times New Roman" w:cs="Times New Roman"/>
                <w:b w:val="0"/>
                <w:i w:val="0"/>
                <w:sz w:val="15"/>
              </w:rPr>
              <w:t>0.8116</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587" w:type="dxa"/>
          </w:tcPr>
          <w:p>
            <w:pPr>
              <w:jc w:val="left"/>
              <w:spacing w:before="16" w:after="16" w:line="200" w:lineRule="auto"/>
            </w:pPr>
            <w:r>
              <w:rPr>
                <w:rFonts w:ascii="Times New Roman" w:hAnsi="Times New Roman" w:cs="Times New Roman"/>
                <w:b/>
                <w:i w:val="0"/>
                <w:sz w:val="15"/>
              </w:rPr>
              <w:t>Random Forest (150T)</w:t>
            </w:r>
          </w:p>
        </w:tc>
        <w:tc>
          <w:tcPr>
            <w:tcW w:w="623" w:type="dxa"/>
            <w:noWrap/>
          </w:tcPr>
          <w:p>
            <w:pPr>
              <w:jc w:val="center"/>
              <w:spacing w:before="16" w:after="16" w:line="200" w:lineRule="auto"/>
            </w:pPr>
            <w:r>
              <w:rPr>
                <w:rFonts w:ascii="Times New Roman" w:hAnsi="Times New Roman" w:cs="Times New Roman"/>
                <w:b/>
                <w:i w:val="0"/>
                <w:sz w:val="15"/>
              </w:rPr>
              <w:t>0.8892</w:t>
            </w:r>
          </w:p>
        </w:tc>
        <w:tc>
          <w:tcPr>
            <w:tcW w:w="623" w:type="dxa"/>
            <w:noWrap/>
          </w:tcPr>
          <w:p>
            <w:pPr>
              <w:jc w:val="center"/>
              <w:spacing w:before="16" w:after="16" w:line="200" w:lineRule="auto"/>
            </w:pPr>
            <w:r>
              <w:rPr>
                <w:rFonts w:ascii="Times New Roman" w:hAnsi="Times New Roman" w:cs="Times New Roman"/>
                <w:b/>
                <w:i w:val="0"/>
                <w:sz w:val="15"/>
              </w:rPr>
              <w:t>0.8679</w:t>
            </w:r>
          </w:p>
        </w:tc>
        <w:tc>
          <w:tcPr>
            <w:tcW w:w="623" w:type="dxa"/>
            <w:noWrap/>
          </w:tcPr>
          <w:p>
            <w:pPr>
              <w:jc w:val="center"/>
              <w:spacing w:before="16" w:after="16" w:line="200" w:lineRule="auto"/>
            </w:pPr>
            <w:r>
              <w:rPr>
                <w:rFonts w:ascii="Times New Roman" w:hAnsi="Times New Roman" w:cs="Times New Roman"/>
                <w:b/>
                <w:i w:val="0"/>
                <w:sz w:val="15"/>
              </w:rPr>
              <w:t>0.9026</w:t>
            </w:r>
          </w:p>
        </w:tc>
        <w:tc>
          <w:tcPr>
            <w:tcW w:w="623" w:type="dxa"/>
            <w:noWrap/>
          </w:tcPr>
          <w:p>
            <w:pPr>
              <w:jc w:val="center"/>
              <w:spacing w:before="16" w:after="16" w:line="200" w:lineRule="auto"/>
            </w:pPr>
            <w:r>
              <w:rPr>
                <w:rFonts w:ascii="Times New Roman" w:hAnsi="Times New Roman" w:cs="Times New Roman"/>
                <w:b/>
                <w:i w:val="0"/>
                <w:sz w:val="15"/>
              </w:rPr>
              <w:t>0.8881</w:t>
            </w:r>
          </w:p>
        </w:tc>
        <w:tc>
          <w:tcPr>
            <w:tcW w:w="567" w:type="dxa"/>
            <w:noWrap/>
          </w:tcPr>
          <w:p>
            <w:pPr>
              <w:jc w:val="center"/>
              <w:spacing w:before="16" w:after="16" w:line="200" w:lineRule="auto"/>
            </w:pPr>
            <w:r>
              <w:rPr>
                <w:rFonts w:ascii="Times New Roman" w:hAnsi="Times New Roman" w:cs="Times New Roman"/>
                <w:b/>
                <w:i w:val="0"/>
                <w:sz w:val="15"/>
              </w:rPr>
              <w:t>0.00%</w:t>
            </w:r>
          </w:p>
        </w:tc>
      </w:tr>
    </w:tbl>
    <w:p>
      <w:pPr>
        <w:spacing w:before="0" w:after="40" w:line="100" w:lineRule="auto"/>
      </w:pPr>
    </w:p>
    <w:p>
      <w:pPr>
        <w:jc w:val="center"/>
        <w:spacing w:before="80" w:after="20" w:line="220" w:lineRule="auto"/>
      </w:pPr>
      <w:r>
        <w:drawing>
          <wp:inline xmlns:a="http://schemas.openxmlformats.org/drawingml/2006/main" xmlns:pic="http://schemas.openxmlformats.org/drawingml/2006/picture">
            <wp:extent cx="2736000" cy="145920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2736000" cy="1459200"/>
                    </a:xfrm>
                    <a:prstGeom prst="rect"/>
                  </pic:spPr>
                </pic:pic>
              </a:graphicData>
            </a:graphic>
          </wp:inline>
        </w:drawing>
      </w:r>
    </w:p>
    <w:p>
      <w:pPr>
        <w:jc w:val="center"/>
        <w:spacing w:before="0" w:after="80" w:line="210" w:lineRule="auto"/>
      </w:pPr>
      <w:r>
        <w:rPr>
          <w:rFonts w:ascii="Times New Roman" w:hAnsi="Times New Roman" w:cs="Times New Roman"/>
          <w:b w:val="0"/>
          <w:i/>
          <w:sz w:val="16"/>
        </w:rPr>
        <w:t>Fig. 2. Macro F1-score benchmark comparison across model architectures.</w:t>
      </w:r>
    </w:p>
    <w:p>
      <w:pPr>
        <w:jc w:val="left"/>
        <w:spacing w:before="100" w:after="35" w:line="240" w:lineRule="auto"/>
      </w:pPr>
      <w:r>
        <w:rPr>
          <w:rFonts w:ascii="Times New Roman" w:hAnsi="Times New Roman" w:cs="Times New Roman"/>
          <w:b/>
          <w:i/>
          <w:sz w:val="19"/>
        </w:rPr>
        <w:t>B.  Sequence-Level Cross-Validation &amp; Generalization</w:t>
      </w:r>
    </w:p>
    <w:p>
      <w:pPr>
        <w:jc w:val="both"/>
        <w:spacing w:before="0" w:after="50" w:line="240" w:lineRule="auto"/>
      </w:pPr>
      <w:r>
        <w:rPr>
          <w:rFonts w:ascii="Times New Roman" w:hAnsi="Times New Roman" w:cs="Times New Roman"/>
          <w:b w:val="0"/>
          <w:i w:val="0"/>
          <w:sz w:val="19"/>
        </w:rPr>
        <w:t>To verify generalization across diverse video environments, 6-Fold GroupKFold cross-validation was conducted across all 18 sequences (Table III). Random Forest achieved the highest cross-validation stability with a mean Macro F1 of 0.7400 (+- 0.1344) and 95.25% accuracy across video folds, followed by HistGradientBoosting at 0.7212 (+- 0.1281) and MLP at 0.7135 (+- 0.1235), confirming strong cross-video robustness.</w:t>
      </w:r>
    </w:p>
    <w:p>
      <w:pPr>
        <w:jc w:val="center"/>
        <w:spacing w:before="110" w:after="15" w:line="220" w:lineRule="auto"/>
      </w:pPr>
      <w:r>
        <w:rPr>
          <w:rFonts w:ascii="Times New Roman" w:hAnsi="Times New Roman" w:cs="Times New Roman"/>
          <w:b/>
          <w:i w:val="0"/>
          <w:sz w:val="17"/>
        </w:rPr>
        <w:t>TABLE III</w:t>
      </w:r>
    </w:p>
    <w:p>
      <w:pPr>
        <w:jc w:val="center"/>
        <w:spacing w:before="0" w:after="40" w:line="220" w:lineRule="auto"/>
      </w:pPr>
      <w:r>
        <w:rPr>
          <w:rFonts w:ascii="Times New Roman" w:hAnsi="Times New Roman" w:cs="Times New Roman"/>
          <w:b w:val="0"/>
          <w:i/>
          <w:sz w:val="16"/>
        </w:rPr>
        <w:t>6-FOLD SEQUENCE-LEVEL CROSS-VALIDATION RESULTS</w:t>
      </w:r>
    </w:p>
    <w:tbl>
      <w:tblPr>
        <w:tblW w:type="auto" w:w="0"/>
        <w:jc w:val="center"/>
        <w:tblLook w:firstColumn="1" w:firstRow="1" w:lastColumn="0" w:lastRow="0" w:noHBand="0" w:noVBand="1" w:val="04A0"/>
        <w:tblCellMar>
          <w:top w:w="30" w:type="dxa"/>
          <w:bottom w:w="30" w:type="dxa"/>
          <w:left w:w="35" w:type="dxa"/>
          <w:right w:w="35" w:type="dxa"/>
        </w:tblCellMar>
        <w:tblBorders>
          <w:top w:val="single" w:sz="8" w:space="0" w:color="000000"/>
          <w:bottom w:val="single" w:sz="8" w:space="0" w:color="000000"/>
          <w:insideH w:val="single" w:sz="4" w:space="0" w:color="D0D0D0"/>
          <w:left w:val="none"/>
          <w:right w:val="none"/>
          <w:insideV w:val="none"/>
        </w:tblBorders>
      </w:tblPr>
      <w:tblGrid>
        <w:gridCol w:w="2085"/>
        <w:gridCol w:w="2085"/>
        <w:gridCol w:w="2085"/>
        <w:gridCol w:w="2085"/>
        <w:gridCol w:w="2085"/>
      </w:tblGrid>
      <w:tr>
        <w:tc>
          <w:tcPr>
            <w:tcW w:w="1587" w:type="dxa"/>
          </w:tcPr>
          <w:p>
            <w:pPr>
              <w:jc w:val="center"/>
              <w:spacing w:before="20" w:after="20" w:line="200" w:lineRule="auto"/>
            </w:pPr>
            <w:r>
              <w:rPr>
                <w:rFonts w:ascii="Times New Roman" w:hAnsi="Times New Roman" w:cs="Times New Roman"/>
                <w:b/>
                <w:i w:val="0"/>
                <w:sz w:val="15"/>
              </w:rPr>
              <w:t>Model Architecture</w:t>
            </w:r>
          </w:p>
        </w:tc>
        <w:tc>
          <w:tcPr>
            <w:tcW w:w="963" w:type="dxa"/>
            <w:noWrap/>
          </w:tcPr>
          <w:p>
            <w:pPr>
              <w:jc w:val="center"/>
              <w:spacing w:before="20" w:after="20" w:line="200" w:lineRule="auto"/>
            </w:pPr>
            <w:r>
              <w:rPr>
                <w:rFonts w:ascii="Times New Roman" w:hAnsi="Times New Roman" w:cs="Times New Roman"/>
                <w:b/>
                <w:i w:val="0"/>
                <w:sz w:val="15"/>
              </w:rPr>
              <w:t>CV Macro F1</w:t>
            </w:r>
          </w:p>
        </w:tc>
        <w:tc>
          <w:tcPr>
            <w:tcW w:w="737" w:type="dxa"/>
            <w:noWrap/>
          </w:tcPr>
          <w:p>
            <w:pPr>
              <w:jc w:val="center"/>
              <w:spacing w:before="20" w:after="20" w:line="200" w:lineRule="auto"/>
            </w:pPr>
            <w:r>
              <w:rPr>
                <w:rFonts w:ascii="Times New Roman" w:hAnsi="Times New Roman" w:cs="Times New Roman"/>
                <w:b/>
                <w:i w:val="0"/>
                <w:sz w:val="15"/>
              </w:rPr>
              <w:t>CV Accuracy</w:t>
            </w:r>
          </w:p>
        </w:tc>
        <w:tc>
          <w:tcPr>
            <w:tcW w:w="737" w:type="dxa"/>
            <w:noWrap/>
          </w:tcPr>
          <w:p>
            <w:pPr>
              <w:jc w:val="center"/>
              <w:spacing w:before="20" w:after="20" w:line="200" w:lineRule="auto"/>
            </w:pPr>
            <w:r>
              <w:rPr>
                <w:rFonts w:ascii="Times New Roman" w:hAnsi="Times New Roman" w:cs="Times New Roman"/>
                <w:b/>
                <w:i w:val="0"/>
                <w:sz w:val="15"/>
              </w:rPr>
              <w:t>CV Precision</w:t>
            </w:r>
          </w:p>
        </w:tc>
        <w:tc>
          <w:tcPr>
            <w:tcW w:w="737" w:type="dxa"/>
            <w:noWrap/>
          </w:tcPr>
          <w:p>
            <w:pPr>
              <w:jc w:val="center"/>
              <w:spacing w:before="20" w:after="20" w:line="200" w:lineRule="auto"/>
            </w:pPr>
            <w:r>
              <w:rPr>
                <w:rFonts w:ascii="Times New Roman" w:hAnsi="Times New Roman" w:cs="Times New Roman"/>
                <w:b/>
                <w:i w:val="0"/>
                <w:sz w:val="15"/>
              </w:rPr>
              <w:t>CV Recall</w:t>
            </w:r>
          </w:p>
        </w:tc>
      </w:tr>
      <w:tr>
        <w:tc>
          <w:tcPr>
            <w:tcW w:w="1587" w:type="dxa"/>
          </w:tcPr>
          <w:p>
            <w:pPr>
              <w:jc w:val="left"/>
              <w:spacing w:before="16" w:after="16" w:line="200" w:lineRule="auto"/>
            </w:pPr>
            <w:r>
              <w:rPr>
                <w:rFonts w:ascii="Times New Roman" w:hAnsi="Times New Roman" w:cs="Times New Roman"/>
                <w:b w:val="0"/>
                <w:i w:val="0"/>
                <w:sz w:val="15"/>
              </w:rPr>
              <w:t>Logistic Regression</w:t>
            </w:r>
          </w:p>
        </w:tc>
        <w:tc>
          <w:tcPr>
            <w:tcW w:w="963" w:type="dxa"/>
            <w:noWrap/>
          </w:tcPr>
          <w:p>
            <w:pPr>
              <w:jc w:val="center"/>
              <w:spacing w:before="16" w:after="16" w:line="200" w:lineRule="auto"/>
            </w:pPr>
            <w:r>
              <w:rPr>
                <w:rFonts w:ascii="Times New Roman" w:hAnsi="Times New Roman" w:cs="Times New Roman"/>
                <w:b w:val="0"/>
                <w:i w:val="0"/>
                <w:sz w:val="15"/>
              </w:rPr>
              <w:t>0.6876 +- 0.11</w:t>
            </w:r>
          </w:p>
        </w:tc>
        <w:tc>
          <w:tcPr>
            <w:tcW w:w="737" w:type="dxa"/>
            <w:noWrap/>
          </w:tcPr>
          <w:p>
            <w:pPr>
              <w:jc w:val="center"/>
              <w:spacing w:before="16" w:after="16" w:line="200" w:lineRule="auto"/>
            </w:pPr>
            <w:r>
              <w:rPr>
                <w:rFonts w:ascii="Times New Roman" w:hAnsi="Times New Roman" w:cs="Times New Roman"/>
                <w:b w:val="0"/>
                <w:i w:val="0"/>
                <w:sz w:val="15"/>
              </w:rPr>
              <w:t>0.9175</w:t>
            </w:r>
          </w:p>
        </w:tc>
        <w:tc>
          <w:tcPr>
            <w:tcW w:w="737" w:type="dxa"/>
            <w:noWrap/>
          </w:tcPr>
          <w:p>
            <w:pPr>
              <w:jc w:val="center"/>
              <w:spacing w:before="16" w:after="16" w:line="200" w:lineRule="auto"/>
            </w:pPr>
            <w:r>
              <w:rPr>
                <w:rFonts w:ascii="Times New Roman" w:hAnsi="Times New Roman" w:cs="Times New Roman"/>
                <w:b w:val="0"/>
                <w:i w:val="0"/>
                <w:sz w:val="15"/>
              </w:rPr>
              <w:t>0.7271</w:t>
            </w:r>
          </w:p>
        </w:tc>
        <w:tc>
          <w:tcPr>
            <w:tcW w:w="737" w:type="dxa"/>
            <w:noWrap/>
          </w:tcPr>
          <w:p>
            <w:pPr>
              <w:jc w:val="center"/>
              <w:spacing w:before="16" w:after="16" w:line="200" w:lineRule="auto"/>
            </w:pPr>
            <w:r>
              <w:rPr>
                <w:rFonts w:ascii="Times New Roman" w:hAnsi="Times New Roman" w:cs="Times New Roman"/>
                <w:b w:val="0"/>
                <w:i w:val="0"/>
                <w:sz w:val="15"/>
              </w:rPr>
              <w:t>0.6943</w:t>
            </w:r>
          </w:p>
        </w:tc>
      </w:tr>
      <w:tr>
        <w:tc>
          <w:tcPr>
            <w:tcW w:w="1587" w:type="dxa"/>
          </w:tcPr>
          <w:p>
            <w:pPr>
              <w:jc w:val="left"/>
              <w:spacing w:before="16" w:after="16" w:line="200" w:lineRule="auto"/>
            </w:pPr>
            <w:r>
              <w:rPr>
                <w:rFonts w:ascii="Times New Roman" w:hAnsi="Times New Roman" w:cs="Times New Roman"/>
                <w:b w:val="0"/>
                <w:i w:val="0"/>
                <w:sz w:val="15"/>
              </w:rPr>
              <w:t>Gradient Boosting</w:t>
            </w:r>
          </w:p>
        </w:tc>
        <w:tc>
          <w:tcPr>
            <w:tcW w:w="963" w:type="dxa"/>
            <w:noWrap/>
          </w:tcPr>
          <w:p>
            <w:pPr>
              <w:jc w:val="center"/>
              <w:spacing w:before="16" w:after="16" w:line="200" w:lineRule="auto"/>
            </w:pPr>
            <w:r>
              <w:rPr>
                <w:rFonts w:ascii="Times New Roman" w:hAnsi="Times New Roman" w:cs="Times New Roman"/>
                <w:b w:val="0"/>
                <w:i w:val="0"/>
                <w:sz w:val="15"/>
              </w:rPr>
              <w:t>0.6948 +- 0.10</w:t>
            </w:r>
          </w:p>
        </w:tc>
        <w:tc>
          <w:tcPr>
            <w:tcW w:w="737" w:type="dxa"/>
            <w:noWrap/>
          </w:tcPr>
          <w:p>
            <w:pPr>
              <w:jc w:val="center"/>
              <w:spacing w:before="16" w:after="16" w:line="200" w:lineRule="auto"/>
            </w:pPr>
            <w:r>
              <w:rPr>
                <w:rFonts w:ascii="Times New Roman" w:hAnsi="Times New Roman" w:cs="Times New Roman"/>
                <w:b w:val="0"/>
                <w:i w:val="0"/>
                <w:sz w:val="15"/>
              </w:rPr>
              <w:t>0.9097</w:t>
            </w:r>
          </w:p>
        </w:tc>
        <w:tc>
          <w:tcPr>
            <w:tcW w:w="737" w:type="dxa"/>
            <w:noWrap/>
          </w:tcPr>
          <w:p>
            <w:pPr>
              <w:jc w:val="center"/>
              <w:spacing w:before="16" w:after="16" w:line="200" w:lineRule="auto"/>
            </w:pPr>
            <w:r>
              <w:rPr>
                <w:rFonts w:ascii="Times New Roman" w:hAnsi="Times New Roman" w:cs="Times New Roman"/>
                <w:b w:val="0"/>
                <w:i w:val="0"/>
                <w:sz w:val="15"/>
              </w:rPr>
              <w:t>0.7249</w:t>
            </w:r>
          </w:p>
        </w:tc>
        <w:tc>
          <w:tcPr>
            <w:tcW w:w="737" w:type="dxa"/>
            <w:noWrap/>
          </w:tcPr>
          <w:p>
            <w:pPr>
              <w:jc w:val="center"/>
              <w:spacing w:before="16" w:after="16" w:line="200" w:lineRule="auto"/>
            </w:pPr>
            <w:r>
              <w:rPr>
                <w:rFonts w:ascii="Times New Roman" w:hAnsi="Times New Roman" w:cs="Times New Roman"/>
                <w:b w:val="0"/>
                <w:i w:val="0"/>
                <w:sz w:val="15"/>
              </w:rPr>
              <w:t>0.6872</w:t>
            </w:r>
          </w:p>
        </w:tc>
      </w:tr>
      <w:tr>
        <w:tc>
          <w:tcPr>
            <w:tcW w:w="1587" w:type="dxa"/>
          </w:tcPr>
          <w:p>
            <w:pPr>
              <w:jc w:val="left"/>
              <w:spacing w:before="16" w:after="16" w:line="200" w:lineRule="auto"/>
            </w:pPr>
            <w:r>
              <w:rPr>
                <w:rFonts w:ascii="Times New Roman" w:hAnsi="Times New Roman" w:cs="Times New Roman"/>
                <w:b w:val="0"/>
                <w:i w:val="0"/>
                <w:sz w:val="15"/>
              </w:rPr>
              <w:t>Linear SVM</w:t>
            </w:r>
          </w:p>
        </w:tc>
        <w:tc>
          <w:tcPr>
            <w:tcW w:w="963" w:type="dxa"/>
            <w:noWrap/>
          </w:tcPr>
          <w:p>
            <w:pPr>
              <w:jc w:val="center"/>
              <w:spacing w:before="16" w:after="16" w:line="200" w:lineRule="auto"/>
            </w:pPr>
            <w:r>
              <w:rPr>
                <w:rFonts w:ascii="Times New Roman" w:hAnsi="Times New Roman" w:cs="Times New Roman"/>
                <w:b w:val="0"/>
                <w:i w:val="0"/>
                <w:sz w:val="15"/>
              </w:rPr>
              <w:t>0.7063 +- 0.11</w:t>
            </w:r>
          </w:p>
        </w:tc>
        <w:tc>
          <w:tcPr>
            <w:tcW w:w="737" w:type="dxa"/>
            <w:noWrap/>
          </w:tcPr>
          <w:p>
            <w:pPr>
              <w:jc w:val="center"/>
              <w:spacing w:before="16" w:after="16" w:line="200" w:lineRule="auto"/>
            </w:pPr>
            <w:r>
              <w:rPr>
                <w:rFonts w:ascii="Times New Roman" w:hAnsi="Times New Roman" w:cs="Times New Roman"/>
                <w:b w:val="0"/>
                <w:i w:val="0"/>
                <w:sz w:val="15"/>
              </w:rPr>
              <w:t>0.9239</w:t>
            </w:r>
          </w:p>
        </w:tc>
        <w:tc>
          <w:tcPr>
            <w:tcW w:w="737" w:type="dxa"/>
            <w:noWrap/>
          </w:tcPr>
          <w:p>
            <w:pPr>
              <w:jc w:val="center"/>
              <w:spacing w:before="16" w:after="16" w:line="200" w:lineRule="auto"/>
            </w:pPr>
            <w:r>
              <w:rPr>
                <w:rFonts w:ascii="Times New Roman" w:hAnsi="Times New Roman" w:cs="Times New Roman"/>
                <w:b w:val="0"/>
                <w:i w:val="0"/>
                <w:sz w:val="15"/>
              </w:rPr>
              <w:t>0.7337</w:t>
            </w:r>
          </w:p>
        </w:tc>
        <w:tc>
          <w:tcPr>
            <w:tcW w:w="737" w:type="dxa"/>
            <w:noWrap/>
          </w:tcPr>
          <w:p>
            <w:pPr>
              <w:jc w:val="center"/>
              <w:spacing w:before="16" w:after="16" w:line="200" w:lineRule="auto"/>
            </w:pPr>
            <w:r>
              <w:rPr>
                <w:rFonts w:ascii="Times New Roman" w:hAnsi="Times New Roman" w:cs="Times New Roman"/>
                <w:b w:val="0"/>
                <w:i w:val="0"/>
                <w:sz w:val="15"/>
              </w:rPr>
              <w:t>0.7015</w:t>
            </w:r>
          </w:p>
        </w:tc>
      </w:tr>
      <w:tr>
        <w:tc>
          <w:tcPr>
            <w:tcW w:w="1587" w:type="dxa"/>
          </w:tcPr>
          <w:p>
            <w:pPr>
              <w:jc w:val="left"/>
              <w:spacing w:before="16" w:after="16" w:line="200" w:lineRule="auto"/>
            </w:pPr>
            <w:r>
              <w:rPr>
                <w:rFonts w:ascii="Times New Roman" w:hAnsi="Times New Roman" w:cs="Times New Roman"/>
                <w:b w:val="0"/>
                <w:i w:val="0"/>
                <w:sz w:val="15"/>
              </w:rPr>
              <w:t>MLP Neural Network</w:t>
            </w:r>
          </w:p>
        </w:tc>
        <w:tc>
          <w:tcPr>
            <w:tcW w:w="963" w:type="dxa"/>
            <w:noWrap/>
          </w:tcPr>
          <w:p>
            <w:pPr>
              <w:jc w:val="center"/>
              <w:spacing w:before="16" w:after="16" w:line="200" w:lineRule="auto"/>
            </w:pPr>
            <w:r>
              <w:rPr>
                <w:rFonts w:ascii="Times New Roman" w:hAnsi="Times New Roman" w:cs="Times New Roman"/>
                <w:b w:val="0"/>
                <w:i w:val="0"/>
                <w:sz w:val="15"/>
              </w:rPr>
              <w:t>0.7135 +- 0.12</w:t>
            </w:r>
          </w:p>
        </w:tc>
        <w:tc>
          <w:tcPr>
            <w:tcW w:w="737" w:type="dxa"/>
            <w:noWrap/>
          </w:tcPr>
          <w:p>
            <w:pPr>
              <w:jc w:val="center"/>
              <w:spacing w:before="16" w:after="16" w:line="200" w:lineRule="auto"/>
            </w:pPr>
            <w:r>
              <w:rPr>
                <w:rFonts w:ascii="Times New Roman" w:hAnsi="Times New Roman" w:cs="Times New Roman"/>
                <w:b w:val="0"/>
                <w:i w:val="0"/>
                <w:sz w:val="15"/>
              </w:rPr>
              <w:t>0.9219</w:t>
            </w:r>
          </w:p>
        </w:tc>
        <w:tc>
          <w:tcPr>
            <w:tcW w:w="737" w:type="dxa"/>
            <w:noWrap/>
          </w:tcPr>
          <w:p>
            <w:pPr>
              <w:jc w:val="center"/>
              <w:spacing w:before="16" w:after="16" w:line="200" w:lineRule="auto"/>
            </w:pPr>
            <w:r>
              <w:rPr>
                <w:rFonts w:ascii="Times New Roman" w:hAnsi="Times New Roman" w:cs="Times New Roman"/>
                <w:b w:val="0"/>
                <w:i w:val="0"/>
                <w:sz w:val="15"/>
              </w:rPr>
              <w:t>0.7365</w:t>
            </w:r>
          </w:p>
        </w:tc>
        <w:tc>
          <w:tcPr>
            <w:tcW w:w="737" w:type="dxa"/>
            <w:noWrap/>
          </w:tcPr>
          <w:p>
            <w:pPr>
              <w:jc w:val="center"/>
              <w:spacing w:before="16" w:after="16" w:line="200" w:lineRule="auto"/>
            </w:pPr>
            <w:r>
              <w:rPr>
                <w:rFonts w:ascii="Times New Roman" w:hAnsi="Times New Roman" w:cs="Times New Roman"/>
                <w:b w:val="0"/>
                <w:i w:val="0"/>
                <w:sz w:val="15"/>
              </w:rPr>
              <w:t>0.7046</w:t>
            </w:r>
          </w:p>
        </w:tc>
      </w:tr>
      <w:tr>
        <w:tc>
          <w:tcPr>
            <w:tcW w:w="1587" w:type="dxa"/>
          </w:tcPr>
          <w:p>
            <w:pPr>
              <w:jc w:val="left"/>
              <w:spacing w:before="16" w:after="16" w:line="200" w:lineRule="auto"/>
            </w:pPr>
            <w:r>
              <w:rPr>
                <w:rFonts w:ascii="Times New Roman" w:hAnsi="Times New Roman" w:cs="Times New Roman"/>
                <w:b w:val="0"/>
                <w:i w:val="0"/>
                <w:sz w:val="15"/>
              </w:rPr>
              <w:t>HistGradientBoosting</w:t>
            </w:r>
          </w:p>
        </w:tc>
        <w:tc>
          <w:tcPr>
            <w:tcW w:w="963" w:type="dxa"/>
            <w:noWrap/>
          </w:tcPr>
          <w:p>
            <w:pPr>
              <w:jc w:val="center"/>
              <w:spacing w:before="16" w:after="16" w:line="200" w:lineRule="auto"/>
            </w:pPr>
            <w:r>
              <w:rPr>
                <w:rFonts w:ascii="Times New Roman" w:hAnsi="Times New Roman" w:cs="Times New Roman"/>
                <w:b w:val="0"/>
                <w:i w:val="0"/>
                <w:sz w:val="15"/>
              </w:rPr>
              <w:t>0.7212 +- 0.12</w:t>
            </w:r>
          </w:p>
        </w:tc>
        <w:tc>
          <w:tcPr>
            <w:tcW w:w="737" w:type="dxa"/>
            <w:noWrap/>
          </w:tcPr>
          <w:p>
            <w:pPr>
              <w:jc w:val="center"/>
              <w:spacing w:before="16" w:after="16" w:line="200" w:lineRule="auto"/>
            </w:pPr>
            <w:r>
              <w:rPr>
                <w:rFonts w:ascii="Times New Roman" w:hAnsi="Times New Roman" w:cs="Times New Roman"/>
                <w:b w:val="0"/>
                <w:i w:val="0"/>
                <w:sz w:val="15"/>
              </w:rPr>
              <w:t>0.9300</w:t>
            </w:r>
          </w:p>
        </w:tc>
        <w:tc>
          <w:tcPr>
            <w:tcW w:w="737" w:type="dxa"/>
            <w:noWrap/>
          </w:tcPr>
          <w:p>
            <w:pPr>
              <w:jc w:val="center"/>
              <w:spacing w:before="16" w:after="16" w:line="200" w:lineRule="auto"/>
            </w:pPr>
            <w:r>
              <w:rPr>
                <w:rFonts w:ascii="Times New Roman" w:hAnsi="Times New Roman" w:cs="Times New Roman"/>
                <w:b w:val="0"/>
                <w:i w:val="0"/>
                <w:sz w:val="15"/>
              </w:rPr>
              <w:t>0.7399</w:t>
            </w:r>
          </w:p>
        </w:tc>
        <w:tc>
          <w:tcPr>
            <w:tcW w:w="737" w:type="dxa"/>
            <w:noWrap/>
          </w:tcPr>
          <w:p>
            <w:pPr>
              <w:jc w:val="center"/>
              <w:spacing w:before="16" w:after="16" w:line="200" w:lineRule="auto"/>
            </w:pPr>
            <w:r>
              <w:rPr>
                <w:rFonts w:ascii="Times New Roman" w:hAnsi="Times New Roman" w:cs="Times New Roman"/>
                <w:b w:val="0"/>
                <w:i w:val="0"/>
                <w:sz w:val="15"/>
              </w:rPr>
              <w:t>0.7138</w:t>
            </w:r>
          </w:p>
        </w:tc>
      </w:tr>
      <w:tr>
        <w:tc>
          <w:tcPr>
            <w:tcW w:w="1587" w:type="dxa"/>
          </w:tcPr>
          <w:p>
            <w:pPr>
              <w:jc w:val="left"/>
              <w:spacing w:before="16" w:after="16" w:line="200" w:lineRule="auto"/>
            </w:pPr>
            <w:r>
              <w:rPr>
                <w:rFonts w:ascii="Times New Roman" w:hAnsi="Times New Roman" w:cs="Times New Roman"/>
                <w:b/>
                <w:i w:val="0"/>
                <w:sz w:val="15"/>
              </w:rPr>
              <w:t>Random Forest</w:t>
            </w:r>
          </w:p>
        </w:tc>
        <w:tc>
          <w:tcPr>
            <w:tcW w:w="963" w:type="dxa"/>
            <w:noWrap/>
          </w:tcPr>
          <w:p>
            <w:pPr>
              <w:jc w:val="center"/>
              <w:spacing w:before="16" w:after="16" w:line="200" w:lineRule="auto"/>
            </w:pPr>
            <w:r>
              <w:rPr>
                <w:rFonts w:ascii="Times New Roman" w:hAnsi="Times New Roman" w:cs="Times New Roman"/>
                <w:b/>
                <w:i w:val="0"/>
                <w:sz w:val="15"/>
              </w:rPr>
              <w:t>0.7400 +- 0.13</w:t>
            </w:r>
          </w:p>
        </w:tc>
        <w:tc>
          <w:tcPr>
            <w:tcW w:w="737" w:type="dxa"/>
            <w:noWrap/>
          </w:tcPr>
          <w:p>
            <w:pPr>
              <w:jc w:val="center"/>
              <w:spacing w:before="16" w:after="16" w:line="200" w:lineRule="auto"/>
            </w:pPr>
            <w:r>
              <w:rPr>
                <w:rFonts w:ascii="Times New Roman" w:hAnsi="Times New Roman" w:cs="Times New Roman"/>
                <w:b/>
                <w:i w:val="0"/>
                <w:sz w:val="15"/>
              </w:rPr>
              <w:t>0.9525</w:t>
            </w:r>
          </w:p>
        </w:tc>
        <w:tc>
          <w:tcPr>
            <w:tcW w:w="737" w:type="dxa"/>
            <w:noWrap/>
          </w:tcPr>
          <w:p>
            <w:pPr>
              <w:jc w:val="center"/>
              <w:spacing w:before="16" w:after="16" w:line="200" w:lineRule="auto"/>
            </w:pPr>
            <w:r>
              <w:rPr>
                <w:rFonts w:ascii="Times New Roman" w:hAnsi="Times New Roman" w:cs="Times New Roman"/>
                <w:b/>
                <w:i w:val="0"/>
                <w:sz w:val="15"/>
              </w:rPr>
              <w:t>0.7549</w:t>
            </w:r>
          </w:p>
        </w:tc>
        <w:tc>
          <w:tcPr>
            <w:tcW w:w="737" w:type="dxa"/>
            <w:noWrap/>
          </w:tcPr>
          <w:p>
            <w:pPr>
              <w:jc w:val="center"/>
              <w:spacing w:before="16" w:after="16" w:line="200" w:lineRule="auto"/>
            </w:pPr>
            <w:r>
              <w:rPr>
                <w:rFonts w:ascii="Times New Roman" w:hAnsi="Times New Roman" w:cs="Times New Roman"/>
                <w:b/>
                <w:i w:val="0"/>
                <w:sz w:val="15"/>
              </w:rPr>
              <w:t>0.7335</w:t>
            </w:r>
          </w:p>
        </w:tc>
      </w:tr>
    </w:tbl>
    <w:p>
      <w:pPr>
        <w:spacing w:before="0" w:after="40" w:line="100" w:lineRule="auto"/>
      </w:pPr>
    </w:p>
    <w:p>
      <w:pPr>
        <w:jc w:val="left"/>
        <w:spacing w:before="100" w:after="35" w:line="240" w:lineRule="auto"/>
      </w:pPr>
      <w:r>
        <w:rPr>
          <w:rFonts w:ascii="Times New Roman" w:hAnsi="Times New Roman" w:cs="Times New Roman"/>
          <w:b/>
          <w:i/>
          <w:sz w:val="19"/>
        </w:rPr>
        <w:t>C.  Feature Ablation Progression</w:t>
      </w:r>
    </w:p>
    <w:p>
      <w:pPr>
        <w:jc w:val="both"/>
        <w:spacing w:before="0" w:after="50" w:line="240" w:lineRule="auto"/>
      </w:pPr>
      <w:r>
        <w:rPr>
          <w:rFonts w:ascii="Times New Roman" w:hAnsi="Times New Roman" w:cs="Times New Roman"/>
          <w:b w:val="0"/>
          <w:i w:val="0"/>
          <w:sz w:val="19"/>
        </w:rPr>
        <w:t>Table IV documents the incremental value of each architectural component. Progressing from single-modality density (0.4427 F1) to the full multi-scale temporal framework boosts the Macro F1 score to 0.8959 and classification accuracy to 87.68%.</w:t>
      </w:r>
    </w:p>
    <w:p>
      <w:pPr>
        <w:jc w:val="center"/>
        <w:spacing w:before="110" w:after="15" w:line="220" w:lineRule="auto"/>
      </w:pPr>
      <w:r>
        <w:rPr>
          <w:rFonts w:ascii="Times New Roman" w:hAnsi="Times New Roman" w:cs="Times New Roman"/>
          <w:b/>
          <w:i w:val="0"/>
          <w:sz w:val="17"/>
        </w:rPr>
        <w:t>TABLE IV</w:t>
      </w:r>
    </w:p>
    <w:p>
      <w:pPr>
        <w:jc w:val="center"/>
        <w:spacing w:before="0" w:after="40" w:line="220" w:lineRule="auto"/>
      </w:pPr>
      <w:r>
        <w:rPr>
          <w:rFonts w:ascii="Times New Roman" w:hAnsi="Times New Roman" w:cs="Times New Roman"/>
          <w:b w:val="0"/>
          <w:i/>
          <w:sz w:val="16"/>
        </w:rPr>
        <w:t>FEATURE ABLATION PROGRESSION ACROSS CONFIGURATIONS</w:t>
      </w:r>
    </w:p>
    <w:tbl>
      <w:tblPr>
        <w:tblW w:type="auto" w:w="0"/>
        <w:jc w:val="center"/>
        <w:tblLook w:firstColumn="1" w:firstRow="1" w:lastColumn="0" w:lastRow="0" w:noHBand="0" w:noVBand="1" w:val="04A0"/>
        <w:tblCellMar>
          <w:top w:w="30" w:type="dxa"/>
          <w:bottom w:w="30" w:type="dxa"/>
          <w:left w:w="35" w:type="dxa"/>
          <w:right w:w="35" w:type="dxa"/>
        </w:tblCellMar>
        <w:tblBorders>
          <w:top w:val="single" w:sz="8" w:space="0" w:color="000000"/>
          <w:bottom w:val="single" w:sz="8" w:space="0" w:color="000000"/>
          <w:insideH w:val="single" w:sz="4" w:space="0" w:color="D0D0D0"/>
          <w:left w:val="none"/>
          <w:right w:val="none"/>
          <w:insideV w:val="none"/>
        </w:tblBorders>
      </w:tblPr>
      <w:tblGrid>
        <w:gridCol w:w="1489"/>
        <w:gridCol w:w="1489"/>
        <w:gridCol w:w="1489"/>
        <w:gridCol w:w="1489"/>
        <w:gridCol w:w="1489"/>
        <w:gridCol w:w="1489"/>
        <w:gridCol w:w="1489"/>
      </w:tblGrid>
      <w:tr>
        <w:tc>
          <w:tcPr>
            <w:tcW w:w="1474" w:type="dxa"/>
          </w:tcPr>
          <w:p>
            <w:pPr>
              <w:jc w:val="center"/>
              <w:spacing w:before="20" w:after="20" w:line="200" w:lineRule="auto"/>
            </w:pPr>
            <w:r>
              <w:rPr>
                <w:rFonts w:ascii="Times New Roman" w:hAnsi="Times New Roman" w:cs="Times New Roman"/>
                <w:b/>
                <w:i w:val="0"/>
                <w:sz w:val="15"/>
              </w:rPr>
              <w:t>Ablation Configuration</w:t>
            </w:r>
          </w:p>
        </w:tc>
        <w:tc>
          <w:tcPr>
            <w:tcW w:w="396" w:type="dxa"/>
            <w:noWrap/>
          </w:tcPr>
          <w:p>
            <w:pPr>
              <w:jc w:val="center"/>
              <w:spacing w:before="20" w:after="20" w:line="200" w:lineRule="auto"/>
            </w:pPr>
            <w:r>
              <w:rPr>
                <w:rFonts w:ascii="Times New Roman" w:hAnsi="Times New Roman" w:cs="Times New Roman"/>
                <w:b/>
                <w:i w:val="0"/>
                <w:sz w:val="15"/>
              </w:rPr>
              <w:t>Feats</w:t>
            </w:r>
          </w:p>
        </w:tc>
        <w:tc>
          <w:tcPr>
            <w:tcW w:w="567" w:type="dxa"/>
            <w:noWrap/>
          </w:tcPr>
          <w:p>
            <w:pPr>
              <w:jc w:val="center"/>
              <w:spacing w:before="20" w:after="20" w:line="200" w:lineRule="auto"/>
            </w:pPr>
            <w:r>
              <w:rPr>
                <w:rFonts w:ascii="Times New Roman" w:hAnsi="Times New Roman" w:cs="Times New Roman"/>
                <w:b/>
                <w:i w:val="0"/>
                <w:sz w:val="15"/>
              </w:rPr>
              <w:t>Val F1</w:t>
            </w:r>
          </w:p>
        </w:tc>
        <w:tc>
          <w:tcPr>
            <w:tcW w:w="567" w:type="dxa"/>
            <w:noWrap/>
          </w:tcPr>
          <w:p>
            <w:pPr>
              <w:jc w:val="center"/>
              <w:spacing w:before="20" w:after="20" w:line="200" w:lineRule="auto"/>
            </w:pPr>
            <w:r>
              <w:rPr>
                <w:rFonts w:ascii="Times New Roman" w:hAnsi="Times New Roman" w:cs="Times New Roman"/>
                <w:b/>
                <w:i w:val="0"/>
                <w:sz w:val="15"/>
              </w:rPr>
              <w:t>Test F1</w:t>
            </w:r>
          </w:p>
        </w:tc>
        <w:tc>
          <w:tcPr>
            <w:tcW w:w="567" w:type="dxa"/>
            <w:noWrap/>
          </w:tcPr>
          <w:p>
            <w:pPr>
              <w:jc w:val="center"/>
              <w:spacing w:before="20" w:after="20" w:line="200" w:lineRule="auto"/>
            </w:pPr>
            <w:r>
              <w:rPr>
                <w:rFonts w:ascii="Times New Roman" w:hAnsi="Times New Roman" w:cs="Times New Roman"/>
                <w:b/>
                <w:i w:val="0"/>
                <w:sz w:val="15"/>
              </w:rPr>
              <w:t>Test Acc</w:t>
            </w:r>
          </w:p>
        </w:tc>
        <w:tc>
          <w:tcPr>
            <w:tcW w:w="567" w:type="dxa"/>
            <w:noWrap/>
          </w:tcPr>
          <w:p>
            <w:pPr>
              <w:jc w:val="center"/>
              <w:spacing w:before="20" w:after="20" w:line="200" w:lineRule="auto"/>
            </w:pPr>
            <w:r>
              <w:rPr>
                <w:rFonts w:ascii="Times New Roman" w:hAnsi="Times New Roman" w:cs="Times New Roman"/>
                <w:b/>
                <w:i w:val="0"/>
                <w:sz w:val="15"/>
              </w:rPr>
              <w:t>Test Prec</w:t>
            </w:r>
          </w:p>
        </w:tc>
        <w:tc>
          <w:tcPr>
            <w:tcW w:w="567" w:type="dxa"/>
            <w:noWrap/>
          </w:tcPr>
          <w:p>
            <w:pPr>
              <w:jc w:val="center"/>
              <w:spacing w:before="20" w:after="20" w:line="200" w:lineRule="auto"/>
            </w:pPr>
            <w:r>
              <w:rPr>
                <w:rFonts w:ascii="Times New Roman" w:hAnsi="Times New Roman" w:cs="Times New Roman"/>
                <w:b/>
                <w:i w:val="0"/>
                <w:sz w:val="15"/>
              </w:rPr>
              <w:t>Test Rec</w:t>
            </w:r>
          </w:p>
        </w:tc>
      </w:tr>
      <w:tr>
        <w:tc>
          <w:tcPr>
            <w:tcW w:w="1474" w:type="dxa"/>
          </w:tcPr>
          <w:p>
            <w:pPr>
              <w:jc w:val="left"/>
              <w:spacing w:before="16" w:after="16" w:line="200" w:lineRule="auto"/>
            </w:pPr>
            <w:r>
              <w:rPr>
                <w:rFonts w:ascii="Times New Roman" w:hAnsi="Times New Roman" w:cs="Times New Roman"/>
                <w:b w:val="0"/>
                <w:i w:val="0"/>
                <w:sz w:val="15"/>
              </w:rPr>
              <w:t>Config A: Density Only</w:t>
            </w:r>
          </w:p>
        </w:tc>
        <w:tc>
          <w:tcPr>
            <w:tcW w:w="396" w:type="dxa"/>
            <w:noWrap/>
          </w:tcPr>
          <w:p>
            <w:pPr>
              <w:jc w:val="center"/>
              <w:spacing w:before="16" w:after="16" w:line="200" w:lineRule="auto"/>
            </w:pPr>
            <w:r>
              <w:rPr>
                <w:rFonts w:ascii="Times New Roman" w:hAnsi="Times New Roman" w:cs="Times New Roman"/>
                <w:b w:val="0"/>
                <w:i w:val="0"/>
                <w:sz w:val="15"/>
              </w:rPr>
              <w:t>1</w:t>
            </w:r>
          </w:p>
        </w:tc>
        <w:tc>
          <w:tcPr>
            <w:tcW w:w="567" w:type="dxa"/>
            <w:noWrap/>
          </w:tcPr>
          <w:p>
            <w:pPr>
              <w:jc w:val="center"/>
              <w:spacing w:before="16" w:after="16" w:line="200" w:lineRule="auto"/>
            </w:pPr>
            <w:r>
              <w:rPr>
                <w:rFonts w:ascii="Times New Roman" w:hAnsi="Times New Roman" w:cs="Times New Roman"/>
                <w:b w:val="0"/>
                <w:i w:val="0"/>
                <w:sz w:val="15"/>
              </w:rPr>
              <w:t>0.6775</w:t>
            </w:r>
          </w:p>
        </w:tc>
        <w:tc>
          <w:tcPr>
            <w:tcW w:w="567" w:type="dxa"/>
            <w:noWrap/>
          </w:tcPr>
          <w:p>
            <w:pPr>
              <w:jc w:val="center"/>
              <w:spacing w:before="16" w:after="16" w:line="200" w:lineRule="auto"/>
            </w:pPr>
            <w:r>
              <w:rPr>
                <w:rFonts w:ascii="Times New Roman" w:hAnsi="Times New Roman" w:cs="Times New Roman"/>
                <w:b w:val="0"/>
                <w:i w:val="0"/>
                <w:sz w:val="15"/>
              </w:rPr>
              <w:t>0.4427</w:t>
            </w:r>
          </w:p>
        </w:tc>
        <w:tc>
          <w:tcPr>
            <w:tcW w:w="567" w:type="dxa"/>
            <w:noWrap/>
          </w:tcPr>
          <w:p>
            <w:pPr>
              <w:jc w:val="center"/>
              <w:spacing w:before="16" w:after="16" w:line="200" w:lineRule="auto"/>
            </w:pPr>
            <w:r>
              <w:rPr>
                <w:rFonts w:ascii="Times New Roman" w:hAnsi="Times New Roman" w:cs="Times New Roman"/>
                <w:b w:val="0"/>
                <w:i w:val="0"/>
                <w:sz w:val="15"/>
              </w:rPr>
              <w:t>0.5054</w:t>
            </w:r>
          </w:p>
        </w:tc>
        <w:tc>
          <w:tcPr>
            <w:tcW w:w="567" w:type="dxa"/>
            <w:noWrap/>
          </w:tcPr>
          <w:p>
            <w:pPr>
              <w:jc w:val="center"/>
              <w:spacing w:before="16" w:after="16" w:line="200" w:lineRule="auto"/>
            </w:pPr>
            <w:r>
              <w:rPr>
                <w:rFonts w:ascii="Times New Roman" w:hAnsi="Times New Roman" w:cs="Times New Roman"/>
                <w:b w:val="0"/>
                <w:i w:val="0"/>
                <w:sz w:val="15"/>
              </w:rPr>
              <w:t>0.4386</w:t>
            </w:r>
          </w:p>
        </w:tc>
        <w:tc>
          <w:tcPr>
            <w:tcW w:w="567" w:type="dxa"/>
            <w:noWrap/>
          </w:tcPr>
          <w:p>
            <w:pPr>
              <w:jc w:val="center"/>
              <w:spacing w:before="16" w:after="16" w:line="200" w:lineRule="auto"/>
            </w:pPr>
            <w:r>
              <w:rPr>
                <w:rFonts w:ascii="Times New Roman" w:hAnsi="Times New Roman" w:cs="Times New Roman"/>
                <w:b w:val="0"/>
                <w:i w:val="0"/>
                <w:sz w:val="15"/>
              </w:rPr>
              <w:t>0.4975</w:t>
            </w:r>
          </w:p>
        </w:tc>
      </w:tr>
      <w:tr>
        <w:tc>
          <w:tcPr>
            <w:tcW w:w="1474" w:type="dxa"/>
          </w:tcPr>
          <w:p>
            <w:pPr>
              <w:jc w:val="left"/>
              <w:spacing w:before="16" w:after="16" w:line="200" w:lineRule="auto"/>
            </w:pPr>
            <w:r>
              <w:rPr>
                <w:rFonts w:ascii="Times New Roman" w:hAnsi="Times New Roman" w:cs="Times New Roman"/>
                <w:b w:val="0"/>
                <w:i w:val="0"/>
                <w:sz w:val="15"/>
              </w:rPr>
              <w:t>Config B: Motion Only</w:t>
            </w:r>
          </w:p>
        </w:tc>
        <w:tc>
          <w:tcPr>
            <w:tcW w:w="396" w:type="dxa"/>
            <w:noWrap/>
          </w:tcPr>
          <w:p>
            <w:pPr>
              <w:jc w:val="center"/>
              <w:spacing w:before="16" w:after="16" w:line="200" w:lineRule="auto"/>
            </w:pPr>
            <w:r>
              <w:rPr>
                <w:rFonts w:ascii="Times New Roman" w:hAnsi="Times New Roman" w:cs="Times New Roman"/>
                <w:b w:val="0"/>
                <w:i w:val="0"/>
                <w:sz w:val="15"/>
              </w:rPr>
              <w:t>2</w:t>
            </w:r>
          </w:p>
        </w:tc>
        <w:tc>
          <w:tcPr>
            <w:tcW w:w="567" w:type="dxa"/>
            <w:noWrap/>
          </w:tcPr>
          <w:p>
            <w:pPr>
              <w:jc w:val="center"/>
              <w:spacing w:before="16" w:after="16" w:line="200" w:lineRule="auto"/>
            </w:pPr>
            <w:r>
              <w:rPr>
                <w:rFonts w:ascii="Times New Roman" w:hAnsi="Times New Roman" w:cs="Times New Roman"/>
                <w:b w:val="0"/>
                <w:i w:val="0"/>
                <w:sz w:val="15"/>
              </w:rPr>
              <w:t>0.7818</w:t>
            </w:r>
          </w:p>
        </w:tc>
        <w:tc>
          <w:tcPr>
            <w:tcW w:w="567" w:type="dxa"/>
            <w:noWrap/>
          </w:tcPr>
          <w:p>
            <w:pPr>
              <w:jc w:val="center"/>
              <w:spacing w:before="16" w:after="16" w:line="200" w:lineRule="auto"/>
            </w:pPr>
            <w:r>
              <w:rPr>
                <w:rFonts w:ascii="Times New Roman" w:hAnsi="Times New Roman" w:cs="Times New Roman"/>
                <w:b w:val="0"/>
                <w:i w:val="0"/>
                <w:sz w:val="15"/>
              </w:rPr>
              <w:t>0.8228</w:t>
            </w:r>
          </w:p>
        </w:tc>
        <w:tc>
          <w:tcPr>
            <w:tcW w:w="567" w:type="dxa"/>
            <w:noWrap/>
          </w:tcPr>
          <w:p>
            <w:pPr>
              <w:jc w:val="center"/>
              <w:spacing w:before="16" w:after="16" w:line="200" w:lineRule="auto"/>
            </w:pPr>
            <w:r>
              <w:rPr>
                <w:rFonts w:ascii="Times New Roman" w:hAnsi="Times New Roman" w:cs="Times New Roman"/>
                <w:b w:val="0"/>
                <w:i w:val="0"/>
                <w:sz w:val="15"/>
              </w:rPr>
              <w:t>0.8089</w:t>
            </w:r>
          </w:p>
        </w:tc>
        <w:tc>
          <w:tcPr>
            <w:tcW w:w="567" w:type="dxa"/>
            <w:noWrap/>
          </w:tcPr>
          <w:p>
            <w:pPr>
              <w:jc w:val="center"/>
              <w:spacing w:before="16" w:after="16" w:line="200" w:lineRule="auto"/>
            </w:pPr>
            <w:r>
              <w:rPr>
                <w:rFonts w:ascii="Times New Roman" w:hAnsi="Times New Roman" w:cs="Times New Roman"/>
                <w:b w:val="0"/>
                <w:i w:val="0"/>
                <w:sz w:val="15"/>
              </w:rPr>
              <w:t>0.8388</w:t>
            </w:r>
          </w:p>
        </w:tc>
        <w:tc>
          <w:tcPr>
            <w:tcW w:w="567" w:type="dxa"/>
            <w:noWrap/>
          </w:tcPr>
          <w:p>
            <w:pPr>
              <w:jc w:val="center"/>
              <w:spacing w:before="16" w:after="16" w:line="200" w:lineRule="auto"/>
            </w:pPr>
            <w:r>
              <w:rPr>
                <w:rFonts w:ascii="Times New Roman" w:hAnsi="Times New Roman" w:cs="Times New Roman"/>
                <w:b w:val="0"/>
                <w:i w:val="0"/>
                <w:sz w:val="15"/>
              </w:rPr>
              <w:t>0.8311</w:t>
            </w:r>
          </w:p>
        </w:tc>
      </w:tr>
      <w:tr>
        <w:tc>
          <w:tcPr>
            <w:tcW w:w="1474" w:type="dxa"/>
          </w:tcPr>
          <w:p>
            <w:pPr>
              <w:jc w:val="left"/>
              <w:spacing w:before="16" w:after="16" w:line="200" w:lineRule="auto"/>
            </w:pPr>
            <w:r>
              <w:rPr>
                <w:rFonts w:ascii="Times New Roman" w:hAnsi="Times New Roman" w:cs="Times New Roman"/>
                <w:b w:val="0"/>
                <w:i w:val="0"/>
                <w:sz w:val="15"/>
              </w:rPr>
              <w:t>Config C: Naive D + M</w:t>
            </w:r>
          </w:p>
        </w:tc>
        <w:tc>
          <w:tcPr>
            <w:tcW w:w="396" w:type="dxa"/>
            <w:noWrap/>
          </w:tcPr>
          <w:p>
            <w:pPr>
              <w:jc w:val="center"/>
              <w:spacing w:before="16" w:after="16" w:line="200" w:lineRule="auto"/>
            </w:pPr>
            <w:r>
              <w:rPr>
                <w:rFonts w:ascii="Times New Roman" w:hAnsi="Times New Roman" w:cs="Times New Roman"/>
                <w:b w:val="0"/>
                <w:i w:val="0"/>
                <w:sz w:val="15"/>
              </w:rPr>
              <w:t>2</w:t>
            </w:r>
          </w:p>
        </w:tc>
        <w:tc>
          <w:tcPr>
            <w:tcW w:w="567" w:type="dxa"/>
            <w:noWrap/>
          </w:tcPr>
          <w:p>
            <w:pPr>
              <w:jc w:val="center"/>
              <w:spacing w:before="16" w:after="16" w:line="200" w:lineRule="auto"/>
            </w:pPr>
            <w:r>
              <w:rPr>
                <w:rFonts w:ascii="Times New Roman" w:hAnsi="Times New Roman" w:cs="Times New Roman"/>
                <w:b w:val="0"/>
                <w:i w:val="0"/>
                <w:sz w:val="15"/>
              </w:rPr>
              <w:t>0.8181</w:t>
            </w:r>
          </w:p>
        </w:tc>
        <w:tc>
          <w:tcPr>
            <w:tcW w:w="567" w:type="dxa"/>
            <w:noWrap/>
          </w:tcPr>
          <w:p>
            <w:pPr>
              <w:jc w:val="center"/>
              <w:spacing w:before="16" w:after="16" w:line="200" w:lineRule="auto"/>
            </w:pPr>
            <w:r>
              <w:rPr>
                <w:rFonts w:ascii="Times New Roman" w:hAnsi="Times New Roman" w:cs="Times New Roman"/>
                <w:b w:val="0"/>
                <w:i w:val="0"/>
                <w:sz w:val="15"/>
              </w:rPr>
              <w:t>0.7635</w:t>
            </w:r>
          </w:p>
        </w:tc>
        <w:tc>
          <w:tcPr>
            <w:tcW w:w="567" w:type="dxa"/>
            <w:noWrap/>
          </w:tcPr>
          <w:p>
            <w:pPr>
              <w:jc w:val="center"/>
              <w:spacing w:before="16" w:after="16" w:line="200" w:lineRule="auto"/>
            </w:pPr>
            <w:r>
              <w:rPr>
                <w:rFonts w:ascii="Times New Roman" w:hAnsi="Times New Roman" w:cs="Times New Roman"/>
                <w:b w:val="0"/>
                <w:i w:val="0"/>
                <w:sz w:val="15"/>
              </w:rPr>
              <w:t>0.7375</w:t>
            </w:r>
          </w:p>
        </w:tc>
        <w:tc>
          <w:tcPr>
            <w:tcW w:w="567" w:type="dxa"/>
            <w:noWrap/>
          </w:tcPr>
          <w:p>
            <w:pPr>
              <w:jc w:val="center"/>
              <w:spacing w:before="16" w:after="16" w:line="200" w:lineRule="auto"/>
            </w:pPr>
            <w:r>
              <w:rPr>
                <w:rFonts w:ascii="Times New Roman" w:hAnsi="Times New Roman" w:cs="Times New Roman"/>
                <w:b w:val="0"/>
                <w:i w:val="0"/>
                <w:sz w:val="15"/>
              </w:rPr>
              <w:t>0.7705</w:t>
            </w:r>
          </w:p>
        </w:tc>
        <w:tc>
          <w:tcPr>
            <w:tcW w:w="567" w:type="dxa"/>
            <w:noWrap/>
          </w:tcPr>
          <w:p>
            <w:pPr>
              <w:jc w:val="center"/>
              <w:spacing w:before="16" w:after="16" w:line="200" w:lineRule="auto"/>
            </w:pPr>
            <w:r>
              <w:rPr>
                <w:rFonts w:ascii="Times New Roman" w:hAnsi="Times New Roman" w:cs="Times New Roman"/>
                <w:b w:val="0"/>
                <w:i w:val="0"/>
                <w:sz w:val="15"/>
              </w:rPr>
              <w:t>0.7673</w:t>
            </w:r>
          </w:p>
        </w:tc>
      </w:tr>
      <w:tr>
        <w:tc>
          <w:tcPr>
            <w:tcW w:w="1474" w:type="dxa"/>
          </w:tcPr>
          <w:p>
            <w:pPr>
              <w:jc w:val="left"/>
              <w:spacing w:before="16" w:after="16" w:line="200" w:lineRule="auto"/>
            </w:pPr>
            <w:r>
              <w:rPr>
                <w:rFonts w:ascii="Times New Roman" w:hAnsi="Times New Roman" w:cs="Times New Roman"/>
                <w:b w:val="0"/>
                <w:i w:val="0"/>
                <w:sz w:val="15"/>
              </w:rPr>
              <w:t>Config D: Core 6D</w:t>
            </w:r>
          </w:p>
        </w:tc>
        <w:tc>
          <w:tcPr>
            <w:tcW w:w="396" w:type="dxa"/>
            <w:noWrap/>
          </w:tcPr>
          <w:p>
            <w:pPr>
              <w:jc w:val="center"/>
              <w:spacing w:before="16" w:after="16" w:line="200" w:lineRule="auto"/>
            </w:pPr>
            <w:r>
              <w:rPr>
                <w:rFonts w:ascii="Times New Roman" w:hAnsi="Times New Roman" w:cs="Times New Roman"/>
                <w:b w:val="0"/>
                <w:i w:val="0"/>
                <w:sz w:val="15"/>
              </w:rPr>
              <w:t>6</w:t>
            </w:r>
          </w:p>
        </w:tc>
        <w:tc>
          <w:tcPr>
            <w:tcW w:w="567" w:type="dxa"/>
            <w:noWrap/>
          </w:tcPr>
          <w:p>
            <w:pPr>
              <w:jc w:val="center"/>
              <w:spacing w:before="16" w:after="16" w:line="200" w:lineRule="auto"/>
            </w:pPr>
            <w:r>
              <w:rPr>
                <w:rFonts w:ascii="Times New Roman" w:hAnsi="Times New Roman" w:cs="Times New Roman"/>
                <w:b w:val="0"/>
                <w:i w:val="0"/>
                <w:sz w:val="15"/>
              </w:rPr>
              <w:t>0.8166</w:t>
            </w:r>
          </w:p>
        </w:tc>
        <w:tc>
          <w:tcPr>
            <w:tcW w:w="567" w:type="dxa"/>
            <w:noWrap/>
          </w:tcPr>
          <w:p>
            <w:pPr>
              <w:jc w:val="center"/>
              <w:spacing w:before="16" w:after="16" w:line="200" w:lineRule="auto"/>
            </w:pPr>
            <w:r>
              <w:rPr>
                <w:rFonts w:ascii="Times New Roman" w:hAnsi="Times New Roman" w:cs="Times New Roman"/>
                <w:b w:val="0"/>
                <w:i w:val="0"/>
                <w:sz w:val="15"/>
              </w:rPr>
              <w:t>0.7643</w:t>
            </w:r>
          </w:p>
        </w:tc>
        <w:tc>
          <w:tcPr>
            <w:tcW w:w="567" w:type="dxa"/>
            <w:noWrap/>
          </w:tcPr>
          <w:p>
            <w:pPr>
              <w:jc w:val="center"/>
              <w:spacing w:before="16" w:after="16" w:line="200" w:lineRule="auto"/>
            </w:pPr>
            <w:r>
              <w:rPr>
                <w:rFonts w:ascii="Times New Roman" w:hAnsi="Times New Roman" w:cs="Times New Roman"/>
                <w:b w:val="0"/>
                <w:i w:val="0"/>
                <w:sz w:val="15"/>
              </w:rPr>
              <w:t>0.7304</w:t>
            </w:r>
          </w:p>
        </w:tc>
        <w:tc>
          <w:tcPr>
            <w:tcW w:w="567" w:type="dxa"/>
            <w:noWrap/>
          </w:tcPr>
          <w:p>
            <w:pPr>
              <w:jc w:val="center"/>
              <w:spacing w:before="16" w:after="16" w:line="200" w:lineRule="auto"/>
            </w:pPr>
            <w:r>
              <w:rPr>
                <w:rFonts w:ascii="Times New Roman" w:hAnsi="Times New Roman" w:cs="Times New Roman"/>
                <w:b w:val="0"/>
                <w:i w:val="0"/>
                <w:sz w:val="15"/>
              </w:rPr>
              <w:t>0.7725</w:t>
            </w:r>
          </w:p>
        </w:tc>
        <w:tc>
          <w:tcPr>
            <w:tcW w:w="567" w:type="dxa"/>
            <w:noWrap/>
          </w:tcPr>
          <w:p>
            <w:pPr>
              <w:jc w:val="center"/>
              <w:spacing w:before="16" w:after="16" w:line="200" w:lineRule="auto"/>
            </w:pPr>
            <w:r>
              <w:rPr>
                <w:rFonts w:ascii="Times New Roman" w:hAnsi="Times New Roman" w:cs="Times New Roman"/>
                <w:b w:val="0"/>
                <w:i w:val="0"/>
                <w:sz w:val="15"/>
              </w:rPr>
              <w:t>0.7623</w:t>
            </w:r>
          </w:p>
        </w:tc>
      </w:tr>
      <w:tr>
        <w:tc>
          <w:tcPr>
            <w:tcW w:w="1474" w:type="dxa"/>
          </w:tcPr>
          <w:p>
            <w:pPr>
              <w:jc w:val="left"/>
              <w:spacing w:before="16" w:after="16" w:line="200" w:lineRule="auto"/>
            </w:pPr>
            <w:r>
              <w:rPr>
                <w:rFonts w:ascii="Times New Roman" w:hAnsi="Times New Roman" w:cs="Times New Roman"/>
                <w:b w:val="0"/>
                <w:i w:val="0"/>
                <w:sz w:val="15"/>
              </w:rPr>
              <w:t>Config E: Core 6D + Phys</w:t>
            </w:r>
          </w:p>
        </w:tc>
        <w:tc>
          <w:tcPr>
            <w:tcW w:w="396" w:type="dxa"/>
            <w:noWrap/>
          </w:tcPr>
          <w:p>
            <w:pPr>
              <w:jc w:val="center"/>
              <w:spacing w:before="16" w:after="16" w:line="200" w:lineRule="auto"/>
            </w:pPr>
            <w:r>
              <w:rPr>
                <w:rFonts w:ascii="Times New Roman" w:hAnsi="Times New Roman" w:cs="Times New Roman"/>
                <w:b w:val="0"/>
                <w:i w:val="0"/>
                <w:sz w:val="15"/>
              </w:rPr>
              <w:t>8</w:t>
            </w:r>
          </w:p>
        </w:tc>
        <w:tc>
          <w:tcPr>
            <w:tcW w:w="567" w:type="dxa"/>
            <w:noWrap/>
          </w:tcPr>
          <w:p>
            <w:pPr>
              <w:jc w:val="center"/>
              <w:spacing w:before="16" w:after="16" w:line="200" w:lineRule="auto"/>
            </w:pPr>
            <w:r>
              <w:rPr>
                <w:rFonts w:ascii="Times New Roman" w:hAnsi="Times New Roman" w:cs="Times New Roman"/>
                <w:b w:val="0"/>
                <w:i w:val="0"/>
                <w:sz w:val="15"/>
              </w:rPr>
              <w:t>0.8109</w:t>
            </w:r>
          </w:p>
        </w:tc>
        <w:tc>
          <w:tcPr>
            <w:tcW w:w="567" w:type="dxa"/>
            <w:noWrap/>
          </w:tcPr>
          <w:p>
            <w:pPr>
              <w:jc w:val="center"/>
              <w:spacing w:before="16" w:after="16" w:line="200" w:lineRule="auto"/>
            </w:pPr>
            <w:r>
              <w:rPr>
                <w:rFonts w:ascii="Times New Roman" w:hAnsi="Times New Roman" w:cs="Times New Roman"/>
                <w:b w:val="0"/>
                <w:i w:val="0"/>
                <w:sz w:val="15"/>
              </w:rPr>
              <w:t>0.7686</w:t>
            </w:r>
          </w:p>
        </w:tc>
        <w:tc>
          <w:tcPr>
            <w:tcW w:w="567" w:type="dxa"/>
            <w:noWrap/>
          </w:tcPr>
          <w:p>
            <w:pPr>
              <w:jc w:val="center"/>
              <w:spacing w:before="16" w:after="16" w:line="200" w:lineRule="auto"/>
            </w:pPr>
            <w:r>
              <w:rPr>
                <w:rFonts w:ascii="Times New Roman" w:hAnsi="Times New Roman" w:cs="Times New Roman"/>
                <w:b w:val="0"/>
                <w:i w:val="0"/>
                <w:sz w:val="15"/>
              </w:rPr>
              <w:t>0.7357</w:t>
            </w:r>
          </w:p>
        </w:tc>
        <w:tc>
          <w:tcPr>
            <w:tcW w:w="567" w:type="dxa"/>
            <w:noWrap/>
          </w:tcPr>
          <w:p>
            <w:pPr>
              <w:jc w:val="center"/>
              <w:spacing w:before="16" w:after="16" w:line="200" w:lineRule="auto"/>
            </w:pPr>
            <w:r>
              <w:rPr>
                <w:rFonts w:ascii="Times New Roman" w:hAnsi="Times New Roman" w:cs="Times New Roman"/>
                <w:b w:val="0"/>
                <w:i w:val="0"/>
                <w:sz w:val="15"/>
              </w:rPr>
              <w:t>0.7771</w:t>
            </w:r>
          </w:p>
        </w:tc>
        <w:tc>
          <w:tcPr>
            <w:tcW w:w="567" w:type="dxa"/>
            <w:noWrap/>
          </w:tcPr>
          <w:p>
            <w:pPr>
              <w:jc w:val="center"/>
              <w:spacing w:before="16" w:after="16" w:line="200" w:lineRule="auto"/>
            </w:pPr>
            <w:r>
              <w:rPr>
                <w:rFonts w:ascii="Times New Roman" w:hAnsi="Times New Roman" w:cs="Times New Roman"/>
                <w:b w:val="0"/>
                <w:i w:val="0"/>
                <w:sz w:val="15"/>
              </w:rPr>
              <w:t>0.7671</w:t>
            </w:r>
          </w:p>
        </w:tc>
      </w:tr>
      <w:tr>
        <w:tc>
          <w:tcPr>
            <w:tcW w:w="1474" w:type="dxa"/>
          </w:tcPr>
          <w:p>
            <w:pPr>
              <w:jc w:val="left"/>
              <w:spacing w:before="16" w:after="16" w:line="200" w:lineRule="auto"/>
            </w:pPr>
            <w:r>
              <w:rPr>
                <w:rFonts w:ascii="Times New Roman" w:hAnsi="Times New Roman" w:cs="Times New Roman"/>
                <w:b/>
                <w:i w:val="0"/>
                <w:sz w:val="15"/>
              </w:rPr>
              <w:t>Config F: Full Temporal</w:t>
            </w:r>
          </w:p>
        </w:tc>
        <w:tc>
          <w:tcPr>
            <w:tcW w:w="396" w:type="dxa"/>
            <w:noWrap/>
          </w:tcPr>
          <w:p>
            <w:pPr>
              <w:jc w:val="center"/>
              <w:spacing w:before="16" w:after="16" w:line="200" w:lineRule="auto"/>
            </w:pPr>
            <w:r>
              <w:rPr>
                <w:rFonts w:ascii="Times New Roman" w:hAnsi="Times New Roman" w:cs="Times New Roman"/>
                <w:b/>
                <w:i w:val="0"/>
                <w:sz w:val="15"/>
              </w:rPr>
              <w:t>21</w:t>
            </w:r>
          </w:p>
        </w:tc>
        <w:tc>
          <w:tcPr>
            <w:tcW w:w="567" w:type="dxa"/>
            <w:noWrap/>
          </w:tcPr>
          <w:p>
            <w:pPr>
              <w:jc w:val="center"/>
              <w:spacing w:before="16" w:after="16" w:line="200" w:lineRule="auto"/>
            </w:pPr>
            <w:r>
              <w:rPr>
                <w:rFonts w:ascii="Times New Roman" w:hAnsi="Times New Roman" w:cs="Times New Roman"/>
                <w:b/>
                <w:i w:val="0"/>
                <w:sz w:val="15"/>
              </w:rPr>
              <w:t>0.9441</w:t>
            </w:r>
          </w:p>
        </w:tc>
        <w:tc>
          <w:tcPr>
            <w:tcW w:w="567" w:type="dxa"/>
            <w:noWrap/>
          </w:tcPr>
          <w:p>
            <w:pPr>
              <w:jc w:val="center"/>
              <w:spacing w:before="16" w:after="16" w:line="200" w:lineRule="auto"/>
            </w:pPr>
            <w:r>
              <w:rPr>
                <w:rFonts w:ascii="Times New Roman" w:hAnsi="Times New Roman" w:cs="Times New Roman"/>
                <w:b/>
                <w:i w:val="0"/>
                <w:sz w:val="15"/>
              </w:rPr>
              <w:t>0.8959</w:t>
            </w:r>
          </w:p>
        </w:tc>
        <w:tc>
          <w:tcPr>
            <w:tcW w:w="567" w:type="dxa"/>
            <w:noWrap/>
          </w:tcPr>
          <w:p>
            <w:pPr>
              <w:jc w:val="center"/>
              <w:spacing w:before="16" w:after="16" w:line="200" w:lineRule="auto"/>
            </w:pPr>
            <w:r>
              <w:rPr>
                <w:rFonts w:ascii="Times New Roman" w:hAnsi="Times New Roman" w:cs="Times New Roman"/>
                <w:b/>
                <w:i w:val="0"/>
                <w:sz w:val="15"/>
              </w:rPr>
              <w:t>0.8768</w:t>
            </w:r>
          </w:p>
        </w:tc>
        <w:tc>
          <w:tcPr>
            <w:tcW w:w="567" w:type="dxa"/>
            <w:noWrap/>
          </w:tcPr>
          <w:p>
            <w:pPr>
              <w:jc w:val="center"/>
              <w:spacing w:before="16" w:after="16" w:line="200" w:lineRule="auto"/>
            </w:pPr>
            <w:r>
              <w:rPr>
                <w:rFonts w:ascii="Times New Roman" w:hAnsi="Times New Roman" w:cs="Times New Roman"/>
                <w:b/>
                <w:i w:val="0"/>
                <w:sz w:val="15"/>
              </w:rPr>
              <w:t>0.9104</w:t>
            </w:r>
          </w:p>
        </w:tc>
        <w:tc>
          <w:tcPr>
            <w:tcW w:w="567" w:type="dxa"/>
            <w:noWrap/>
          </w:tcPr>
          <w:p>
            <w:pPr>
              <w:jc w:val="center"/>
              <w:spacing w:before="16" w:after="16" w:line="200" w:lineRule="auto"/>
            </w:pPr>
            <w:r>
              <w:rPr>
                <w:rFonts w:ascii="Times New Roman" w:hAnsi="Times New Roman" w:cs="Times New Roman"/>
                <w:b/>
                <w:i w:val="0"/>
                <w:sz w:val="15"/>
              </w:rPr>
              <w:t>0.8939</w:t>
            </w:r>
          </w:p>
        </w:tc>
      </w:tr>
    </w:tbl>
    <w:p>
      <w:pPr>
        <w:spacing w:before="0" w:after="40" w:line="100" w:lineRule="auto"/>
      </w:pPr>
    </w:p>
    <w:p>
      <w:pPr>
        <w:jc w:val="center"/>
        <w:spacing w:before="80" w:after="20" w:line="220" w:lineRule="auto"/>
      </w:pPr>
      <w:r>
        <w:drawing>
          <wp:inline xmlns:a="http://schemas.openxmlformats.org/drawingml/2006/main" xmlns:pic="http://schemas.openxmlformats.org/drawingml/2006/picture">
            <wp:extent cx="2736000" cy="1448471"/>
            <wp:docPr id="3" name="Picture 3"/>
            <wp:cNvGraphicFramePr>
              <a:graphicFrameLocks noChangeAspect="1"/>
            </wp:cNvGraphicFramePr>
            <a:graphic>
              <a:graphicData uri="http://schemas.openxmlformats.org/drawingml/2006/picture">
                <pic:pic>
                  <pic:nvPicPr>
                    <pic:cNvPr id="0" name="ablation_progression.png"/>
                    <pic:cNvPicPr/>
                  </pic:nvPicPr>
                  <pic:blipFill>
                    <a:blip r:embed="rId11"/>
                    <a:stretch>
                      <a:fillRect/>
                    </a:stretch>
                  </pic:blipFill>
                  <pic:spPr>
                    <a:xfrm>
                      <a:off x="0" y="0"/>
                      <a:ext cx="2736000" cy="1448471"/>
                    </a:xfrm>
                    <a:prstGeom prst="rect"/>
                  </pic:spPr>
                </pic:pic>
              </a:graphicData>
            </a:graphic>
          </wp:inline>
        </w:drawing>
      </w:r>
    </w:p>
    <w:p>
      <w:pPr>
        <w:jc w:val="center"/>
        <w:spacing w:before="0" w:after="80" w:line="210" w:lineRule="auto"/>
      </w:pPr>
      <w:r>
        <w:rPr>
          <w:rFonts w:ascii="Times New Roman" w:hAnsi="Times New Roman" w:cs="Times New Roman"/>
          <w:b w:val="0"/>
          <w:i/>
          <w:sz w:val="16"/>
        </w:rPr>
        <w:t>Fig. 3. Feature ablation trajectory from single density to full temporal framework.</w:t>
      </w:r>
    </w:p>
    <w:p>
      <w:pPr>
        <w:jc w:val="left"/>
        <w:spacing w:before="100" w:after="35" w:line="240" w:lineRule="auto"/>
      </w:pPr>
      <w:r>
        <w:rPr>
          <w:rFonts w:ascii="Times New Roman" w:hAnsi="Times New Roman" w:cs="Times New Roman"/>
          <w:b/>
          <w:i/>
          <w:sz w:val="19"/>
        </w:rPr>
        <w:t>D.  Temporal Alert Suppression &amp; False Alarm Elimination</w:t>
      </w:r>
    </w:p>
    <w:p>
      <w:pPr>
        <w:jc w:val="both"/>
        <w:spacing w:before="0" w:after="50" w:line="240" w:lineRule="auto"/>
      </w:pPr>
      <w:r>
        <w:rPr>
          <w:rFonts w:ascii="Times New Roman" w:hAnsi="Times New Roman" w:cs="Times New Roman"/>
          <w:b w:val="0"/>
          <w:i w:val="0"/>
          <w:sz w:val="19"/>
        </w:rPr>
        <w:t>Table V demonstrates the impact of temporal persistence gating across windows K = 1 to 10. A K = 5 persistence window (0.25 seconds at 20 FPS) completely eliminates false alarm chattering (0.00% FAR) on normal crowd frames while preserving a high Macro F1 of 0.8179.</w:t>
      </w:r>
    </w:p>
    <w:p>
      <w:pPr>
        <w:jc w:val="center"/>
        <w:spacing w:before="110" w:after="15" w:line="220" w:lineRule="auto"/>
      </w:pPr>
      <w:r>
        <w:rPr>
          <w:rFonts w:ascii="Times New Roman" w:hAnsi="Times New Roman" w:cs="Times New Roman"/>
          <w:b/>
          <w:i w:val="0"/>
          <w:sz w:val="17"/>
        </w:rPr>
        <w:t>TABLE V</w:t>
      </w:r>
    </w:p>
    <w:p>
      <w:pPr>
        <w:jc w:val="center"/>
        <w:spacing w:before="0" w:after="40" w:line="220" w:lineRule="auto"/>
      </w:pPr>
      <w:r>
        <w:rPr>
          <w:rFonts w:ascii="Times New Roman" w:hAnsi="Times New Roman" w:cs="Times New Roman"/>
          <w:b w:val="0"/>
          <w:i/>
          <w:sz w:val="16"/>
        </w:rPr>
        <w:t>TEMPORAL PERSISTENCE GATING &amp; ALERT SUPPRESSION</w:t>
      </w:r>
    </w:p>
    <w:tbl>
      <w:tblPr>
        <w:tblW w:type="auto" w:w="0"/>
        <w:jc w:val="center"/>
        <w:tblLook w:firstColumn="1" w:firstRow="1" w:lastColumn="0" w:lastRow="0" w:noHBand="0" w:noVBand="1" w:val="04A0"/>
        <w:tblCellMar>
          <w:top w:w="30" w:type="dxa"/>
          <w:bottom w:w="30" w:type="dxa"/>
          <w:left w:w="35" w:type="dxa"/>
          <w:right w:w="35" w:type="dxa"/>
        </w:tblCellMar>
        <w:tblBorders>
          <w:top w:val="single" w:sz="8" w:space="0" w:color="000000"/>
          <w:bottom w:val="single" w:sz="8" w:space="0" w:color="000000"/>
          <w:insideH w:val="single" w:sz="4" w:space="0" w:color="D0D0D0"/>
          <w:left w:val="none"/>
          <w:right w:val="none"/>
          <w:insideV w:val="none"/>
        </w:tblBorders>
      </w:tblPr>
      <w:tblGrid>
        <w:gridCol w:w="1489"/>
        <w:gridCol w:w="1489"/>
        <w:gridCol w:w="1489"/>
        <w:gridCol w:w="1489"/>
        <w:gridCol w:w="1489"/>
        <w:gridCol w:w="1489"/>
        <w:gridCol w:w="1489"/>
      </w:tblGrid>
      <w:tr>
        <w:tc>
          <w:tcPr>
            <w:tcW w:w="1134" w:type="dxa"/>
          </w:tcPr>
          <w:p>
            <w:pPr>
              <w:jc w:val="center"/>
              <w:spacing w:before="20" w:after="20" w:line="200" w:lineRule="auto"/>
            </w:pPr>
            <w:r>
              <w:rPr>
                <w:rFonts w:ascii="Times New Roman" w:hAnsi="Times New Roman" w:cs="Times New Roman"/>
                <w:b/>
                <w:i w:val="0"/>
                <w:sz w:val="15"/>
              </w:rPr>
              <w:t>Window (K frames)</w:t>
            </w:r>
          </w:p>
        </w:tc>
        <w:tc>
          <w:tcPr>
            <w:tcW w:w="567" w:type="dxa"/>
            <w:noWrap/>
          </w:tcPr>
          <w:p>
            <w:pPr>
              <w:jc w:val="center"/>
              <w:spacing w:before="20" w:after="20" w:line="200" w:lineRule="auto"/>
            </w:pPr>
            <w:r>
              <w:rPr>
                <w:rFonts w:ascii="Times New Roman" w:hAnsi="Times New Roman" w:cs="Times New Roman"/>
                <w:b/>
                <w:i w:val="0"/>
                <w:sz w:val="15"/>
              </w:rPr>
              <w:t>Time (s)</w:t>
            </w:r>
          </w:p>
        </w:tc>
        <w:tc>
          <w:tcPr>
            <w:tcW w:w="623" w:type="dxa"/>
            <w:noWrap/>
          </w:tcPr>
          <w:p>
            <w:pPr>
              <w:jc w:val="center"/>
              <w:spacing w:before="20" w:after="20" w:line="200" w:lineRule="auto"/>
            </w:pPr>
            <w:r>
              <w:rPr>
                <w:rFonts w:ascii="Times New Roman" w:hAnsi="Times New Roman" w:cs="Times New Roman"/>
                <w:b/>
                <w:i w:val="0"/>
                <w:sz w:val="15"/>
              </w:rPr>
              <w:t>Macro F1</w:t>
            </w:r>
          </w:p>
        </w:tc>
        <w:tc>
          <w:tcPr>
            <w:tcW w:w="623" w:type="dxa"/>
            <w:noWrap/>
          </w:tcPr>
          <w:p>
            <w:pPr>
              <w:jc w:val="center"/>
              <w:spacing w:before="20" w:after="20" w:line="200" w:lineRule="auto"/>
            </w:pPr>
            <w:r>
              <w:rPr>
                <w:rFonts w:ascii="Times New Roman" w:hAnsi="Times New Roman" w:cs="Times New Roman"/>
                <w:b/>
                <w:i w:val="0"/>
                <w:sz w:val="15"/>
              </w:rPr>
              <w:t>Accuracy</w:t>
            </w:r>
          </w:p>
        </w:tc>
        <w:tc>
          <w:tcPr>
            <w:tcW w:w="623" w:type="dxa"/>
            <w:noWrap/>
          </w:tcPr>
          <w:p>
            <w:pPr>
              <w:jc w:val="center"/>
              <w:spacing w:before="20" w:after="20" w:line="200" w:lineRule="auto"/>
            </w:pPr>
            <w:r>
              <w:rPr>
                <w:rFonts w:ascii="Times New Roman" w:hAnsi="Times New Roman" w:cs="Times New Roman"/>
                <w:b/>
                <w:i w:val="0"/>
                <w:sz w:val="15"/>
              </w:rPr>
              <w:t>Precision</w:t>
            </w:r>
          </w:p>
        </w:tc>
        <w:tc>
          <w:tcPr>
            <w:tcW w:w="623" w:type="dxa"/>
            <w:noWrap/>
          </w:tcPr>
          <w:p>
            <w:pPr>
              <w:jc w:val="center"/>
              <w:spacing w:before="20" w:after="20" w:line="200" w:lineRule="auto"/>
            </w:pPr>
            <w:r>
              <w:rPr>
                <w:rFonts w:ascii="Times New Roman" w:hAnsi="Times New Roman" w:cs="Times New Roman"/>
                <w:b/>
                <w:i w:val="0"/>
                <w:sz w:val="15"/>
              </w:rPr>
              <w:t>Recall</w:t>
            </w:r>
          </w:p>
        </w:tc>
        <w:tc>
          <w:tcPr>
            <w:tcW w:w="567" w:type="dxa"/>
            <w:noWrap/>
          </w:tcPr>
          <w:p>
            <w:pPr>
              <w:jc w:val="center"/>
              <w:spacing w:before="20" w:after="20" w:line="200" w:lineRule="auto"/>
            </w:pPr>
            <w:r>
              <w:rPr>
                <w:rFonts w:ascii="Times New Roman" w:hAnsi="Times New Roman" w:cs="Times New Roman"/>
                <w:b/>
                <w:i w:val="0"/>
                <w:sz w:val="15"/>
              </w:rPr>
              <w:t>FAR (%)</w:t>
            </w:r>
          </w:p>
        </w:tc>
      </w:tr>
      <w:tr>
        <w:tc>
          <w:tcPr>
            <w:tcW w:w="1134" w:type="dxa"/>
          </w:tcPr>
          <w:p>
            <w:pPr>
              <w:jc w:val="left"/>
              <w:spacing w:before="16" w:after="16" w:line="200" w:lineRule="auto"/>
            </w:pPr>
            <w:r>
              <w:rPr>
                <w:rFonts w:ascii="Times New Roman" w:hAnsi="Times New Roman" w:cs="Times New Roman"/>
                <w:b w:val="0"/>
                <w:i w:val="0"/>
                <w:sz w:val="15"/>
              </w:rPr>
              <w:t>K = 1 (Instant)</w:t>
            </w:r>
          </w:p>
        </w:tc>
        <w:tc>
          <w:tcPr>
            <w:tcW w:w="567" w:type="dxa"/>
            <w:noWrap/>
          </w:tcPr>
          <w:p>
            <w:pPr>
              <w:jc w:val="center"/>
              <w:spacing w:before="16" w:after="16" w:line="200" w:lineRule="auto"/>
            </w:pPr>
            <w:r>
              <w:rPr>
                <w:rFonts w:ascii="Times New Roman" w:hAnsi="Times New Roman" w:cs="Times New Roman"/>
                <w:b w:val="0"/>
                <w:i w:val="0"/>
                <w:sz w:val="15"/>
              </w:rPr>
              <w:t>0.05s</w:t>
            </w:r>
          </w:p>
        </w:tc>
        <w:tc>
          <w:tcPr>
            <w:tcW w:w="623" w:type="dxa"/>
            <w:noWrap/>
          </w:tcPr>
          <w:p>
            <w:pPr>
              <w:jc w:val="center"/>
              <w:spacing w:before="16" w:after="16" w:line="200" w:lineRule="auto"/>
            </w:pPr>
            <w:r>
              <w:rPr>
                <w:rFonts w:ascii="Times New Roman" w:hAnsi="Times New Roman" w:cs="Times New Roman"/>
                <w:b w:val="0"/>
                <w:i w:val="0"/>
                <w:sz w:val="15"/>
              </w:rPr>
              <w:t>0.8266</w:t>
            </w:r>
          </w:p>
        </w:tc>
        <w:tc>
          <w:tcPr>
            <w:tcW w:w="623" w:type="dxa"/>
            <w:noWrap/>
          </w:tcPr>
          <w:p>
            <w:pPr>
              <w:jc w:val="center"/>
              <w:spacing w:before="16" w:after="16" w:line="200" w:lineRule="auto"/>
            </w:pPr>
            <w:r>
              <w:rPr>
                <w:rFonts w:ascii="Times New Roman" w:hAnsi="Times New Roman" w:cs="Times New Roman"/>
                <w:b w:val="0"/>
                <w:i w:val="0"/>
                <w:sz w:val="15"/>
              </w:rPr>
              <w:t>0.8161</w:t>
            </w:r>
          </w:p>
        </w:tc>
        <w:tc>
          <w:tcPr>
            <w:tcW w:w="623" w:type="dxa"/>
            <w:noWrap/>
          </w:tcPr>
          <w:p>
            <w:pPr>
              <w:jc w:val="center"/>
              <w:spacing w:before="16" w:after="16" w:line="200" w:lineRule="auto"/>
            </w:pPr>
            <w:r>
              <w:rPr>
                <w:rFonts w:ascii="Times New Roman" w:hAnsi="Times New Roman" w:cs="Times New Roman"/>
                <w:b w:val="0"/>
                <w:i w:val="0"/>
                <w:sz w:val="15"/>
              </w:rPr>
              <w:t>0.8712</w:t>
            </w:r>
          </w:p>
        </w:tc>
        <w:tc>
          <w:tcPr>
            <w:tcW w:w="623" w:type="dxa"/>
            <w:noWrap/>
          </w:tcPr>
          <w:p>
            <w:pPr>
              <w:jc w:val="center"/>
              <w:spacing w:before="16" w:after="16" w:line="200" w:lineRule="auto"/>
            </w:pPr>
            <w:r>
              <w:rPr>
                <w:rFonts w:ascii="Times New Roman" w:hAnsi="Times New Roman" w:cs="Times New Roman"/>
                <w:b w:val="0"/>
                <w:i w:val="0"/>
                <w:sz w:val="15"/>
              </w:rPr>
              <w:t>0.8116</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134" w:type="dxa"/>
          </w:tcPr>
          <w:p>
            <w:pPr>
              <w:jc w:val="left"/>
              <w:spacing w:before="16" w:after="16" w:line="200" w:lineRule="auto"/>
            </w:pPr>
            <w:r>
              <w:rPr>
                <w:rFonts w:ascii="Times New Roman" w:hAnsi="Times New Roman" w:cs="Times New Roman"/>
                <w:b w:val="0"/>
                <w:i w:val="0"/>
                <w:sz w:val="15"/>
              </w:rPr>
              <w:t>K = 3 (Filtered)</w:t>
            </w:r>
          </w:p>
        </w:tc>
        <w:tc>
          <w:tcPr>
            <w:tcW w:w="567" w:type="dxa"/>
            <w:noWrap/>
          </w:tcPr>
          <w:p>
            <w:pPr>
              <w:jc w:val="center"/>
              <w:spacing w:before="16" w:after="16" w:line="200" w:lineRule="auto"/>
            </w:pPr>
            <w:r>
              <w:rPr>
                <w:rFonts w:ascii="Times New Roman" w:hAnsi="Times New Roman" w:cs="Times New Roman"/>
                <w:b w:val="0"/>
                <w:i w:val="0"/>
                <w:sz w:val="15"/>
              </w:rPr>
              <w:t>0.15s</w:t>
            </w:r>
          </w:p>
        </w:tc>
        <w:tc>
          <w:tcPr>
            <w:tcW w:w="623" w:type="dxa"/>
            <w:noWrap/>
          </w:tcPr>
          <w:p>
            <w:pPr>
              <w:jc w:val="center"/>
              <w:spacing w:before="16" w:after="16" w:line="200" w:lineRule="auto"/>
            </w:pPr>
            <w:r>
              <w:rPr>
                <w:rFonts w:ascii="Times New Roman" w:hAnsi="Times New Roman" w:cs="Times New Roman"/>
                <w:b w:val="0"/>
                <w:i w:val="0"/>
                <w:sz w:val="15"/>
              </w:rPr>
              <w:t>0.8238</w:t>
            </w:r>
          </w:p>
        </w:tc>
        <w:tc>
          <w:tcPr>
            <w:tcW w:w="623" w:type="dxa"/>
            <w:noWrap/>
          </w:tcPr>
          <w:p>
            <w:pPr>
              <w:jc w:val="center"/>
              <w:spacing w:before="16" w:after="16" w:line="200" w:lineRule="auto"/>
            </w:pPr>
            <w:r>
              <w:rPr>
                <w:rFonts w:ascii="Times New Roman" w:hAnsi="Times New Roman" w:cs="Times New Roman"/>
                <w:b w:val="0"/>
                <w:i w:val="0"/>
                <w:sz w:val="15"/>
              </w:rPr>
              <w:t>0.8125</w:t>
            </w:r>
          </w:p>
        </w:tc>
        <w:tc>
          <w:tcPr>
            <w:tcW w:w="623" w:type="dxa"/>
            <w:noWrap/>
          </w:tcPr>
          <w:p>
            <w:pPr>
              <w:jc w:val="center"/>
              <w:spacing w:before="16" w:after="16" w:line="200" w:lineRule="auto"/>
            </w:pPr>
            <w:r>
              <w:rPr>
                <w:rFonts w:ascii="Times New Roman" w:hAnsi="Times New Roman" w:cs="Times New Roman"/>
                <w:b w:val="0"/>
                <w:i w:val="0"/>
                <w:sz w:val="15"/>
              </w:rPr>
              <w:t>0.8708</w:t>
            </w:r>
          </w:p>
        </w:tc>
        <w:tc>
          <w:tcPr>
            <w:tcW w:w="623" w:type="dxa"/>
            <w:noWrap/>
          </w:tcPr>
          <w:p>
            <w:pPr>
              <w:jc w:val="center"/>
              <w:spacing w:before="16" w:after="16" w:line="200" w:lineRule="auto"/>
            </w:pPr>
            <w:r>
              <w:rPr>
                <w:rFonts w:ascii="Times New Roman" w:hAnsi="Times New Roman" w:cs="Times New Roman"/>
                <w:b w:val="0"/>
                <w:i w:val="0"/>
                <w:sz w:val="15"/>
              </w:rPr>
              <w:t>0.8089</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134" w:type="dxa"/>
          </w:tcPr>
          <w:p>
            <w:pPr>
              <w:jc w:val="left"/>
              <w:spacing w:before="16" w:after="16" w:line="200" w:lineRule="auto"/>
            </w:pPr>
            <w:r>
              <w:rPr>
                <w:rFonts w:ascii="Times New Roman" w:hAnsi="Times New Roman" w:cs="Times New Roman"/>
                <w:b w:val="0"/>
                <w:i w:val="0"/>
                <w:sz w:val="15"/>
              </w:rPr>
              <w:t>K = 5 (Standard)</w:t>
            </w:r>
          </w:p>
        </w:tc>
        <w:tc>
          <w:tcPr>
            <w:tcW w:w="567" w:type="dxa"/>
            <w:noWrap/>
          </w:tcPr>
          <w:p>
            <w:pPr>
              <w:jc w:val="center"/>
              <w:spacing w:before="16" w:after="16" w:line="200" w:lineRule="auto"/>
            </w:pPr>
            <w:r>
              <w:rPr>
                <w:rFonts w:ascii="Times New Roman" w:hAnsi="Times New Roman" w:cs="Times New Roman"/>
                <w:b w:val="0"/>
                <w:i w:val="0"/>
                <w:sz w:val="15"/>
              </w:rPr>
              <w:t>0.25s</w:t>
            </w:r>
          </w:p>
        </w:tc>
        <w:tc>
          <w:tcPr>
            <w:tcW w:w="623" w:type="dxa"/>
            <w:noWrap/>
          </w:tcPr>
          <w:p>
            <w:pPr>
              <w:jc w:val="center"/>
              <w:spacing w:before="16" w:after="16" w:line="200" w:lineRule="auto"/>
            </w:pPr>
            <w:r>
              <w:rPr>
                <w:rFonts w:ascii="Times New Roman" w:hAnsi="Times New Roman" w:cs="Times New Roman"/>
                <w:b w:val="0"/>
                <w:i w:val="0"/>
                <w:sz w:val="15"/>
              </w:rPr>
              <w:t>0.8179</w:t>
            </w:r>
          </w:p>
        </w:tc>
        <w:tc>
          <w:tcPr>
            <w:tcW w:w="623" w:type="dxa"/>
            <w:noWrap/>
          </w:tcPr>
          <w:p>
            <w:pPr>
              <w:jc w:val="center"/>
              <w:spacing w:before="16" w:after="16" w:line="200" w:lineRule="auto"/>
            </w:pPr>
            <w:r>
              <w:rPr>
                <w:rFonts w:ascii="Times New Roman" w:hAnsi="Times New Roman" w:cs="Times New Roman"/>
                <w:b w:val="0"/>
                <w:i w:val="0"/>
                <w:sz w:val="15"/>
              </w:rPr>
              <w:t>0.8054</w:t>
            </w:r>
          </w:p>
        </w:tc>
        <w:tc>
          <w:tcPr>
            <w:tcW w:w="623" w:type="dxa"/>
            <w:noWrap/>
          </w:tcPr>
          <w:p>
            <w:pPr>
              <w:jc w:val="center"/>
              <w:spacing w:before="16" w:after="16" w:line="200" w:lineRule="auto"/>
            </w:pPr>
            <w:r>
              <w:rPr>
                <w:rFonts w:ascii="Times New Roman" w:hAnsi="Times New Roman" w:cs="Times New Roman"/>
                <w:b w:val="0"/>
                <w:i w:val="0"/>
                <w:sz w:val="15"/>
              </w:rPr>
              <w:t>0.8673</w:t>
            </w:r>
          </w:p>
        </w:tc>
        <w:tc>
          <w:tcPr>
            <w:tcW w:w="623" w:type="dxa"/>
            <w:noWrap/>
          </w:tcPr>
          <w:p>
            <w:pPr>
              <w:jc w:val="center"/>
              <w:spacing w:before="16" w:after="16" w:line="200" w:lineRule="auto"/>
            </w:pPr>
            <w:r>
              <w:rPr>
                <w:rFonts w:ascii="Times New Roman" w:hAnsi="Times New Roman" w:cs="Times New Roman"/>
                <w:b w:val="0"/>
                <w:i w:val="0"/>
                <w:sz w:val="15"/>
              </w:rPr>
              <w:t>0.8030</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134" w:type="dxa"/>
          </w:tcPr>
          <w:p>
            <w:pPr>
              <w:jc w:val="left"/>
              <w:spacing w:before="16" w:after="16" w:line="200" w:lineRule="auto"/>
            </w:pPr>
            <w:r>
              <w:rPr>
                <w:rFonts w:ascii="Times New Roman" w:hAnsi="Times New Roman" w:cs="Times New Roman"/>
                <w:b w:val="0"/>
                <w:i w:val="0"/>
                <w:sz w:val="15"/>
              </w:rPr>
              <w:t>K = 7 (Filtered)</w:t>
            </w:r>
          </w:p>
        </w:tc>
        <w:tc>
          <w:tcPr>
            <w:tcW w:w="567" w:type="dxa"/>
            <w:noWrap/>
          </w:tcPr>
          <w:p>
            <w:pPr>
              <w:jc w:val="center"/>
              <w:spacing w:before="16" w:after="16" w:line="200" w:lineRule="auto"/>
            </w:pPr>
            <w:r>
              <w:rPr>
                <w:rFonts w:ascii="Times New Roman" w:hAnsi="Times New Roman" w:cs="Times New Roman"/>
                <w:b w:val="0"/>
                <w:i w:val="0"/>
                <w:sz w:val="15"/>
              </w:rPr>
              <w:t>0.35s</w:t>
            </w:r>
          </w:p>
        </w:tc>
        <w:tc>
          <w:tcPr>
            <w:tcW w:w="623" w:type="dxa"/>
            <w:noWrap/>
          </w:tcPr>
          <w:p>
            <w:pPr>
              <w:jc w:val="center"/>
              <w:spacing w:before="16" w:after="16" w:line="200" w:lineRule="auto"/>
            </w:pPr>
            <w:r>
              <w:rPr>
                <w:rFonts w:ascii="Times New Roman" w:hAnsi="Times New Roman" w:cs="Times New Roman"/>
                <w:b w:val="0"/>
                <w:i w:val="0"/>
                <w:sz w:val="15"/>
              </w:rPr>
              <w:t>0.8135</w:t>
            </w:r>
          </w:p>
        </w:tc>
        <w:tc>
          <w:tcPr>
            <w:tcW w:w="623" w:type="dxa"/>
            <w:noWrap/>
          </w:tcPr>
          <w:p>
            <w:pPr>
              <w:jc w:val="center"/>
              <w:spacing w:before="16" w:after="16" w:line="200" w:lineRule="auto"/>
            </w:pPr>
            <w:r>
              <w:rPr>
                <w:rFonts w:ascii="Times New Roman" w:hAnsi="Times New Roman" w:cs="Times New Roman"/>
                <w:b w:val="0"/>
                <w:i w:val="0"/>
                <w:sz w:val="15"/>
              </w:rPr>
              <w:t>0.8000</w:t>
            </w:r>
          </w:p>
        </w:tc>
        <w:tc>
          <w:tcPr>
            <w:tcW w:w="623" w:type="dxa"/>
            <w:noWrap/>
          </w:tcPr>
          <w:p>
            <w:pPr>
              <w:jc w:val="center"/>
              <w:spacing w:before="16" w:after="16" w:line="200" w:lineRule="auto"/>
            </w:pPr>
            <w:r>
              <w:rPr>
                <w:rFonts w:ascii="Times New Roman" w:hAnsi="Times New Roman" w:cs="Times New Roman"/>
                <w:b w:val="0"/>
                <w:i w:val="0"/>
                <w:sz w:val="15"/>
              </w:rPr>
              <w:t>0.8653</w:t>
            </w:r>
          </w:p>
        </w:tc>
        <w:tc>
          <w:tcPr>
            <w:tcW w:w="623" w:type="dxa"/>
            <w:noWrap/>
          </w:tcPr>
          <w:p>
            <w:pPr>
              <w:jc w:val="center"/>
              <w:spacing w:before="16" w:after="16" w:line="200" w:lineRule="auto"/>
            </w:pPr>
            <w:r>
              <w:rPr>
                <w:rFonts w:ascii="Times New Roman" w:hAnsi="Times New Roman" w:cs="Times New Roman"/>
                <w:b w:val="0"/>
                <w:i w:val="0"/>
                <w:sz w:val="15"/>
              </w:rPr>
              <w:t>0.7986</w:t>
            </w:r>
          </w:p>
        </w:tc>
        <w:tc>
          <w:tcPr>
            <w:tcW w:w="567" w:type="dxa"/>
            <w:noWrap/>
          </w:tcPr>
          <w:p>
            <w:pPr>
              <w:jc w:val="center"/>
              <w:spacing w:before="16" w:after="16" w:line="200" w:lineRule="auto"/>
            </w:pPr>
            <w:r>
              <w:rPr>
                <w:rFonts w:ascii="Times New Roman" w:hAnsi="Times New Roman" w:cs="Times New Roman"/>
                <w:b w:val="0"/>
                <w:i w:val="0"/>
                <w:sz w:val="15"/>
              </w:rPr>
              <w:t>0.00%</w:t>
            </w:r>
          </w:p>
        </w:tc>
      </w:tr>
      <w:tr>
        <w:tc>
          <w:tcPr>
            <w:tcW w:w="1134" w:type="dxa"/>
          </w:tcPr>
          <w:p>
            <w:pPr>
              <w:jc w:val="left"/>
              <w:spacing w:before="16" w:after="16" w:line="200" w:lineRule="auto"/>
            </w:pPr>
            <w:r>
              <w:rPr>
                <w:rFonts w:ascii="Times New Roman" w:hAnsi="Times New Roman" w:cs="Times New Roman"/>
                <w:b/>
                <w:i w:val="0"/>
                <w:sz w:val="15"/>
              </w:rPr>
              <w:t>K = 10 (Strict)</w:t>
            </w:r>
          </w:p>
        </w:tc>
        <w:tc>
          <w:tcPr>
            <w:tcW w:w="567" w:type="dxa"/>
            <w:noWrap/>
          </w:tcPr>
          <w:p>
            <w:pPr>
              <w:jc w:val="center"/>
              <w:spacing w:before="16" w:after="16" w:line="200" w:lineRule="auto"/>
            </w:pPr>
            <w:r>
              <w:rPr>
                <w:rFonts w:ascii="Times New Roman" w:hAnsi="Times New Roman" w:cs="Times New Roman"/>
                <w:b/>
                <w:i w:val="0"/>
                <w:sz w:val="15"/>
              </w:rPr>
              <w:t>0.50s</w:t>
            </w:r>
          </w:p>
        </w:tc>
        <w:tc>
          <w:tcPr>
            <w:tcW w:w="623" w:type="dxa"/>
            <w:noWrap/>
          </w:tcPr>
          <w:p>
            <w:pPr>
              <w:jc w:val="center"/>
              <w:spacing w:before="16" w:after="16" w:line="200" w:lineRule="auto"/>
            </w:pPr>
            <w:r>
              <w:rPr>
                <w:rFonts w:ascii="Times New Roman" w:hAnsi="Times New Roman" w:cs="Times New Roman"/>
                <w:b/>
                <w:i w:val="0"/>
                <w:sz w:val="15"/>
              </w:rPr>
              <w:t>0.8047</w:t>
            </w:r>
          </w:p>
        </w:tc>
        <w:tc>
          <w:tcPr>
            <w:tcW w:w="623" w:type="dxa"/>
            <w:noWrap/>
          </w:tcPr>
          <w:p>
            <w:pPr>
              <w:jc w:val="center"/>
              <w:spacing w:before="16" w:after="16" w:line="200" w:lineRule="auto"/>
            </w:pPr>
            <w:r>
              <w:rPr>
                <w:rFonts w:ascii="Times New Roman" w:hAnsi="Times New Roman" w:cs="Times New Roman"/>
                <w:b/>
                <w:i w:val="0"/>
                <w:sz w:val="15"/>
              </w:rPr>
              <w:t>0.7893</w:t>
            </w:r>
          </w:p>
        </w:tc>
        <w:tc>
          <w:tcPr>
            <w:tcW w:w="623" w:type="dxa"/>
            <w:noWrap/>
          </w:tcPr>
          <w:p>
            <w:pPr>
              <w:jc w:val="center"/>
              <w:spacing w:before="16" w:after="16" w:line="200" w:lineRule="auto"/>
            </w:pPr>
            <w:r>
              <w:rPr>
                <w:rFonts w:ascii="Times New Roman" w:hAnsi="Times New Roman" w:cs="Times New Roman"/>
                <w:b/>
                <w:i w:val="0"/>
                <w:sz w:val="15"/>
              </w:rPr>
              <w:t>0.8604</w:t>
            </w:r>
          </w:p>
        </w:tc>
        <w:tc>
          <w:tcPr>
            <w:tcW w:w="623" w:type="dxa"/>
            <w:noWrap/>
          </w:tcPr>
          <w:p>
            <w:pPr>
              <w:jc w:val="center"/>
              <w:spacing w:before="16" w:after="16" w:line="200" w:lineRule="auto"/>
            </w:pPr>
            <w:r>
              <w:rPr>
                <w:rFonts w:ascii="Times New Roman" w:hAnsi="Times New Roman" w:cs="Times New Roman"/>
                <w:b/>
                <w:i w:val="0"/>
                <w:sz w:val="15"/>
              </w:rPr>
              <w:t>0.7898</w:t>
            </w:r>
          </w:p>
        </w:tc>
        <w:tc>
          <w:tcPr>
            <w:tcW w:w="567" w:type="dxa"/>
            <w:noWrap/>
          </w:tcPr>
          <w:p>
            <w:pPr>
              <w:jc w:val="center"/>
              <w:spacing w:before="16" w:after="16" w:line="200" w:lineRule="auto"/>
            </w:pPr>
            <w:r>
              <w:rPr>
                <w:rFonts w:ascii="Times New Roman" w:hAnsi="Times New Roman" w:cs="Times New Roman"/>
                <w:b/>
                <w:i w:val="0"/>
                <w:sz w:val="15"/>
              </w:rPr>
              <w:t>0.00%</w:t>
            </w:r>
          </w:p>
        </w:tc>
      </w:tr>
    </w:tbl>
    <w:p>
      <w:pPr>
        <w:spacing w:before="0" w:after="40" w:line="100" w:lineRule="auto"/>
      </w:pPr>
    </w:p>
    <w:p>
      <w:pPr>
        <w:jc w:val="center"/>
        <w:spacing w:before="80" w:after="20" w:line="220" w:lineRule="auto"/>
      </w:pPr>
      <w:r>
        <w:drawing>
          <wp:inline xmlns:a="http://schemas.openxmlformats.org/drawingml/2006/main" xmlns:pic="http://schemas.openxmlformats.org/drawingml/2006/picture">
            <wp:extent cx="2736000" cy="1641600"/>
            <wp:docPr id="4" name="Picture 4"/>
            <wp:cNvGraphicFramePr>
              <a:graphicFrameLocks noChangeAspect="1"/>
            </wp:cNvGraphicFramePr>
            <a:graphic>
              <a:graphicData uri="http://schemas.openxmlformats.org/drawingml/2006/picture">
                <pic:pic>
                  <pic:nvPicPr>
                    <pic:cNvPr id="0" name="alert_suppression.png"/>
                    <pic:cNvPicPr/>
                  </pic:nvPicPr>
                  <pic:blipFill>
                    <a:blip r:embed="rId12"/>
                    <a:stretch>
                      <a:fillRect/>
                    </a:stretch>
                  </pic:blipFill>
                  <pic:spPr>
                    <a:xfrm>
                      <a:off x="0" y="0"/>
                      <a:ext cx="2736000" cy="1641600"/>
                    </a:xfrm>
                    <a:prstGeom prst="rect"/>
                  </pic:spPr>
                </pic:pic>
              </a:graphicData>
            </a:graphic>
          </wp:inline>
        </w:drawing>
      </w:r>
    </w:p>
    <w:p>
      <w:pPr>
        <w:jc w:val="center"/>
        <w:spacing w:before="0" w:after="80" w:line="210" w:lineRule="auto"/>
      </w:pPr>
      <w:r>
        <w:rPr>
          <w:rFonts w:ascii="Times New Roman" w:hAnsi="Times New Roman" w:cs="Times New Roman"/>
          <w:b w:val="0"/>
          <w:i/>
          <w:sz w:val="16"/>
        </w:rPr>
        <w:t>Fig. 4. False alarm rate suppression vs Macro F1 trade-off curve.</w:t>
      </w:r>
    </w:p>
    <w:p>
      <w:pPr>
        <w:jc w:val="left"/>
        <w:spacing w:before="100" w:after="35" w:line="240" w:lineRule="auto"/>
      </w:pPr>
      <w:r>
        <w:rPr>
          <w:rFonts w:ascii="Times New Roman" w:hAnsi="Times New Roman" w:cs="Times New Roman"/>
          <w:b/>
          <w:i/>
          <w:sz w:val="19"/>
        </w:rPr>
        <w:t>E.  Early Warning Lead Time and Confusion Matrix Breakdown</w:t>
      </w:r>
    </w:p>
    <w:p>
      <w:pPr>
        <w:jc w:val="both"/>
        <w:spacing w:before="0" w:after="50" w:line="240" w:lineRule="auto"/>
      </w:pPr>
      <w:r>
        <w:rPr>
          <w:rFonts w:ascii="Times New Roman" w:hAnsi="Times New Roman" w:cs="Times New Roman"/>
          <w:b w:val="0"/>
          <w:i w:val="0"/>
          <w:sz w:val="19"/>
        </w:rPr>
        <w:t>Across all independent test event onsets, CrowdSentinel delivered an average early warning lead time of 2.52 seconds (median: 3.20s, range: 1.10s to 3.25s) before dangerous physical congestion or panic occurred. The normalized confusion matrix (Fig. 5) reveals that 100% of normal walking frames were classified correctly with zero false alarms into high or critical tiers. Residual confusion occurred primarily along the transitional boundary between Warning and Normal during gradual deceleration phases.</w:t>
      </w:r>
    </w:p>
    <w:p>
      <w:pPr>
        <w:jc w:val="center"/>
        <w:spacing w:before="80" w:after="20" w:line="220" w:lineRule="auto"/>
      </w:pPr>
      <w:r>
        <w:drawing>
          <wp:inline xmlns:a="http://schemas.openxmlformats.org/drawingml/2006/main" xmlns:pic="http://schemas.openxmlformats.org/drawingml/2006/picture">
            <wp:extent cx="2592000" cy="21600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2592000" cy="2160000"/>
                    </a:xfrm>
                    <a:prstGeom prst="rect"/>
                  </pic:spPr>
                </pic:pic>
              </a:graphicData>
            </a:graphic>
          </wp:inline>
        </w:drawing>
      </w:r>
    </w:p>
    <w:p>
      <w:pPr>
        <w:jc w:val="center"/>
        <w:spacing w:before="0" w:after="80" w:line="210" w:lineRule="auto"/>
      </w:pPr>
      <w:r>
        <w:rPr>
          <w:rFonts w:ascii="Times New Roman" w:hAnsi="Times New Roman" w:cs="Times New Roman"/>
          <w:b w:val="0"/>
          <w:i/>
          <w:sz w:val="16"/>
        </w:rPr>
        <w:t>Fig. 5. Normalized confusion matrix on held-out test partition.</w:t>
      </w:r>
    </w:p>
    <w:p>
      <w:pPr>
        <w:jc w:val="left"/>
        <w:spacing w:before="100" w:after="35" w:line="240" w:lineRule="auto"/>
      </w:pPr>
      <w:r>
        <w:rPr>
          <w:rFonts w:ascii="Times New Roman" w:hAnsi="Times New Roman" w:cs="Times New Roman"/>
          <w:b/>
          <w:i/>
          <w:sz w:val="19"/>
        </w:rPr>
        <w:t>F.  Computational Runtime Profiling</w:t>
      </w:r>
    </w:p>
    <w:p>
      <w:pPr>
        <w:jc w:val="both"/>
        <w:spacing w:before="0" w:after="50" w:line="240" w:lineRule="auto"/>
      </w:pPr>
      <w:r>
        <w:rPr>
          <w:rFonts w:ascii="Times New Roman" w:hAnsi="Times New Roman" w:cs="Times New Roman"/>
          <w:b w:val="0"/>
          <w:i w:val="0"/>
          <w:sz w:val="19"/>
        </w:rPr>
        <w:t>Table VI details the end-to-end computational throughput across standard resolutions on a single Intel Core i7 CPU. The full multi-modal pipeline operates at 7.4 FPS for VGA resolution with an average latency of 136.7 ms.</w:t>
      </w:r>
    </w:p>
    <w:p>
      <w:pPr>
        <w:jc w:val="center"/>
        <w:spacing w:before="110" w:after="15" w:line="220" w:lineRule="auto"/>
      </w:pPr>
      <w:r>
        <w:rPr>
          <w:rFonts w:ascii="Times New Roman" w:hAnsi="Times New Roman" w:cs="Times New Roman"/>
          <w:b/>
          <w:i w:val="0"/>
          <w:sz w:val="17"/>
        </w:rPr>
        <w:t>TABLE VI</w:t>
      </w:r>
    </w:p>
    <w:p>
      <w:pPr>
        <w:jc w:val="center"/>
        <w:spacing w:before="0" w:after="40" w:line="220" w:lineRule="auto"/>
      </w:pPr>
      <w:r>
        <w:rPr>
          <w:rFonts w:ascii="Times New Roman" w:hAnsi="Times New Roman" w:cs="Times New Roman"/>
          <w:b w:val="0"/>
          <w:i/>
          <w:sz w:val="16"/>
        </w:rPr>
        <w:t>END-TO-END PROCESSING THROUGHPUT &amp; LATENCY PROFILE</w:t>
      </w:r>
    </w:p>
    <w:tbl>
      <w:tblPr>
        <w:tblW w:type="auto" w:w="0"/>
        <w:jc w:val="center"/>
        <w:tblLook w:firstColumn="1" w:firstRow="1" w:lastColumn="0" w:lastRow="0" w:noHBand="0" w:noVBand="1" w:val="04A0"/>
        <w:tblCellMar>
          <w:top w:w="30" w:type="dxa"/>
          <w:bottom w:w="30" w:type="dxa"/>
          <w:left w:w="35" w:type="dxa"/>
          <w:right w:w="35" w:type="dxa"/>
        </w:tblCellMar>
        <w:tblBorders>
          <w:top w:val="single" w:sz="8" w:space="0" w:color="000000"/>
          <w:bottom w:val="single" w:sz="8" w:space="0" w:color="000000"/>
          <w:insideH w:val="single" w:sz="4" w:space="0" w:color="D0D0D0"/>
          <w:left w:val="none"/>
          <w:right w:val="none"/>
          <w:insideV w:val="none"/>
        </w:tblBorders>
      </w:tblPr>
      <w:tblGrid>
        <w:gridCol w:w="1738"/>
        <w:gridCol w:w="1738"/>
        <w:gridCol w:w="1738"/>
        <w:gridCol w:w="1738"/>
        <w:gridCol w:w="1738"/>
        <w:gridCol w:w="1738"/>
      </w:tblGrid>
      <w:tr>
        <w:tc>
          <w:tcPr>
            <w:tcW w:w="1247" w:type="dxa"/>
          </w:tcPr>
          <w:p>
            <w:pPr>
              <w:jc w:val="center"/>
              <w:spacing w:before="20" w:after="20" w:line="200" w:lineRule="auto"/>
            </w:pPr>
            <w:r>
              <w:rPr>
                <w:rFonts w:ascii="Times New Roman" w:hAnsi="Times New Roman" w:cs="Times New Roman"/>
                <w:b/>
                <w:i w:val="0"/>
                <w:sz w:val="15"/>
              </w:rPr>
              <w:t>Resolution</w:t>
            </w:r>
          </w:p>
        </w:tc>
        <w:tc>
          <w:tcPr>
            <w:tcW w:w="623" w:type="dxa"/>
            <w:noWrap/>
          </w:tcPr>
          <w:p>
            <w:pPr>
              <w:jc w:val="center"/>
              <w:spacing w:before="20" w:after="20" w:line="200" w:lineRule="auto"/>
            </w:pPr>
            <w:r>
              <w:rPr>
                <w:rFonts w:ascii="Times New Roman" w:hAnsi="Times New Roman" w:cs="Times New Roman"/>
                <w:b/>
                <w:i w:val="0"/>
                <w:sz w:val="15"/>
              </w:rPr>
              <w:t>Input FPS</w:t>
            </w:r>
          </w:p>
        </w:tc>
        <w:tc>
          <w:tcPr>
            <w:tcW w:w="737" w:type="dxa"/>
            <w:noWrap/>
          </w:tcPr>
          <w:p>
            <w:pPr>
              <w:jc w:val="center"/>
              <w:spacing w:before="20" w:after="20" w:line="200" w:lineRule="auto"/>
            </w:pPr>
            <w:r>
              <w:rPr>
                <w:rFonts w:ascii="Times New Roman" w:hAnsi="Times New Roman" w:cs="Times New Roman"/>
                <w:b/>
                <w:i w:val="0"/>
                <w:sz w:val="15"/>
              </w:rPr>
              <w:t>End-to-End FPS</w:t>
            </w:r>
          </w:p>
        </w:tc>
        <w:tc>
          <w:tcPr>
            <w:tcW w:w="737" w:type="dxa"/>
            <w:noWrap/>
          </w:tcPr>
          <w:p>
            <w:pPr>
              <w:jc w:val="center"/>
              <w:spacing w:before="20" w:after="20" w:line="200" w:lineRule="auto"/>
            </w:pPr>
            <w:r>
              <w:rPr>
                <w:rFonts w:ascii="Times New Roman" w:hAnsi="Times New Roman" w:cs="Times New Roman"/>
                <w:b/>
                <w:i w:val="0"/>
                <w:sz w:val="15"/>
              </w:rPr>
              <w:t>Mean Latency</w:t>
            </w:r>
          </w:p>
        </w:tc>
        <w:tc>
          <w:tcPr>
            <w:tcW w:w="737" w:type="dxa"/>
            <w:noWrap/>
          </w:tcPr>
          <w:p>
            <w:pPr>
              <w:jc w:val="center"/>
              <w:spacing w:before="20" w:after="20" w:line="200" w:lineRule="auto"/>
            </w:pPr>
            <w:r>
              <w:rPr>
                <w:rFonts w:ascii="Times New Roman" w:hAnsi="Times New Roman" w:cs="Times New Roman"/>
                <w:b/>
                <w:i w:val="0"/>
                <w:sz w:val="15"/>
              </w:rPr>
              <w:t>P95 Latency</w:t>
            </w:r>
          </w:p>
        </w:tc>
        <w:tc>
          <w:tcPr>
            <w:tcW w:w="623" w:type="dxa"/>
            <w:noWrap/>
          </w:tcPr>
          <w:p>
            <w:pPr>
              <w:jc w:val="center"/>
              <w:spacing w:before="20" w:after="20" w:line="200" w:lineRule="auto"/>
            </w:pPr>
            <w:r>
              <w:rPr>
                <w:rFonts w:ascii="Times New Roman" w:hAnsi="Times New Roman" w:cs="Times New Roman"/>
                <w:b/>
                <w:i w:val="0"/>
                <w:sz w:val="15"/>
              </w:rPr>
              <w:t>Hardware Device</w:t>
            </w:r>
          </w:p>
        </w:tc>
      </w:tr>
      <w:tr>
        <w:tc>
          <w:tcPr>
            <w:tcW w:w="1247" w:type="dxa"/>
          </w:tcPr>
          <w:p>
            <w:pPr>
              <w:jc w:val="left"/>
              <w:spacing w:before="16" w:after="16" w:line="200" w:lineRule="auto"/>
            </w:pPr>
            <w:r>
              <w:rPr>
                <w:rFonts w:ascii="Times New Roman" w:hAnsi="Times New Roman" w:cs="Times New Roman"/>
                <w:b w:val="0"/>
                <w:i w:val="0"/>
                <w:sz w:val="15"/>
              </w:rPr>
              <w:t>640x480 (VGA)</w:t>
            </w:r>
          </w:p>
        </w:tc>
        <w:tc>
          <w:tcPr>
            <w:tcW w:w="623" w:type="dxa"/>
            <w:noWrap/>
          </w:tcPr>
          <w:p>
            <w:pPr>
              <w:jc w:val="center"/>
              <w:spacing w:before="16" w:after="16" w:line="200" w:lineRule="auto"/>
            </w:pPr>
            <w:r>
              <w:rPr>
                <w:rFonts w:ascii="Times New Roman" w:hAnsi="Times New Roman" w:cs="Times New Roman"/>
                <w:b w:val="0"/>
                <w:i w:val="0"/>
                <w:sz w:val="15"/>
              </w:rPr>
              <w:t>20.0</w:t>
            </w:r>
          </w:p>
        </w:tc>
        <w:tc>
          <w:tcPr>
            <w:tcW w:w="737" w:type="dxa"/>
            <w:noWrap/>
          </w:tcPr>
          <w:p>
            <w:pPr>
              <w:jc w:val="center"/>
              <w:spacing w:before="16" w:after="16" w:line="200" w:lineRule="auto"/>
            </w:pPr>
            <w:r>
              <w:rPr>
                <w:rFonts w:ascii="Times New Roman" w:hAnsi="Times New Roman" w:cs="Times New Roman"/>
                <w:b w:val="0"/>
                <w:i w:val="0"/>
                <w:sz w:val="15"/>
              </w:rPr>
              <w:t>7.4 FPS</w:t>
            </w:r>
          </w:p>
        </w:tc>
        <w:tc>
          <w:tcPr>
            <w:tcW w:w="737" w:type="dxa"/>
            <w:noWrap/>
          </w:tcPr>
          <w:p>
            <w:pPr>
              <w:jc w:val="center"/>
              <w:spacing w:before="16" w:after="16" w:line="200" w:lineRule="auto"/>
            </w:pPr>
            <w:r>
              <w:rPr>
                <w:rFonts w:ascii="Times New Roman" w:hAnsi="Times New Roman" w:cs="Times New Roman"/>
                <w:b w:val="0"/>
                <w:i w:val="0"/>
                <w:sz w:val="15"/>
              </w:rPr>
              <w:t>136.7 ms</w:t>
            </w:r>
          </w:p>
        </w:tc>
        <w:tc>
          <w:tcPr>
            <w:tcW w:w="737" w:type="dxa"/>
            <w:noWrap/>
          </w:tcPr>
          <w:p>
            <w:pPr>
              <w:jc w:val="center"/>
              <w:spacing w:before="16" w:after="16" w:line="200" w:lineRule="auto"/>
            </w:pPr>
            <w:r>
              <w:rPr>
                <w:rFonts w:ascii="Times New Roman" w:hAnsi="Times New Roman" w:cs="Times New Roman"/>
                <w:b w:val="0"/>
                <w:i w:val="0"/>
                <w:sz w:val="15"/>
              </w:rPr>
              <w:t>172.5 ms</w:t>
            </w:r>
          </w:p>
        </w:tc>
        <w:tc>
          <w:tcPr>
            <w:tcW w:w="623" w:type="dxa"/>
            <w:noWrap/>
          </w:tcPr>
          <w:p>
            <w:pPr>
              <w:jc w:val="center"/>
              <w:spacing w:before="16" w:after="16" w:line="200" w:lineRule="auto"/>
            </w:pPr>
            <w:r>
              <w:rPr>
                <w:rFonts w:ascii="Times New Roman" w:hAnsi="Times New Roman" w:cs="Times New Roman"/>
                <w:b w:val="0"/>
                <w:i w:val="0"/>
                <w:sz w:val="15"/>
              </w:rPr>
              <w:t>Intel Core i7 CPU</w:t>
            </w:r>
          </w:p>
        </w:tc>
      </w:tr>
      <w:tr>
        <w:tc>
          <w:tcPr>
            <w:tcW w:w="1247" w:type="dxa"/>
          </w:tcPr>
          <w:p>
            <w:pPr>
              <w:jc w:val="left"/>
              <w:spacing w:before="16" w:after="16" w:line="200" w:lineRule="auto"/>
            </w:pPr>
            <w:r>
              <w:rPr>
                <w:rFonts w:ascii="Times New Roman" w:hAnsi="Times New Roman" w:cs="Times New Roman"/>
                <w:b w:val="0"/>
                <w:i w:val="0"/>
                <w:sz w:val="15"/>
              </w:rPr>
              <w:t>1280x720 (HD)</w:t>
            </w:r>
          </w:p>
        </w:tc>
        <w:tc>
          <w:tcPr>
            <w:tcW w:w="623" w:type="dxa"/>
            <w:noWrap/>
          </w:tcPr>
          <w:p>
            <w:pPr>
              <w:jc w:val="center"/>
              <w:spacing w:before="16" w:after="16" w:line="200" w:lineRule="auto"/>
            </w:pPr>
            <w:r>
              <w:rPr>
                <w:rFonts w:ascii="Times New Roman" w:hAnsi="Times New Roman" w:cs="Times New Roman"/>
                <w:b w:val="0"/>
                <w:i w:val="0"/>
                <w:sz w:val="15"/>
              </w:rPr>
              <w:t>20.0</w:t>
            </w:r>
          </w:p>
        </w:tc>
        <w:tc>
          <w:tcPr>
            <w:tcW w:w="737" w:type="dxa"/>
            <w:noWrap/>
          </w:tcPr>
          <w:p>
            <w:pPr>
              <w:jc w:val="center"/>
              <w:spacing w:before="16" w:after="16" w:line="200" w:lineRule="auto"/>
            </w:pPr>
            <w:r>
              <w:rPr>
                <w:rFonts w:ascii="Times New Roman" w:hAnsi="Times New Roman" w:cs="Times New Roman"/>
                <w:b w:val="0"/>
                <w:i w:val="0"/>
                <w:sz w:val="15"/>
              </w:rPr>
              <w:t>5.3 FPS</w:t>
            </w:r>
          </w:p>
        </w:tc>
        <w:tc>
          <w:tcPr>
            <w:tcW w:w="737" w:type="dxa"/>
            <w:noWrap/>
          </w:tcPr>
          <w:p>
            <w:pPr>
              <w:jc w:val="center"/>
              <w:spacing w:before="16" w:after="16" w:line="200" w:lineRule="auto"/>
            </w:pPr>
            <w:r>
              <w:rPr>
                <w:rFonts w:ascii="Times New Roman" w:hAnsi="Times New Roman" w:cs="Times New Roman"/>
                <w:b w:val="0"/>
                <w:i w:val="0"/>
                <w:sz w:val="15"/>
              </w:rPr>
              <w:t>188.7 ms</w:t>
            </w:r>
          </w:p>
        </w:tc>
        <w:tc>
          <w:tcPr>
            <w:tcW w:w="737" w:type="dxa"/>
            <w:noWrap/>
          </w:tcPr>
          <w:p>
            <w:pPr>
              <w:jc w:val="center"/>
              <w:spacing w:before="16" w:after="16" w:line="200" w:lineRule="auto"/>
            </w:pPr>
            <w:r>
              <w:rPr>
                <w:rFonts w:ascii="Times New Roman" w:hAnsi="Times New Roman" w:cs="Times New Roman"/>
                <w:b w:val="0"/>
                <w:i w:val="0"/>
                <w:sz w:val="15"/>
              </w:rPr>
              <w:t>241.5 ms</w:t>
            </w:r>
          </w:p>
        </w:tc>
        <w:tc>
          <w:tcPr>
            <w:tcW w:w="623" w:type="dxa"/>
            <w:noWrap/>
          </w:tcPr>
          <w:p>
            <w:pPr>
              <w:jc w:val="center"/>
              <w:spacing w:before="16" w:after="16" w:line="200" w:lineRule="auto"/>
            </w:pPr>
            <w:r>
              <w:rPr>
                <w:rFonts w:ascii="Times New Roman" w:hAnsi="Times New Roman" w:cs="Times New Roman"/>
                <w:b w:val="0"/>
                <w:i w:val="0"/>
                <w:sz w:val="15"/>
              </w:rPr>
              <w:t>Intel Core i7 CPU</w:t>
            </w:r>
          </w:p>
        </w:tc>
      </w:tr>
      <w:tr>
        <w:tc>
          <w:tcPr>
            <w:tcW w:w="1247" w:type="dxa"/>
          </w:tcPr>
          <w:p>
            <w:pPr>
              <w:jc w:val="left"/>
              <w:spacing w:before="16" w:after="16" w:line="200" w:lineRule="auto"/>
            </w:pPr>
            <w:r>
              <w:rPr>
                <w:rFonts w:ascii="Times New Roman" w:hAnsi="Times New Roman" w:cs="Times New Roman"/>
                <w:b w:val="0"/>
                <w:i w:val="0"/>
                <w:sz w:val="15"/>
              </w:rPr>
              <w:t>1920x1080 (FHD)</w:t>
            </w:r>
          </w:p>
        </w:tc>
        <w:tc>
          <w:tcPr>
            <w:tcW w:w="623" w:type="dxa"/>
            <w:noWrap/>
          </w:tcPr>
          <w:p>
            <w:pPr>
              <w:jc w:val="center"/>
              <w:spacing w:before="16" w:after="16" w:line="200" w:lineRule="auto"/>
            </w:pPr>
            <w:r>
              <w:rPr>
                <w:rFonts w:ascii="Times New Roman" w:hAnsi="Times New Roman" w:cs="Times New Roman"/>
                <w:b w:val="0"/>
                <w:i w:val="0"/>
                <w:sz w:val="15"/>
              </w:rPr>
              <w:t>20.0</w:t>
            </w:r>
          </w:p>
        </w:tc>
        <w:tc>
          <w:tcPr>
            <w:tcW w:w="737" w:type="dxa"/>
            <w:noWrap/>
          </w:tcPr>
          <w:p>
            <w:pPr>
              <w:jc w:val="center"/>
              <w:spacing w:before="16" w:after="16" w:line="200" w:lineRule="auto"/>
            </w:pPr>
            <w:r>
              <w:rPr>
                <w:rFonts w:ascii="Times New Roman" w:hAnsi="Times New Roman" w:cs="Times New Roman"/>
                <w:b w:val="0"/>
                <w:i w:val="0"/>
                <w:sz w:val="15"/>
              </w:rPr>
              <w:t>3.6 FPS</w:t>
            </w:r>
          </w:p>
        </w:tc>
        <w:tc>
          <w:tcPr>
            <w:tcW w:w="737" w:type="dxa"/>
            <w:noWrap/>
          </w:tcPr>
          <w:p>
            <w:pPr>
              <w:jc w:val="center"/>
              <w:spacing w:before="16" w:after="16" w:line="200" w:lineRule="auto"/>
            </w:pPr>
            <w:r>
              <w:rPr>
                <w:rFonts w:ascii="Times New Roman" w:hAnsi="Times New Roman" w:cs="Times New Roman"/>
                <w:b w:val="0"/>
                <w:i w:val="0"/>
                <w:sz w:val="15"/>
              </w:rPr>
              <w:t>280.3 ms</w:t>
            </w:r>
          </w:p>
        </w:tc>
        <w:tc>
          <w:tcPr>
            <w:tcW w:w="737" w:type="dxa"/>
            <w:noWrap/>
          </w:tcPr>
          <w:p>
            <w:pPr>
              <w:jc w:val="center"/>
              <w:spacing w:before="16" w:after="16" w:line="200" w:lineRule="auto"/>
            </w:pPr>
            <w:r>
              <w:rPr>
                <w:rFonts w:ascii="Times New Roman" w:hAnsi="Times New Roman" w:cs="Times New Roman"/>
                <w:b w:val="0"/>
                <w:i w:val="0"/>
                <w:sz w:val="15"/>
              </w:rPr>
              <w:t>362.2 ms</w:t>
            </w:r>
          </w:p>
        </w:tc>
        <w:tc>
          <w:tcPr>
            <w:tcW w:w="623" w:type="dxa"/>
            <w:noWrap/>
          </w:tcPr>
          <w:p>
            <w:pPr>
              <w:jc w:val="center"/>
              <w:spacing w:before="16" w:after="16" w:line="200" w:lineRule="auto"/>
            </w:pPr>
            <w:r>
              <w:rPr>
                <w:rFonts w:ascii="Times New Roman" w:hAnsi="Times New Roman" w:cs="Times New Roman"/>
                <w:b w:val="0"/>
                <w:i w:val="0"/>
                <w:sz w:val="15"/>
              </w:rPr>
              <w:t>Intel Core i7 CPU</w:t>
            </w:r>
          </w:p>
        </w:tc>
      </w:tr>
    </w:tbl>
    <w:p>
      <w:pPr>
        <w:spacing w:before="0" w:after="40" w:line="100" w:lineRule="auto"/>
      </w:pPr>
    </w:p>
    <w:p>
      <w:pPr>
        <w:jc w:val="center"/>
        <w:spacing w:before="150" w:after="55" w:line="240" w:lineRule="auto"/>
      </w:pPr>
      <w:r>
        <w:rPr>
          <w:rFonts w:ascii="Times New Roman" w:hAnsi="Times New Roman" w:cs="Times New Roman"/>
          <w:b/>
          <w:i w:val="0"/>
          <w:sz w:val="20"/>
        </w:rPr>
        <w:t>VI.  OPERATIONAL DEPLOYMENT &amp; LIMITATIONS</w:t>
      </w:r>
    </w:p>
    <w:p>
      <w:pPr>
        <w:jc w:val="left"/>
        <w:spacing w:before="100" w:after="35" w:line="240" w:lineRule="auto"/>
      </w:pPr>
      <w:r>
        <w:rPr>
          <w:rFonts w:ascii="Times New Roman" w:hAnsi="Times New Roman" w:cs="Times New Roman"/>
          <w:b/>
          <w:i/>
          <w:sz w:val="19"/>
        </w:rPr>
        <w:t>A.  Control-Room Tiering and Alarm Protocol</w:t>
      </w:r>
    </w:p>
    <w:p>
      <w:pPr>
        <w:jc w:val="both"/>
        <w:spacing w:before="0" w:after="50" w:line="240" w:lineRule="auto"/>
      </w:pPr>
      <w:r>
        <w:rPr>
          <w:rFonts w:ascii="Times New Roman" w:hAnsi="Times New Roman" w:cs="Times New Roman"/>
          <w:b w:val="0"/>
          <w:i w:val="0"/>
          <w:sz w:val="19"/>
        </w:rPr>
        <w:t>In practical municipal safety deployments, automated risk predictions must translate into distinct operational protocols. A Normal classification maintains passive recording. A Warning classification triggers automated pan-tilt-zoom (PTZ) camera focusing on the target sector. A High Risk classification alerts human dispatchers with an on-screen bounding box overlay and factor attribution breakdown. A Critical classification initiates automated ingress barrier throttling and audible dispatcher notifications.</w:t>
      </w:r>
    </w:p>
    <w:p>
      <w:pPr>
        <w:jc w:val="left"/>
        <w:spacing w:before="100" w:after="35" w:line="240" w:lineRule="auto"/>
      </w:pPr>
      <w:r>
        <w:rPr>
          <w:rFonts w:ascii="Times New Roman" w:hAnsi="Times New Roman" w:cs="Times New Roman"/>
          <w:b/>
          <w:i/>
          <w:sz w:val="19"/>
        </w:rPr>
        <w:t>B.  Privacy Preservation and Ethical Compliance</w:t>
      </w:r>
    </w:p>
    <w:p>
      <w:pPr>
        <w:jc w:val="both"/>
        <w:spacing w:before="0" w:after="50" w:line="240" w:lineRule="auto"/>
      </w:pPr>
      <w:r>
        <w:rPr>
          <w:rFonts w:ascii="Times New Roman" w:hAnsi="Times New Roman" w:cs="Times New Roman"/>
          <w:b w:val="0"/>
          <w:i w:val="0"/>
          <w:sz w:val="19"/>
        </w:rPr>
        <w:t>CrowdSentinel is designed to respect pedestrian privacy in public environments. The system processes bounding-box occupancy domains and optical velocity fields without storing facial biometrics, gait signatures, or identifiable personal attributes. All visual processing occurs locally on edge compute nodes without transmitting raw video feeds across external networks.</w:t>
      </w:r>
    </w:p>
    <w:p>
      <w:pPr>
        <w:jc w:val="left"/>
        <w:spacing w:before="100" w:after="35" w:line="240" w:lineRule="auto"/>
      </w:pPr>
      <w:r>
        <w:rPr>
          <w:rFonts w:ascii="Times New Roman" w:hAnsi="Times New Roman" w:cs="Times New Roman"/>
          <w:b/>
          <w:i/>
          <w:sz w:val="19"/>
        </w:rPr>
        <w:t>C.  Technical Limitations &amp; Future Work</w:t>
      </w:r>
    </w:p>
    <w:p>
      <w:pPr>
        <w:jc w:val="both"/>
        <w:spacing w:before="0" w:after="50" w:line="240" w:lineRule="auto"/>
      </w:pPr>
      <w:r>
        <w:rPr>
          <w:rFonts w:ascii="Times New Roman" w:hAnsi="Times New Roman" w:cs="Times New Roman"/>
          <w:b w:val="0"/>
          <w:i w:val="0"/>
          <w:sz w:val="19"/>
        </w:rPr>
        <w:t>Although CrowdSentinel demonstrates strong predictive performance, three operational limitations remain. First, single-camera perspective distortion alters image-space velocity metrics without camera calibration matrices. Second, severe optical occlusions under extreme crowd densities (&gt;6 persons/m^2) degrade individual bounding box localization, which will benefit from continuous density map regression heads. Third, future work will focus on TensorRT edge acceleration and multi-camera graph network tracking across overlapping CCTV nodes.</w:t>
      </w:r>
    </w:p>
    <w:p>
      <w:pPr>
        <w:jc w:val="center"/>
        <w:spacing w:before="150" w:after="55" w:line="240" w:lineRule="auto"/>
      </w:pPr>
      <w:r>
        <w:rPr>
          <w:rFonts w:ascii="Times New Roman" w:hAnsi="Times New Roman" w:cs="Times New Roman"/>
          <w:b/>
          <w:i w:val="0"/>
          <w:sz w:val="20"/>
        </w:rPr>
        <w:t>VII.  CONCLUSION</w:t>
      </w:r>
    </w:p>
    <w:p>
      <w:pPr>
        <w:jc w:val="both"/>
        <w:spacing w:before="0" w:after="50" w:line="240" w:lineRule="auto"/>
      </w:pPr>
      <w:r>
        <w:rPr>
          <w:rFonts w:ascii="Times New Roman" w:hAnsi="Times New Roman" w:cs="Times New Roman"/>
          <w:b w:val="0"/>
          <w:i w:val="0"/>
          <w:sz w:val="19"/>
        </w:rPr>
        <w:t>This paper introduced CrowdSentinel, an explainable machine learning decision-support system for early crowd risk forecasting. By combining YOLOv8 person detection, Farneback optical flow, dual-branch physical compression and kinetic surge indicators, and multi-scale temporal windowing, the system achieves a 0.8266 to 0.8892 Macro F1-score across 18 video sequences under zero temporal leakage. Temporal persistence gating suppresses false alarm chattering to 0.00% while delivering a 2.52-second early warning lead time, establishing a robust computational foundation for intelligent crowd safety surveillance.</w:t>
      </w:r>
    </w:p>
    <w:p>
      <w:pPr>
        <w:jc w:val="center"/>
        <w:spacing w:before="150" w:after="55" w:line="240" w:lineRule="auto"/>
      </w:pPr>
      <w:r>
        <w:rPr>
          <w:rFonts w:ascii="Times New Roman" w:hAnsi="Times New Roman" w:cs="Times New Roman"/>
          <w:b/>
          <w:i w:val="0"/>
          <w:sz w:val="20"/>
        </w:rPr>
        <w:t>REFERENCES</w:t>
      </w:r>
    </w:p>
    <w:p>
      <w:pPr>
        <w:jc w:val="both"/>
        <w:spacing w:before="0" w:after="25" w:line="200" w:lineRule="auto"/>
      </w:pPr>
      <w:r>
        <w:rPr>
          <w:rFonts w:ascii="Times New Roman" w:hAnsi="Times New Roman" w:cs="Times New Roman"/>
          <w:b w:val="0"/>
          <w:i w:val="0"/>
          <w:sz w:val="16"/>
        </w:rPr>
        <w:t>[1] D. Helbing and P. Mukerji, "Crowd disasters as systemic failures: Analysis of the Love Parade disaster," EPJ Data Sci., vol. 1, no. 1, p. 7, 2012.</w:t>
      </w:r>
    </w:p>
    <w:p>
      <w:pPr>
        <w:jc w:val="both"/>
        <w:spacing w:before="0" w:after="25" w:line="200" w:lineRule="auto"/>
      </w:pPr>
      <w:r>
        <w:rPr>
          <w:rFonts w:ascii="Times New Roman" w:hAnsi="Times New Roman" w:cs="Times New Roman"/>
          <w:b w:val="0"/>
          <w:i w:val="0"/>
          <w:sz w:val="16"/>
        </w:rPr>
        <w:t>[2] B. Zhan, D. N. Monekosso, P. Remagnino, S. A. Velastin, and L. Q. Xu, "Crowd analysis: a survey," Mach. Vis. Appl., vol. 19, no. 5, pp. 345-357, 2008.</w:t>
      </w:r>
    </w:p>
    <w:p>
      <w:pPr>
        <w:jc w:val="both"/>
        <w:spacing w:before="0" w:after="25" w:line="200" w:lineRule="auto"/>
      </w:pPr>
      <w:r>
        <w:rPr>
          <w:rFonts w:ascii="Times New Roman" w:hAnsi="Times New Roman" w:cs="Times New Roman"/>
          <w:b w:val="0"/>
          <w:i w:val="0"/>
          <w:sz w:val="16"/>
        </w:rPr>
        <w:t>[3] Y. Zhang, D. Zhou, S. Chen, S. Gao, and Y. Ma, "Single-image crowd counting via multi-column convolutional neural network," in Proc. IEEE CVPR, 2016, pp. 589-597.</w:t>
      </w:r>
    </w:p>
    <w:p>
      <w:pPr>
        <w:jc w:val="both"/>
        <w:spacing w:before="0" w:after="25" w:line="200" w:lineRule="auto"/>
      </w:pPr>
      <w:r>
        <w:rPr>
          <w:rFonts w:ascii="Times New Roman" w:hAnsi="Times New Roman" w:cs="Times New Roman"/>
          <w:b w:val="0"/>
          <w:i w:val="0"/>
          <w:sz w:val="16"/>
        </w:rPr>
        <w:t>[4] V. A. Sindagi and V. M. Patel, "A survey of recent advances in cnn-based single image crowd counting and density estimation," Pattern Recognit. Lett., vol. 107, pp. 3-16, 2018.</w:t>
      </w:r>
    </w:p>
    <w:p>
      <w:pPr>
        <w:jc w:val="both"/>
        <w:spacing w:before="0" w:after="25" w:line="200" w:lineRule="auto"/>
      </w:pPr>
      <w:r>
        <w:rPr>
          <w:rFonts w:ascii="Times New Roman" w:hAnsi="Times New Roman" w:cs="Times New Roman"/>
          <w:b w:val="0"/>
          <w:i w:val="0"/>
          <w:sz w:val="16"/>
        </w:rPr>
        <w:t>[5] Q. Wang, J. Gao, W. Lin, and Y. Yuan, "NWPU-Crowd: A large-scale benchmark for crowd counting and localization," IEEE TPAMI, vol. 43, no. 6, pp. 2141-2149, 2020.</w:t>
      </w:r>
    </w:p>
    <w:p>
      <w:pPr>
        <w:jc w:val="both"/>
        <w:spacing w:before="0" w:after="25" w:line="200" w:lineRule="auto"/>
      </w:pPr>
      <w:r>
        <w:rPr>
          <w:rFonts w:ascii="Times New Roman" w:hAnsi="Times New Roman" w:cs="Times New Roman"/>
          <w:b w:val="0"/>
          <w:i w:val="0"/>
          <w:sz w:val="16"/>
        </w:rPr>
        <w:t>[6] S. Ali and M. Shah, "A Lagrangian particle dynamics approach for crowd flow segmentation and stability analysis," in Proc. IEEE CVPR, 2007, pp. 1-6.</w:t>
      </w:r>
    </w:p>
    <w:p>
      <w:pPr>
        <w:jc w:val="both"/>
        <w:spacing w:before="0" w:after="25" w:line="200" w:lineRule="auto"/>
      </w:pPr>
      <w:r>
        <w:rPr>
          <w:rFonts w:ascii="Times New Roman" w:hAnsi="Times New Roman" w:cs="Times New Roman"/>
          <w:b w:val="0"/>
          <w:i w:val="0"/>
          <w:sz w:val="16"/>
        </w:rPr>
        <w:t>[7] R. Mehran, A. Oyama, and M. Shah, "Abnormal crowd behavior detection using social force model," in Proc. IEEE CVPR, 2009, pp. 935-942.</w:t>
      </w:r>
    </w:p>
    <w:p>
      <w:pPr>
        <w:jc w:val="both"/>
        <w:spacing w:before="0" w:after="25" w:line="200" w:lineRule="auto"/>
      </w:pPr>
      <w:r>
        <w:rPr>
          <w:rFonts w:ascii="Times New Roman" w:hAnsi="Times New Roman" w:cs="Times New Roman"/>
          <w:b w:val="0"/>
          <w:i w:val="0"/>
          <w:sz w:val="16"/>
        </w:rPr>
        <w:t>[8] B. D. Lucas and T. Kanade, "An iterative image registration technique with an application to stereo vision," in Proc. IJCAI, 1981, pp. 674-679.</w:t>
      </w:r>
    </w:p>
    <w:p>
      <w:pPr>
        <w:jc w:val="both"/>
        <w:spacing w:before="0" w:after="25" w:line="200" w:lineRule="auto"/>
      </w:pPr>
      <w:r>
        <w:rPr>
          <w:rFonts w:ascii="Times New Roman" w:hAnsi="Times New Roman" w:cs="Times New Roman"/>
          <w:b w:val="0"/>
          <w:i w:val="0"/>
          <w:sz w:val="16"/>
        </w:rPr>
        <w:t>[9] B. K. Horn and B. G. Schunck, "Determining optical flow," Artif. Intell., vol. 17, no. 1-3, pp. 185-203, 1981.</w:t>
      </w:r>
    </w:p>
    <w:p>
      <w:pPr>
        <w:jc w:val="both"/>
        <w:spacing w:before="0" w:after="25" w:line="200" w:lineRule="auto"/>
      </w:pPr>
      <w:r>
        <w:rPr>
          <w:rFonts w:ascii="Times New Roman" w:hAnsi="Times New Roman" w:cs="Times New Roman"/>
          <w:b w:val="0"/>
          <w:i w:val="0"/>
          <w:sz w:val="16"/>
        </w:rPr>
        <w:t>[10] G. Farneback, "Two-frame motion estimation based on polynomial expansion," in Proc. SCIA. Springer, 2003, pp. 363-370.</w:t>
      </w:r>
    </w:p>
    <w:p>
      <w:pPr>
        <w:jc w:val="both"/>
        <w:spacing w:before="0" w:after="25" w:line="200" w:lineRule="auto"/>
      </w:pPr>
      <w:r>
        <w:rPr>
          <w:rFonts w:ascii="Times New Roman" w:hAnsi="Times New Roman" w:cs="Times New Roman"/>
          <w:b w:val="0"/>
          <w:i w:val="0"/>
          <w:sz w:val="16"/>
        </w:rPr>
        <w:t>[11] B. Zhou, X. Wang, and X. Tang, "Understanding collective behaviors of crowds," in Proc. IEEE CVPR, 2013, pp. 3594-3601.</w:t>
      </w:r>
    </w:p>
    <w:p>
      <w:pPr>
        <w:jc w:val="both"/>
        <w:spacing w:before="0" w:after="25" w:line="200" w:lineRule="auto"/>
      </w:pPr>
      <w:r>
        <w:rPr>
          <w:rFonts w:ascii="Times New Roman" w:hAnsi="Times New Roman" w:cs="Times New Roman"/>
          <w:b w:val="0"/>
          <w:i w:val="0"/>
          <w:sz w:val="16"/>
        </w:rPr>
        <w:t>[12] G. Jocher, A. Chaurasia, and J. Qiu, "Ultralytics YOLOv8," GitHub repository, 2023. [Online]. Available: https://github.com/ultralytics/ultralytics.</w:t>
      </w:r>
    </w:p>
    <w:p>
      <w:pPr>
        <w:jc w:val="both"/>
        <w:spacing w:before="0" w:after="25" w:line="200" w:lineRule="auto"/>
      </w:pPr>
      <w:r>
        <w:rPr>
          <w:rFonts w:ascii="Times New Roman" w:hAnsi="Times New Roman" w:cs="Times New Roman"/>
          <w:b w:val="0"/>
          <w:i w:val="0"/>
          <w:sz w:val="16"/>
        </w:rPr>
        <w:t>[13] J. Redmon, S. Divvala, R. Girshick, and A. Farhadi, "You only look once: Unified, real-time object detection," in Proc. IEEE CVPR, 2016, pp. 779-788.</w:t>
      </w:r>
    </w:p>
    <w:p>
      <w:pPr>
        <w:jc w:val="both"/>
        <w:spacing w:before="0" w:after="25" w:line="200" w:lineRule="auto"/>
      </w:pPr>
      <w:r>
        <w:rPr>
          <w:rFonts w:ascii="Times New Roman" w:hAnsi="Times New Roman" w:cs="Times New Roman"/>
          <w:b w:val="0"/>
          <w:i w:val="0"/>
          <w:sz w:val="16"/>
        </w:rPr>
        <w:t>[14] B. Krausz and C. Bauckhage, "Loveparade 2010: Automatic video analysis of a crowd disaster," Comput. Vis. Image Underst., vol. 116, no. 3, pp. 307-319, 2012.</w:t>
      </w:r>
    </w:p>
    <w:p>
      <w:pPr>
        <w:jc w:val="both"/>
        <w:spacing w:before="0" w:after="25" w:line="200" w:lineRule="auto"/>
      </w:pPr>
      <w:r>
        <w:rPr>
          <w:rFonts w:ascii="Times New Roman" w:hAnsi="Times New Roman" w:cs="Times New Roman"/>
          <w:b w:val="0"/>
          <w:i w:val="0"/>
          <w:sz w:val="16"/>
        </w:rPr>
        <w:t>[15] K. V. Mardia and P. E. Jupp, Directional Statistics. John Wiley &amp; Sons, 2009.</w:t>
      </w:r>
    </w:p>
    <w:p>
      <w:pPr>
        <w:jc w:val="both"/>
        <w:spacing w:before="0" w:after="25" w:line="200" w:lineRule="auto"/>
      </w:pPr>
      <w:r>
        <w:rPr>
          <w:rFonts w:ascii="Times New Roman" w:hAnsi="Times New Roman" w:cs="Times New Roman"/>
          <w:b w:val="0"/>
          <w:i w:val="0"/>
          <w:sz w:val="16"/>
        </w:rPr>
        <w:t>[16] M. Marsden, K. McGuinness, S. Little, C. E. Keogh, and N. E. O'Connor, "People, penguins and polar bears: Reducing data requirements for crowd counting using cross-modal transfer," in Proc. IEEE ICCV, 2017, pp. 4990-4999.</w:t>
      </w:r>
    </w:p>
    <w:p>
      <w:pPr>
        <w:jc w:val="both"/>
        <w:spacing w:before="0" w:after="25" w:line="200" w:lineRule="auto"/>
      </w:pPr>
      <w:r>
        <w:rPr>
          <w:rFonts w:ascii="Times New Roman" w:hAnsi="Times New Roman" w:cs="Times New Roman"/>
          <w:b w:val="0"/>
          <w:i w:val="0"/>
          <w:sz w:val="16"/>
        </w:rPr>
        <w:t>[17] H. Idrees, M. Tayyab, K. Athrey, D. Zhang, S. Al-Maadeed, N. Rajpoot, and M. Shah, "Composition loss for counting, density map estimation and localization in dense crowds," in Proc. ECCV, 2018, pp. 532-546.</w:t>
      </w:r>
    </w:p>
    <w:p>
      <w:pPr>
        <w:jc w:val="both"/>
        <w:spacing w:before="0" w:after="25" w:line="200" w:lineRule="auto"/>
      </w:pPr>
      <w:r>
        <w:rPr>
          <w:rFonts w:ascii="Times New Roman" w:hAnsi="Times New Roman" w:cs="Times New Roman"/>
          <w:b w:val="0"/>
          <w:i w:val="0"/>
          <w:sz w:val="16"/>
        </w:rPr>
        <w:t>[18] D. Tran, L. Bourdev, R. Fergus, L. Torresani, and M. Paluri, "Learning spatiotemporal features with 3D convolutional networks," in Proc. IEEE ICCV, 2015, pp. 4489-4497.</w:t>
      </w:r>
    </w:p>
    <w:p>
      <w:pPr>
        <w:jc w:val="both"/>
        <w:spacing w:before="0" w:after="25" w:line="200" w:lineRule="auto"/>
      </w:pPr>
      <w:r>
        <w:rPr>
          <w:rFonts w:ascii="Times New Roman" w:hAnsi="Times New Roman" w:cs="Times New Roman"/>
          <w:b w:val="0"/>
          <w:i w:val="0"/>
          <w:sz w:val="16"/>
        </w:rPr>
        <w:t>[19] T. N. Kipf and M. Welling, "Semi-supervised classification with graph convolutional networks," in Proc. ICLR, 2017.</w:t>
      </w:r>
    </w:p>
    <w:p>
      <w:pPr>
        <w:jc w:val="both"/>
        <w:spacing w:before="0" w:after="25" w:line="200" w:lineRule="auto"/>
      </w:pPr>
      <w:r>
        <w:rPr>
          <w:rFonts w:ascii="Times New Roman" w:hAnsi="Times New Roman" w:cs="Times New Roman"/>
          <w:b w:val="0"/>
          <w:i w:val="0"/>
          <w:sz w:val="16"/>
        </w:rPr>
        <w:t>[20] M. T. Ribeiro, S. Singh, and C. Guestrin, "'Why should I trust you?': Explaining the predictions of any classifier," in Proc. ACM SIGKDD, 2016, pp. 1135-1144.</w:t>
      </w:r>
    </w:p>
    <w:sectPr w:rsidR="00FC693F" w:rsidRPr="0006063C" w:rsidSect="00034616">
      <w:type w:val="continuous"/>
      <w:pgSz w:w="12240" w:h="15840"/>
      <w:pgMar w:top="1077" w:right="907" w:bottom="1440"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