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30"/>
      </w:pPr>
      <w:r>
        <w:rPr>
          <w:rFonts w:ascii="Times New Roman" w:hAnsi="Times New Roman" w:cs="Times New Roman"/>
          <w:b w:val="0"/>
          <w:i w:val="0"/>
          <w:sz w:val="40"/>
        </w:rPr>
        <w:t>CrowdSentinel: Early Crowd Risk Detection Using Spatial</w:t>
        <w:br/>
        <w:t>Density and Motion Analysis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475"/>
        <w:gridCol w:w="3475"/>
        <w:gridCol w:w="3475"/>
      </w:tblGrid>
      <w:tr>
        <w:tc>
          <w:tcPr>
            <w:tcW w:w="3475" w:type="dxa"/>
            <w:vAlign w:val="top"/>
          </w:tcPr>
          <w:p>
            <w:pPr>
              <w:jc w:val="center"/>
              <w:spacing w:before="0" w:after="0"/>
            </w:pPr>
            <w:r>
              <w:rPr>
                <w:rFonts w:ascii="Times New Roman" w:hAnsi="Times New Roman" w:cs="Times New Roman"/>
                <w:b/>
                <w:i w:val="0"/>
                <w:sz w:val="20"/>
              </w:rPr>
              <w:t>Aakash M</w:t>
            </w:r>
          </w:p>
          <w:p>
            <w:pPr>
              <w:jc w:val="center"/>
              <w:spacing w:before="0" w:after="0"/>
            </w:pPr>
            <w:r>
              <w:rPr>
                <w:rFonts w:ascii="Times New Roman" w:hAnsi="Times New Roman" w:cs="Times New Roman"/>
                <w:b w:val="0"/>
                <w:i w:val="0"/>
                <w:sz w:val="18"/>
              </w:rPr>
              <w:t>Department of Computer Science and</w:t>
            </w:r>
          </w:p>
          <w:p>
            <w:pPr>
              <w:jc w:val="center"/>
              <w:spacing w:before="0" w:after="0"/>
            </w:pPr>
            <w:r>
              <w:rPr>
                <w:rFonts w:ascii="Times New Roman" w:hAnsi="Times New Roman" w:cs="Times New Roman"/>
                <w:b w:val="0"/>
                <w:i w:val="0"/>
                <w:sz w:val="18"/>
              </w:rPr>
              <w:t>Engineering</w:t>
            </w:r>
          </w:p>
          <w:p>
            <w:pPr>
              <w:jc w:val="center"/>
              <w:spacing w:before="0" w:after="0"/>
            </w:pPr>
            <w:r>
              <w:rPr>
                <w:rFonts w:ascii="Times New Roman" w:hAnsi="Times New Roman" w:cs="Times New Roman"/>
                <w:b w:val="0"/>
                <w:i w:val="0"/>
                <w:sz w:val="18"/>
              </w:rPr>
              <w:t>KIT - Kalaignarkarunanidhi Institute of</w:t>
            </w:r>
          </w:p>
          <w:p>
            <w:pPr>
              <w:jc w:val="center"/>
              <w:spacing w:before="0" w:after="0"/>
            </w:pPr>
            <w:r>
              <w:rPr>
                <w:rFonts w:ascii="Times New Roman" w:hAnsi="Times New Roman" w:cs="Times New Roman"/>
                <w:b w:val="0"/>
                <w:i w:val="0"/>
                <w:sz w:val="18"/>
              </w:rPr>
              <w:t>Technology</w:t>
            </w:r>
          </w:p>
          <w:p>
            <w:pPr>
              <w:jc w:val="center"/>
              <w:spacing w:before="0" w:after="0"/>
            </w:pPr>
            <w:r>
              <w:rPr>
                <w:rFonts w:ascii="Times New Roman" w:hAnsi="Times New Roman" w:cs="Times New Roman"/>
                <w:b w:val="0"/>
                <w:i w:val="0"/>
                <w:sz w:val="18"/>
              </w:rPr>
              <w:t>Coimbatore, India</w:t>
            </w:r>
          </w:p>
          <w:p>
            <w:pPr>
              <w:jc w:val="center"/>
              <w:spacing w:before="0" w:after="0"/>
            </w:pPr>
            <w:r>
              <w:rPr>
                <w:rFonts w:ascii="Times New Roman" w:hAnsi="Times New Roman" w:cs="Times New Roman"/>
                <w:b w:val="0"/>
                <w:i w:val="0"/>
                <w:sz w:val="18"/>
              </w:rPr>
              <w:t>kit27.cse01@gmail.com</w:t>
            </w:r>
          </w:p>
          <w:p>
            <w:pPr>
              <w:jc w:val="center"/>
              <w:spacing w:before="0" w:after="0"/>
            </w:pPr>
            <w:r>
              <w:rPr>
                <w:rFonts w:ascii="Times New Roman" w:hAnsi="Times New Roman" w:cs="Times New Roman"/>
                <w:b w:val="0"/>
                <w:i w:val="0"/>
                <w:sz w:val="18"/>
              </w:rPr>
              <w:t>711523BCS001</w:t>
            </w:r>
          </w:p>
        </w:tc>
        <w:tc>
          <w:tcPr>
            <w:tcW w:w="3475" w:type="dxa"/>
            <w:vAlign w:val="top"/>
          </w:tcPr>
          <w:p>
            <w:pPr>
              <w:jc w:val="center"/>
              <w:spacing w:before="0" w:after="0"/>
            </w:pPr>
            <w:r>
              <w:rPr>
                <w:rFonts w:ascii="Times New Roman" w:hAnsi="Times New Roman" w:cs="Times New Roman"/>
                <w:b/>
                <w:i w:val="0"/>
                <w:sz w:val="20"/>
              </w:rPr>
              <w:t>Hema Dharshana S J</w:t>
            </w:r>
          </w:p>
          <w:p>
            <w:pPr>
              <w:jc w:val="center"/>
              <w:spacing w:before="0" w:after="0"/>
            </w:pPr>
            <w:r>
              <w:rPr>
                <w:rFonts w:ascii="Times New Roman" w:hAnsi="Times New Roman" w:cs="Times New Roman"/>
                <w:b w:val="0"/>
                <w:i w:val="0"/>
                <w:sz w:val="18"/>
              </w:rPr>
              <w:t>Department of Computer Science and</w:t>
            </w:r>
          </w:p>
          <w:p>
            <w:pPr>
              <w:jc w:val="center"/>
              <w:spacing w:before="0" w:after="0"/>
            </w:pPr>
            <w:r>
              <w:rPr>
                <w:rFonts w:ascii="Times New Roman" w:hAnsi="Times New Roman" w:cs="Times New Roman"/>
                <w:b w:val="0"/>
                <w:i w:val="0"/>
                <w:sz w:val="18"/>
              </w:rPr>
              <w:t>Engineering</w:t>
            </w:r>
          </w:p>
          <w:p>
            <w:pPr>
              <w:jc w:val="center"/>
              <w:spacing w:before="0" w:after="0"/>
            </w:pPr>
            <w:r>
              <w:rPr>
                <w:rFonts w:ascii="Times New Roman" w:hAnsi="Times New Roman" w:cs="Times New Roman"/>
                <w:b w:val="0"/>
                <w:i w:val="0"/>
                <w:sz w:val="18"/>
              </w:rPr>
              <w:t>KIT - Kalaignarkarunanidhi Institute of</w:t>
            </w:r>
          </w:p>
          <w:p>
            <w:pPr>
              <w:jc w:val="center"/>
              <w:spacing w:before="0" w:after="0"/>
            </w:pPr>
            <w:r>
              <w:rPr>
                <w:rFonts w:ascii="Times New Roman" w:hAnsi="Times New Roman" w:cs="Times New Roman"/>
                <w:b w:val="0"/>
                <w:i w:val="0"/>
                <w:sz w:val="18"/>
              </w:rPr>
              <w:t>Technology</w:t>
            </w:r>
          </w:p>
          <w:p>
            <w:pPr>
              <w:jc w:val="center"/>
              <w:spacing w:before="0" w:after="0"/>
            </w:pPr>
            <w:r>
              <w:rPr>
                <w:rFonts w:ascii="Times New Roman" w:hAnsi="Times New Roman" w:cs="Times New Roman"/>
                <w:b w:val="0"/>
                <w:i w:val="0"/>
                <w:sz w:val="18"/>
              </w:rPr>
              <w:t>Coimbatore, India</w:t>
            </w:r>
          </w:p>
          <w:p>
            <w:pPr>
              <w:jc w:val="center"/>
              <w:spacing w:before="0" w:after="0"/>
            </w:pPr>
            <w:r>
              <w:rPr>
                <w:rFonts w:ascii="Times New Roman" w:hAnsi="Times New Roman" w:cs="Times New Roman"/>
                <w:b w:val="0"/>
                <w:i w:val="0"/>
                <w:sz w:val="18"/>
              </w:rPr>
              <w:t>kit27.cse21@gmail.com</w:t>
            </w:r>
          </w:p>
          <w:p>
            <w:pPr>
              <w:jc w:val="center"/>
              <w:spacing w:before="0" w:after="0"/>
            </w:pPr>
            <w:r>
              <w:rPr>
                <w:rFonts w:ascii="Times New Roman" w:hAnsi="Times New Roman" w:cs="Times New Roman"/>
                <w:b w:val="0"/>
                <w:i w:val="0"/>
                <w:sz w:val="18"/>
              </w:rPr>
              <w:t>711523BCS021</w:t>
            </w:r>
          </w:p>
        </w:tc>
        <w:tc>
          <w:tcPr>
            <w:tcW w:w="3475" w:type="dxa"/>
            <w:vAlign w:val="top"/>
          </w:tcPr>
          <w:p>
            <w:pPr>
              <w:jc w:val="center"/>
              <w:spacing w:before="0" w:after="0"/>
            </w:pPr>
            <w:r>
              <w:rPr>
                <w:rFonts w:ascii="Times New Roman" w:hAnsi="Times New Roman" w:cs="Times New Roman"/>
                <w:b/>
                <w:i w:val="0"/>
                <w:sz w:val="20"/>
              </w:rPr>
              <w:t>Santhosh Kumar R</w:t>
            </w:r>
          </w:p>
          <w:p>
            <w:pPr>
              <w:jc w:val="center"/>
              <w:spacing w:before="0" w:after="0"/>
            </w:pPr>
            <w:r>
              <w:rPr>
                <w:rFonts w:ascii="Times New Roman" w:hAnsi="Times New Roman" w:cs="Times New Roman"/>
                <w:b w:val="0"/>
                <w:i w:val="0"/>
                <w:sz w:val="18"/>
              </w:rPr>
              <w:t>Department of Computer Science and</w:t>
            </w:r>
          </w:p>
          <w:p>
            <w:pPr>
              <w:jc w:val="center"/>
              <w:spacing w:before="0" w:after="0"/>
            </w:pPr>
            <w:r>
              <w:rPr>
                <w:rFonts w:ascii="Times New Roman" w:hAnsi="Times New Roman" w:cs="Times New Roman"/>
                <w:b w:val="0"/>
                <w:i w:val="0"/>
                <w:sz w:val="18"/>
              </w:rPr>
              <w:t>Engineering</w:t>
            </w:r>
          </w:p>
          <w:p>
            <w:pPr>
              <w:jc w:val="center"/>
              <w:spacing w:before="0" w:after="0"/>
            </w:pPr>
            <w:r>
              <w:rPr>
                <w:rFonts w:ascii="Times New Roman" w:hAnsi="Times New Roman" w:cs="Times New Roman"/>
                <w:b w:val="0"/>
                <w:i w:val="0"/>
                <w:sz w:val="18"/>
              </w:rPr>
              <w:t>KIT - Kalaignarkarunanidhi Institute of</w:t>
            </w:r>
          </w:p>
          <w:p>
            <w:pPr>
              <w:jc w:val="center"/>
              <w:spacing w:before="0" w:after="0"/>
            </w:pPr>
            <w:r>
              <w:rPr>
                <w:rFonts w:ascii="Times New Roman" w:hAnsi="Times New Roman" w:cs="Times New Roman"/>
                <w:b w:val="0"/>
                <w:i w:val="0"/>
                <w:sz w:val="18"/>
              </w:rPr>
              <w:t>Technology</w:t>
            </w:r>
          </w:p>
          <w:p>
            <w:pPr>
              <w:jc w:val="center"/>
              <w:spacing w:before="0" w:after="0"/>
            </w:pPr>
            <w:r>
              <w:rPr>
                <w:rFonts w:ascii="Times New Roman" w:hAnsi="Times New Roman" w:cs="Times New Roman"/>
                <w:b w:val="0"/>
                <w:i w:val="0"/>
                <w:sz w:val="18"/>
              </w:rPr>
              <w:t>Coimbatore, India</w:t>
            </w:r>
          </w:p>
          <w:p>
            <w:pPr>
              <w:jc w:val="center"/>
              <w:spacing w:before="0" w:after="0"/>
            </w:pPr>
            <w:r>
              <w:rPr>
                <w:rFonts w:ascii="Times New Roman" w:hAnsi="Times New Roman" w:cs="Times New Roman"/>
                <w:b w:val="0"/>
                <w:i w:val="0"/>
                <w:sz w:val="18"/>
              </w:rPr>
              <w:t>Kit27.cse49@gmail.com</w:t>
            </w:r>
          </w:p>
          <w:p>
            <w:pPr>
              <w:jc w:val="center"/>
              <w:spacing w:before="0" w:after="0"/>
            </w:pPr>
            <w:r>
              <w:rPr>
                <w:rFonts w:ascii="Times New Roman" w:hAnsi="Times New Roman" w:cs="Times New Roman"/>
                <w:b w:val="0"/>
                <w:i w:val="0"/>
                <w:sz w:val="18"/>
              </w:rPr>
              <w:t>711523BCS049</w:t>
            </w:r>
          </w:p>
        </w:tc>
      </w:tr>
    </w:tbl>
    <w:p>
      <w:pPr>
        <w:spacing w:before="30" w:after="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475"/>
        <w:gridCol w:w="3475"/>
        <w:gridCol w:w="3475"/>
      </w:tblGrid>
      <w:tr>
        <w:tc>
          <w:tcPr>
            <w:tcW w:w="3475" w:type="dxa"/>
          </w:tcPr>
          <w:p/>
        </w:tc>
        <w:tc>
          <w:tcPr>
            <w:tcW w:w="3475" w:type="dxa"/>
          </w:tcPr>
          <w:p>
            <w:pPr>
              <w:jc w:val="center"/>
              <w:spacing w:before="0" w:after="0"/>
            </w:pPr>
            <w:r>
              <w:rPr>
                <w:rFonts w:ascii="Times New Roman" w:hAnsi="Times New Roman" w:cs="Times New Roman"/>
                <w:b/>
                <w:i w:val="0"/>
                <w:sz w:val="20"/>
              </w:rPr>
              <w:t>Mr MugeshKumar S</w:t>
            </w:r>
          </w:p>
          <w:p>
            <w:pPr>
              <w:jc w:val="center"/>
              <w:spacing w:before="0" w:after="0"/>
            </w:pPr>
            <w:r>
              <w:rPr>
                <w:rFonts w:ascii="Times New Roman" w:hAnsi="Times New Roman" w:cs="Times New Roman"/>
                <w:b/>
                <w:i w:val="0"/>
                <w:sz w:val="18"/>
              </w:rPr>
              <w:t>Project Guide</w:t>
            </w:r>
          </w:p>
          <w:p>
            <w:pPr>
              <w:jc w:val="center"/>
              <w:spacing w:before="0" w:after="0"/>
            </w:pPr>
            <w:r>
              <w:rPr>
                <w:rFonts w:ascii="Times New Roman" w:hAnsi="Times New Roman" w:cs="Times New Roman"/>
                <w:b w:val="0"/>
                <w:i w:val="0"/>
                <w:sz w:val="18"/>
              </w:rPr>
              <w:t>Department of Computer Science and</w:t>
            </w:r>
          </w:p>
          <w:p>
            <w:pPr>
              <w:jc w:val="center"/>
              <w:spacing w:before="0" w:after="0"/>
            </w:pPr>
            <w:r>
              <w:rPr>
                <w:rFonts w:ascii="Times New Roman" w:hAnsi="Times New Roman" w:cs="Times New Roman"/>
                <w:b w:val="0"/>
                <w:i w:val="0"/>
                <w:sz w:val="18"/>
              </w:rPr>
              <w:t>Engineering</w:t>
            </w:r>
          </w:p>
          <w:p>
            <w:pPr>
              <w:jc w:val="center"/>
              <w:spacing w:before="0" w:after="0"/>
            </w:pPr>
            <w:r>
              <w:rPr>
                <w:rFonts w:ascii="Times New Roman" w:hAnsi="Times New Roman" w:cs="Times New Roman"/>
                <w:b w:val="0"/>
                <w:i w:val="0"/>
                <w:sz w:val="18"/>
              </w:rPr>
              <w:t>KIT - Kalaignarkarunanidhi Institute of</w:t>
            </w:r>
          </w:p>
          <w:p>
            <w:pPr>
              <w:jc w:val="center"/>
              <w:spacing w:before="0" w:after="0"/>
            </w:pPr>
            <w:r>
              <w:rPr>
                <w:rFonts w:ascii="Times New Roman" w:hAnsi="Times New Roman" w:cs="Times New Roman"/>
                <w:b w:val="0"/>
                <w:i w:val="0"/>
                <w:sz w:val="18"/>
              </w:rPr>
              <w:t>Technology</w:t>
            </w:r>
          </w:p>
          <w:p>
            <w:pPr>
              <w:jc w:val="center"/>
              <w:spacing w:before="0" w:after="0"/>
            </w:pPr>
            <w:r>
              <w:rPr>
                <w:rFonts w:ascii="Times New Roman" w:hAnsi="Times New Roman" w:cs="Times New Roman"/>
                <w:b w:val="0"/>
                <w:i w:val="0"/>
                <w:sz w:val="18"/>
              </w:rPr>
              <w:t>Coimbatore, India</w:t>
            </w:r>
          </w:p>
          <w:p>
            <w:pPr>
              <w:jc w:val="center"/>
              <w:spacing w:before="0" w:after="0"/>
            </w:pPr>
            <w:r>
              <w:rPr>
                <w:rFonts w:ascii="Times New Roman" w:hAnsi="Times New Roman" w:cs="Times New Roman"/>
                <w:b w:val="0"/>
                <w:i w:val="0"/>
                <w:sz w:val="18"/>
              </w:rPr>
              <w:t>[guide@kit.edu]</w:t>
            </w:r>
          </w:p>
        </w:tc>
        <w:tc>
          <w:tcPr>
            <w:tcW w:w="3475" w:type="dxa"/>
          </w:tcPr>
          <w:p/>
        </w:tc>
      </w:tr>
    </w:tbl>
    <w:p/>
    <w:p>
      <w:pPr>
        <w:jc w:val="both"/>
        <w:spacing w:before="50" w:after="0"/>
      </w:pPr>
      <w:r>
        <w:rPr>
          <w:rFonts w:ascii="Times New Roman" w:hAnsi="Times New Roman" w:cs="Times New Roman"/>
          <w:b/>
          <w:i/>
          <w:sz w:val="20"/>
        </w:rPr>
        <w:t>Abstract—</w:t>
      </w:r>
      <w:r>
        <w:rPr>
          <w:rFonts w:ascii="Times New Roman" w:hAnsi="Times New Roman" w:cs="Times New Roman"/>
          <w:b w:val="0"/>
          <w:i w:val="0"/>
          <w:sz w:val="20"/>
        </w:rPr>
        <w:t>Monitoring large gatherings manually often fails because physical crowd stampedes and crush incidents develop within seconds after critical local densities are breached. Standalone computer vision techniques tend to track either static head counts or pixel velocity fields, but relying on one dimension alone yields severe operational blind spots. High density with zero motion occurs during bottleneck blockades, whereas rapid motion at low density simply reflects normal transit. This paper presents CrowdSentinel, a multi-modal framework that couples bounding-box person detection from YOLOv8n with dense Farnebäck optical flow. We formulate a mathematically grounded six-element feature vector encompassing spatial density, temporal accumulation rates, velocity magnitudes, flow acceleration, circular directional variance, and kinetic turbulence. These indicators are pooled over rolling 5-second temporal buffers and mapped to an explainable four-tier risk index with exact percentage-level factor attribution. Across a benchmark suite of 6 synthetic crowd videos (1,200 frames, VGA resolution at 20 FPS), our fused pipeline achieves a Macro F1 score of 0.3233, improving over single-channel density (0.1995) and motion (0.1778) baselines. On an Intel i7 CPU, the system runs at 10.6 FPS. We openly report the frame-level false alarm rate of 98.9% and outline temporal persistence gating as necessary engineering before live facility trials.</w:t>
      </w:r>
    </w:p>
    <w:p>
      <w:pPr>
        <w:jc w:val="both"/>
        <w:spacing w:before="30" w:after="50"/>
      </w:pPr>
      <w:r>
        <w:rPr>
          <w:rFonts w:ascii="Times New Roman" w:hAnsi="Times New Roman" w:cs="Times New Roman"/>
          <w:b/>
          <w:i/>
          <w:sz w:val="20"/>
        </w:rPr>
        <w:t>Index Terms—</w:t>
      </w:r>
      <w:r>
        <w:rPr>
          <w:rFonts w:ascii="Times New Roman" w:hAnsi="Times New Roman" w:cs="Times New Roman"/>
          <w:b w:val="0"/>
          <w:i/>
          <w:sz w:val="20"/>
        </w:rPr>
        <w:t>crowd safety, optical flow, object detection, feature fusion, explainable AI, temporal monitoring, decision support systems.</w:t>
      </w:r>
    </w:p>
    <w:p>
      <w:pPr>
        <w:jc w:val="center"/>
        <w:spacing w:before="0" w:after="40"/>
      </w:pPr>
      <w:r>
        <w:t>──────────────────────────────────────────────────────────────────────────────────────────</w:t>
      </w:r>
    </w:p>
    <w:p>
      <w:pPr>
        <w:jc w:val="center"/>
        <w:spacing w:before="120" w:after="50"/>
      </w:pPr>
      <w:r>
        <w:rPr>
          <w:rFonts w:ascii="Times New Roman" w:hAnsi="Times New Roman" w:cs="Times New Roman"/>
          <w:b w:val="0"/>
          <w:i w:val="0"/>
          <w:sz w:val="20"/>
        </w:rPr>
        <w:t>I. INTRODUCTION</w:t>
      </w:r>
    </w:p>
    <w:p>
      <w:pPr>
        <w:jc w:val="both"/>
        <w:spacing w:before="0" w:after="50"/>
      </w:pPr>
      <w:r>
        <w:rPr>
          <w:rFonts w:ascii="Times New Roman" w:hAnsi="Times New Roman" w:cs="Times New Roman"/>
          <w:b w:val="0"/>
          <w:i w:val="0"/>
          <w:sz w:val="20"/>
        </w:rPr>
        <w:t>Physical crowd crushes at stadium exits, religious gatherings, and transit interchanges are rarely instantaneous occurrences. Empirical investigations of historical crowd disasters have demonstrated that catastrophic stampedes follow a measurable physical progression: localized spatial compaction leads to involuntary physical contact between pedestrians, compressive shockwaves propagate through dense clusters, and sudden directional turbulence precedes structural breakdown and widespread falling [1], [14]. In modern surveillance facilities, human operators must monitor dozens of CCTV screens concurrently. Subtle kinematic cues such as localized speed decay, angular disorientation, or sudden inward surges frequently go unnoticed until visual panic is already manifest.</w:t>
      </w:r>
    </w:p>
    <w:p>
      <w:pPr>
        <w:jc w:val="both"/>
        <w:spacing w:before="0" w:after="50"/>
      </w:pPr>
      <w:r>
        <w:rPr>
          <w:rFonts w:ascii="Times New Roman" w:hAnsi="Times New Roman" w:cs="Times New Roman"/>
          <w:b w:val="0"/>
          <w:i w:val="0"/>
          <w:sz w:val="20"/>
        </w:rPr>
        <w:t>Automating surveillance using computer vision requires resolving fundamental sensory trade-offs. Deep learning based density estimation networks [2], [3], [15], [18] produce accurate head counts and spatial occupancy maps. However, spatial occupancy alone cannot distinguish between a calm, stationary gathering and an agitated crowd surging against a physical barrier. Conversely, differential motion analysis based on optical flow [4], [5], [19] provides instantaneous velocity fields but fails completely during bottleneck blockades where physical compression immobilizes individuals, causing visual motion to drop to zero despite peak hazard levels. Furthermore, single-frame evaluators generate high-frequency false alarms from transient occlusions or momentary sensor noise, lacking the multi-second accumulation context required to detect genuine hazard escalation [16], [17].</w:t>
      </w:r>
    </w:p>
    <w:p>
      <w:pPr>
        <w:jc w:val="both"/>
        <w:spacing w:before="0" w:after="50"/>
      </w:pPr>
      <w:r>
        <w:rPr>
          <w:rFonts w:ascii="Times New Roman" w:hAnsi="Times New Roman" w:cs="Times New Roman"/>
          <w:b w:val="0"/>
          <w:i w:val="0"/>
          <w:sz w:val="20"/>
        </w:rPr>
        <w:t>To resolve these challenges, CrowdSentinel introduces an integrated approach structured around three core design objectives. First, we extract complementary spatial density and kinetic motion features concurrently from standard video streams without requiring complex camera calibration. Second, we accumulate these measurements within a rolling five-second temporal window to capture rate-of-change dynamics and suppress high-frequency noise. Third, we formulate an analytical, explainable risk scoring mechanism where every visual indicator receives an explicit percentage attribution weight. This allows control-room operators to immediately identify whether an elevated alarm is driven by excessive spatial density, rapid inward surge velocity, or turbulent directional counter-flow.</w:t>
      </w:r>
    </w:p>
    <w:p>
      <w:pPr>
        <w:jc w:val="both"/>
        <w:spacing w:before="0" w:after="50"/>
      </w:pPr>
      <w:r>
        <w:rPr>
          <w:rFonts w:ascii="Times New Roman" w:hAnsi="Times New Roman" w:cs="Times New Roman"/>
          <w:b w:val="0"/>
          <w:i w:val="0"/>
          <w:sz w:val="20"/>
        </w:rPr>
        <w:t>The primary contributions of this work are fourfold. We formulate a unified six-dimensional spatial-temporal descriptor combining YOLOv8 bounding-box occupancy with dense Farnebäck optical flow metrics. We design a rolling temporal window buffer aggregating 50 consecutive frames at 10 to 20 FPS to track acceleration and accumulation dynamics. We implement an explainable linear attribution module providing operators with exact percentage breakdowns of density versus motion contributions for every warning. Finally, we establish a video-level partitioned evaluation protocol (random seed 42, 4 train / 1 val / 1 test) benchmarking our multi-modal system against unimodal baselines without temporal data leakage.</w:t>
      </w:r>
    </w:p>
    <w:p>
      <w:pPr>
        <w:jc w:val="center"/>
        <w:spacing w:before="120" w:after="50"/>
      </w:pPr>
      <w:r>
        <w:rPr>
          <w:rFonts w:ascii="Times New Roman" w:hAnsi="Times New Roman" w:cs="Times New Roman"/>
          <w:b w:val="0"/>
          <w:i w:val="0"/>
          <w:sz w:val="20"/>
        </w:rPr>
        <w:t>II. RELATED WORK</w:t>
      </w:r>
    </w:p>
    <w:p>
      <w:pPr>
        <w:jc w:val="left"/>
        <w:spacing w:before="70" w:after="30"/>
      </w:pPr>
      <w:r>
        <w:rPr>
          <w:rFonts w:ascii="Times New Roman" w:hAnsi="Times New Roman" w:cs="Times New Roman"/>
          <w:b w:val="0"/>
          <w:i/>
          <w:sz w:val="20"/>
        </w:rPr>
        <w:t>A. Crowd Counting and Spatial Density Estimation</w:t>
      </w:r>
    </w:p>
    <w:p>
      <w:pPr>
        <w:jc w:val="both"/>
        <w:spacing w:before="0" w:after="50"/>
      </w:pPr>
      <w:r>
        <w:rPr>
          <w:rFonts w:ascii="Times New Roman" w:hAnsi="Times New Roman" w:cs="Times New Roman"/>
          <w:b w:val="0"/>
          <w:i w:val="0"/>
          <w:sz w:val="20"/>
        </w:rPr>
        <w:t>Early approaches to crowd analysis focused on regression models using handcrafted texture, edge, and foreground features extracted from background subtraction [2], [16]. The introduction of multi-column convolutional neural networks by Zhang et al. [3] established a foundation for scale-invariant density map estimation, using filters of varying receptive fields to accommodate severe perspective distortions. Later architectures, including scale aggregation networks by Liu et al. [6] and multi-scale contextual frameworks by Idrees et al. [15], enhanced edge clarity in high-density regions. Recent surveys by Sindagi and Patel [18] categorize deep counting architectures into multi-column, scale-aware, and contextual paradigms. While these methods excel at spatial mapping and static headcount estimation [17], they treat consecutive video frames as disconnected still images, discarding the crucial kinematic and momentum information needed for early warning.</w:t>
      </w:r>
    </w:p>
    <w:p>
      <w:pPr>
        <w:jc w:val="left"/>
        <w:spacing w:before="70" w:after="30"/>
      </w:pPr>
      <w:r>
        <w:rPr>
          <w:rFonts w:ascii="Times New Roman" w:hAnsi="Times New Roman" w:cs="Times New Roman"/>
          <w:b w:val="0"/>
          <w:i/>
          <w:sz w:val="20"/>
        </w:rPr>
        <w:t>B. Kinematic Anomaly and Motion Analysis</w:t>
      </w:r>
    </w:p>
    <w:p>
      <w:pPr>
        <w:jc w:val="both"/>
        <w:spacing w:before="0" w:after="50"/>
      </w:pPr>
      <w:r>
        <w:rPr>
          <w:rFonts w:ascii="Times New Roman" w:hAnsi="Times New Roman" w:cs="Times New Roman"/>
          <w:b w:val="0"/>
          <w:i w:val="0"/>
          <w:sz w:val="20"/>
        </w:rPr>
        <w:t>Optical flow analysis provides a direct representation of velocity fields across surveillance scenes. Adam et al. [4] monitored local optical flow histograms within fixed spatial grids to detect probabilistic anomalies in transit corridors. Mehran et al. [5] integrated the Social Force Model with dense optical flow fields to measure internal crowd interaction forces and detect turbulent panic states. Marsden et al. [19] introduced holistic motion descriptors for real-time anomaly flagging in public transport hubs, while Liu et al. [7] used deep predictive autoencoders to identify unusual events from reconstruction errors across spatiotemporal volumes. In addition, Krausz and Bauckhage [14] conducted automated video motion analysis on real disaster footage from the 2010 Love Parade, demonstrating that velocity field divergence and directional variance serve as quantitative precursors to structural crowd collapse. However, motion-only techniques remain vulnerable to false alarms during rapid, orderly evacuations and miss dangerous static crowd compressions.</w:t>
      </w:r>
    </w:p>
    <w:p>
      <w:pPr>
        <w:jc w:val="left"/>
        <w:spacing w:before="70" w:after="30"/>
      </w:pPr>
      <w:r>
        <w:rPr>
          <w:rFonts w:ascii="Times New Roman" w:hAnsi="Times New Roman" w:cs="Times New Roman"/>
          <w:b w:val="0"/>
          <w:i/>
          <w:sz w:val="20"/>
        </w:rPr>
        <w:t>C. Multi-Modal Feature Fusion and Explainable Artificial Intelligence</w:t>
      </w:r>
    </w:p>
    <w:p>
      <w:pPr>
        <w:jc w:val="both"/>
        <w:spacing w:before="0" w:after="50"/>
      </w:pPr>
      <w:r>
        <w:rPr>
          <w:rFonts w:ascii="Times New Roman" w:hAnsi="Times New Roman" w:cs="Times New Roman"/>
          <w:b w:val="0"/>
          <w:i w:val="0"/>
          <w:sz w:val="20"/>
        </w:rPr>
        <w:t>Recent studies have explored combining visual appearance and kinetic cues to improve event recognition. Shao et al. [8] and Zhou et al. [9] developed attribute-based frameworks that merge density distributions with velocity collectiveness to categorize crowd behaviors. Kang et al. [17] analyzed spatial density representations across diverse crowd structures, highlighting the need for dynamic feature integration. Despite these advances, modern deep learning detectors often operate as black boxes, providing scalar risk scores without interpretable explanations of the underlying causes. In safety-critical command centers, automated recommendations must be transparent to justify deploying emergency personnel. Interpretable machine learning principles, such as SHAP attribution [11] and LIME local explanations [20], inspire our formulation of an analytical, computationally lightweight factor-attribution engine.</w:t>
      </w:r>
    </w:p>
    <w:p>
      <w:pPr>
        <w:jc w:val="center"/>
        <w:spacing w:before="120" w:after="50"/>
      </w:pPr>
      <w:r>
        <w:rPr>
          <w:rFonts w:ascii="Times New Roman" w:hAnsi="Times New Roman" w:cs="Times New Roman"/>
          <w:b w:val="0"/>
          <w:i w:val="0"/>
          <w:sz w:val="20"/>
        </w:rPr>
        <w:t>III. MATHEMATICAL FORMULATION AND PROPOSED METHOD</w:t>
      </w:r>
    </w:p>
    <w:p>
      <w:pPr>
        <w:jc w:val="both"/>
        <w:spacing w:before="0" w:after="50"/>
      </w:pPr>
      <w:r>
        <w:rPr>
          <w:rFonts w:ascii="Times New Roman" w:hAnsi="Times New Roman" w:cs="Times New Roman"/>
          <w:b w:val="0"/>
          <w:i w:val="0"/>
          <w:sz w:val="20"/>
        </w:rPr>
        <w:t>CrowdSentinel processes input video streams sampled at discrete time steps t with inter-frame sampling interval Δt = 1/FPS. The architecture operates through five sequential computational stages: bounding-box person detection, dense optical flow field estimation, six-dimensional feature formulation, sliding temporal window convolution, and explainable risk attribution with persistence gating. The overall system layout is illustrated in Fig. 1, and the step-by-step dataflow is detailed in Fig. 2.</w:t>
      </w:r>
    </w:p>
    <w:p>
      <w:pPr>
        <w:jc w:val="center"/>
        <w:spacing w:before="50" w:after="15"/>
      </w:pPr>
      <w:r>
        <w:drawing>
          <wp:inline xmlns:a="http://schemas.openxmlformats.org/drawingml/2006/main" xmlns:pic="http://schemas.openxmlformats.org/drawingml/2006/picture">
            <wp:extent cx="5220000" cy="6870047"/>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220000" cy="6870047"/>
                    </a:xfrm>
                    <a:prstGeom prst="rect"/>
                  </pic:spPr>
                </pic:pic>
              </a:graphicData>
            </a:graphic>
          </wp:inline>
        </w:drawing>
      </w:r>
    </w:p>
    <w:p>
      <w:pPr>
        <w:jc w:val="center"/>
        <w:spacing w:before="0" w:after="70"/>
      </w:pPr>
      <w:r>
        <w:rPr>
          <w:rFonts w:ascii="Times New Roman" w:hAnsi="Times New Roman" w:cs="Times New Roman"/>
          <w:b w:val="0"/>
          <w:i/>
          <w:sz w:val="18"/>
        </w:rPr>
        <w:t>Fig. 1.  System architecture of the CrowdSentinel pipeline.</w:t>
      </w:r>
    </w:p>
    <w:p>
      <w:pPr>
        <w:jc w:val="both"/>
        <w:spacing w:before="0" w:after="50"/>
      </w:pPr>
      <w:r>
        <w:rPr>
          <w:rFonts w:ascii="Times New Roman" w:hAnsi="Times New Roman" w:cs="Times New Roman"/>
          <w:b w:val="0"/>
          <w:i w:val="0"/>
          <w:sz w:val="20"/>
        </w:rPr>
        <w:t>As shown in Fig. 1, the pipeline receives incoming video frames and routes them simultaneously through an object detector and a dense optical flow estimator. The upper path uses YOLOv8n to locate all human subjects, computing instantaneous spatial occupancy and its rate of change. The lower path computes dense optical flow using the Farnebäck algorithm, producing velocity magnitudes, acceleration rates, angular variance, and fluid turbulence. These six features enter a rolling 5-second temporal buffer where rolling averages are computed. The resulting feature vector is evaluated by the weighted risk engine, which applies linear factor attribution before passing the candidate score through a temporal persistence gate to confirm one of four operational risk states.</w:t>
      </w:r>
    </w:p>
    <w:p>
      <w:pPr>
        <w:jc w:val="center"/>
        <w:spacing w:before="50" w:after="15"/>
      </w:pPr>
      <w:r>
        <w:drawing>
          <wp:inline xmlns:a="http://schemas.openxmlformats.org/drawingml/2006/main" xmlns:pic="http://schemas.openxmlformats.org/drawingml/2006/picture">
            <wp:extent cx="5220000" cy="6933348"/>
            <wp:docPr id="2" name="Picture 2"/>
            <wp:cNvGraphicFramePr>
              <a:graphicFrameLocks noChangeAspect="1"/>
            </wp:cNvGraphicFramePr>
            <a:graphic>
              <a:graphicData uri="http://schemas.openxmlformats.org/drawingml/2006/picture">
                <pic:pic>
                  <pic:nvPicPr>
                    <pic:cNvPr id="0" name="fig2_workflow.png"/>
                    <pic:cNvPicPr/>
                  </pic:nvPicPr>
                  <pic:blipFill>
                    <a:blip r:embed="rId10"/>
                    <a:stretch>
                      <a:fillRect/>
                    </a:stretch>
                  </pic:blipFill>
                  <pic:spPr>
                    <a:xfrm>
                      <a:off x="0" y="0"/>
                      <a:ext cx="5220000" cy="6933348"/>
                    </a:xfrm>
                    <a:prstGeom prst="rect"/>
                  </pic:spPr>
                </pic:pic>
              </a:graphicData>
            </a:graphic>
          </wp:inline>
        </w:drawing>
      </w:r>
    </w:p>
    <w:p>
      <w:pPr>
        <w:jc w:val="center"/>
        <w:spacing w:before="0" w:after="70"/>
      </w:pPr>
      <w:r>
        <w:rPr>
          <w:rFonts w:ascii="Times New Roman" w:hAnsi="Times New Roman" w:cs="Times New Roman"/>
          <w:b w:val="0"/>
          <w:i/>
          <w:sz w:val="18"/>
        </w:rPr>
        <w:t>Fig. 2.  Processing workflow from video ingestion to explainable alert generation.</w:t>
      </w:r>
    </w:p>
    <w:p>
      <w:pPr>
        <w:jc w:val="both"/>
        <w:spacing w:before="0" w:after="50"/>
      </w:pPr>
      <w:r>
        <w:rPr>
          <w:rFonts w:ascii="Times New Roman" w:hAnsi="Times New Roman" w:cs="Times New Roman"/>
          <w:b w:val="0"/>
          <w:i w:val="0"/>
          <w:sz w:val="20"/>
        </w:rPr>
        <w:t>Fig. 2 depicts the complete procedural workflow from raw frame ingestion to alert dispatch. The workflow begins with frame synchronization at a nominal rate of 20 FPS. Every frame undergoes pre-processing where bounding-box coordinates and pixel velocity vectors are computed in parallel. After spatial integration, the extracted metrics are pushed to the temporal FIFO buffer. The weighted summation engine calculates the composite risk score R(t) and decomposes it into exact percentage contributions C_j(t). If R(t) exceeds a warning threshold for K consecutive frames, a confirmed alert is published along with its interpretability breakdown.</w:t>
      </w:r>
    </w:p>
    <w:p>
      <w:pPr>
        <w:jc w:val="left"/>
        <w:spacing w:before="70" w:after="30"/>
      </w:pPr>
      <w:r>
        <w:rPr>
          <w:rFonts w:ascii="Times New Roman" w:hAnsi="Times New Roman" w:cs="Times New Roman"/>
          <w:b w:val="0"/>
          <w:i/>
          <w:sz w:val="20"/>
        </w:rPr>
        <w:t>A. Spatial Occupancy and Density Derivation</w:t>
      </w:r>
    </w:p>
    <w:p>
      <w:pPr>
        <w:jc w:val="both"/>
        <w:spacing w:before="0" w:after="50"/>
      </w:pPr>
      <w:r>
        <w:rPr>
          <w:rFonts w:ascii="Times New Roman" w:hAnsi="Times New Roman" w:cs="Times New Roman"/>
          <w:b w:val="0"/>
          <w:i w:val="0"/>
          <w:sz w:val="20"/>
        </w:rPr>
        <w:t>Given an incoming frame I(t) of dimensions H × W, YOLOv8n [12], [13] extracts N(t) pedestrian bounding boxes B_i(t) = (x_{i,1}, y_{i,1}, x_{i,2}, y_{i,2}) satisfying confidence threshold c_i ≥ 0.25. The image-space occupancy domain Ω_{crowd}(t) is defined as the geometric union of all detected bounding boxes:</w:t>
      </w:r>
    </w:p>
    <w:p>
      <w:pPr>
        <w:jc w:val="center"/>
        <w:spacing w:before="15" w:after="35"/>
      </w:pPr>
      <w:r>
        <w:rPr>
          <w:rFonts w:ascii="Times New Roman" w:hAnsi="Times New Roman" w:cs="Times New Roman"/>
          <w:b w:val="0"/>
          <w:i/>
          <w:sz w:val="20"/>
        </w:rPr>
        <w:t>Ω_{crowd}(t) = ∪_{i=1}^{N(t)} B_i(t) \subseteq [1, W] × [1, H]</w:t>
      </w:r>
      <w:r>
        <w:rPr>
          <w:rFonts w:ascii="Times New Roman" w:hAnsi="Times New Roman" w:cs="Times New Roman"/>
          <w:b w:val="0"/>
          <w:i w:val="0"/>
          <w:sz w:val="20"/>
        </w:rPr>
        <w:t xml:space="preserve">   (1)</w:t>
      </w:r>
    </w:p>
    <w:p>
      <w:pPr>
        <w:jc w:val="both"/>
        <w:spacing w:before="0" w:after="50"/>
      </w:pPr>
      <w:r>
        <w:rPr>
          <w:rFonts w:ascii="Times New Roman" w:hAnsi="Times New Roman" w:cs="Times New Roman"/>
          <w:b w:val="0"/>
          <w:i w:val="0"/>
          <w:sz w:val="20"/>
        </w:rPr>
        <w:t>Equation (1) forms the spatial footprint of the crowd by taking the union of all detection rectangles. Using the union rather than summing individual areas naturally accounts for overlap among pedestrians standing in close proximity, preventing duplicate pixel counting in densely packed scenes. Relative image-space crowd density D(t) is then defined as the percentage of the frame area covered by the crowd domain:</w:t>
      </w:r>
    </w:p>
    <w:p>
      <w:pPr>
        <w:jc w:val="center"/>
        <w:spacing w:before="15" w:after="35"/>
      </w:pPr>
      <w:r>
        <w:rPr>
          <w:rFonts w:ascii="Times New Roman" w:hAnsi="Times New Roman" w:cs="Times New Roman"/>
          <w:b w:val="0"/>
          <w:i/>
          <w:sz w:val="20"/>
        </w:rPr>
        <w:t>D(t) = (|Ω_{crowd}(t)| / (H · W)) × 100</w:t>
      </w:r>
      <w:r>
        <w:rPr>
          <w:rFonts w:ascii="Times New Roman" w:hAnsi="Times New Roman" w:cs="Times New Roman"/>
          <w:b w:val="0"/>
          <w:i w:val="0"/>
          <w:sz w:val="20"/>
        </w:rPr>
        <w:t xml:space="preserve">   (2)</w:t>
      </w:r>
    </w:p>
    <w:p>
      <w:pPr>
        <w:jc w:val="both"/>
        <w:spacing w:before="0" w:after="50"/>
      </w:pPr>
      <w:r>
        <w:rPr>
          <w:rFonts w:ascii="Times New Roman" w:hAnsi="Times New Roman" w:cs="Times New Roman"/>
          <w:b w:val="0"/>
          <w:i w:val="0"/>
          <w:sz w:val="20"/>
        </w:rPr>
        <w:t>In Equation (2), |Ω_{crowd}(t)| represents the total pixel count of the occupied region, and H · W is the total image resolution. The resulting scalar D(t) is bounded within [0, 100], where 0 corresponds to an entirely empty scene and 100 indicates that the camera field of view is completely saturated by human presence. In addition to full-frame density, the image is partitioned into four spatial quadrants (Z_A, Z_B, Z_C, Z_D) to identify localized bottlenecks. To capture density growth rates, the first-order backward temporal derivative ΔD(t) is calculated across lookback step k:</w:t>
      </w:r>
    </w:p>
    <w:p>
      <w:pPr>
        <w:jc w:val="center"/>
        <w:spacing w:before="15" w:after="35"/>
      </w:pPr>
      <w:r>
        <w:rPr>
          <w:rFonts w:ascii="Times New Roman" w:hAnsi="Times New Roman" w:cs="Times New Roman"/>
          <w:b w:val="0"/>
          <w:i/>
          <w:sz w:val="20"/>
        </w:rPr>
        <w:t>ΔD(t) = (D(t) − D(t − kΔt)) / (kΔt)</w:t>
      </w:r>
      <w:r>
        <w:rPr>
          <w:rFonts w:ascii="Times New Roman" w:hAnsi="Times New Roman" w:cs="Times New Roman"/>
          <w:b w:val="0"/>
          <w:i w:val="0"/>
          <w:sz w:val="20"/>
        </w:rPr>
        <w:t xml:space="preserve">   (3)</w:t>
      </w:r>
    </w:p>
    <w:p>
      <w:pPr>
        <w:jc w:val="both"/>
        <w:spacing w:before="0" w:after="50"/>
      </w:pPr>
      <w:r>
        <w:rPr>
          <w:rFonts w:ascii="Times New Roman" w:hAnsi="Times New Roman" w:cs="Times New Roman"/>
          <w:b w:val="0"/>
          <w:i w:val="0"/>
          <w:sz w:val="20"/>
        </w:rPr>
        <w:t>In Equation (3), k represents the lookback stride in frames, and kΔt is the elapsed time interval in seconds. A positive value ΔD(t) &gt; 0 signifies rapid crowd inflow or spatial compaction, whereas ΔD(t) &lt; 0 indicates steady crowd dispersal. This temporal derivative serves as an early indicator of accumulation long before absolute density breaches critical thresholds.</w:t>
      </w:r>
    </w:p>
    <w:p>
      <w:pPr>
        <w:jc w:val="left"/>
        <w:spacing w:before="70" w:after="30"/>
      </w:pPr>
      <w:r>
        <w:rPr>
          <w:rFonts w:ascii="Times New Roman" w:hAnsi="Times New Roman" w:cs="Times New Roman"/>
          <w:b w:val="0"/>
          <w:i/>
          <w:sz w:val="20"/>
        </w:rPr>
        <w:t>B. Dense Optical Flow Polynomial Expansion Formulation</w:t>
      </w:r>
    </w:p>
    <w:p>
      <w:pPr>
        <w:jc w:val="both"/>
        <w:spacing w:before="0" w:after="50"/>
      </w:pPr>
      <w:r>
        <w:rPr>
          <w:rFonts w:ascii="Times New Roman" w:hAnsi="Times New Roman" w:cs="Times New Roman"/>
          <w:b w:val="0"/>
          <w:i w:val="0"/>
          <w:sz w:val="20"/>
        </w:rPr>
        <w:t>To measure movement dynamics across crowded scenes without individual visual tracking, we use Farnebäck dense optical flow [10]. The algorithm models image intensity in local neighborhoods around point x = (x, y)^T as quadratic polynomial surfaces:</w:t>
      </w:r>
    </w:p>
    <w:p>
      <w:pPr>
        <w:jc w:val="center"/>
        <w:spacing w:before="15" w:after="35"/>
      </w:pPr>
      <w:r>
        <w:rPr>
          <w:rFonts w:ascii="Times New Roman" w:hAnsi="Times New Roman" w:cs="Times New Roman"/>
          <w:b w:val="0"/>
          <w:i/>
          <w:sz w:val="20"/>
        </w:rPr>
        <w:t>f_1(x) ≈ x^T A_1 x + b_1^T x + c_1</w:t>
      </w:r>
      <w:r>
        <w:rPr>
          <w:rFonts w:ascii="Times New Roman" w:hAnsi="Times New Roman" w:cs="Times New Roman"/>
          <w:b w:val="0"/>
          <w:i w:val="0"/>
          <w:sz w:val="20"/>
        </w:rPr>
        <w:t xml:space="preserve">   (4)</w:t>
      </w:r>
    </w:p>
    <w:p>
      <w:pPr>
        <w:jc w:val="center"/>
        <w:spacing w:before="15" w:after="35"/>
      </w:pPr>
      <w:r>
        <w:rPr>
          <w:rFonts w:ascii="Times New Roman" w:hAnsi="Times New Roman" w:cs="Times New Roman"/>
          <w:b w:val="0"/>
          <w:i/>
          <w:sz w:val="20"/>
        </w:rPr>
        <w:t>f_2(x) = f_1(x − d) ≈ x^T A_2 x + b_2^T x + c_2</w:t>
      </w:r>
      <w:r>
        <w:rPr>
          <w:rFonts w:ascii="Times New Roman" w:hAnsi="Times New Roman" w:cs="Times New Roman"/>
          <w:b w:val="0"/>
          <w:i w:val="0"/>
          <w:sz w:val="20"/>
        </w:rPr>
        <w:t xml:space="preserve">   (5)</w:t>
      </w:r>
    </w:p>
    <w:p>
      <w:pPr>
        <w:jc w:val="both"/>
        <w:spacing w:before="0" w:after="50"/>
      </w:pPr>
      <w:r>
        <w:rPr>
          <w:rFonts w:ascii="Times New Roman" w:hAnsi="Times New Roman" w:cs="Times New Roman"/>
          <w:b w:val="0"/>
          <w:i w:val="0"/>
          <w:sz w:val="20"/>
        </w:rPr>
        <w:t>Equations (4) and (5) represent the local intensity surfaces of two consecutive frames, where A_1, A_2 are symmetric 2 × 2 matrices capturing spatial curvature, b_1, b_2 are 2 × 1 gradient vectors, and c_1, c_2 are scalar intensity offsets. Assuming brightness constancy under local displacement d = (u, v)^T, equating quadratic coefficients produces the local linear displacement equation:</w:t>
      </w:r>
    </w:p>
    <w:p>
      <w:pPr>
        <w:jc w:val="center"/>
        <w:spacing w:before="15" w:after="35"/>
      </w:pPr>
      <w:r>
        <w:rPr>
          <w:rFonts w:ascii="Times New Roman" w:hAnsi="Times New Roman" w:cs="Times New Roman"/>
          <w:b w:val="0"/>
          <w:i/>
          <w:sz w:val="20"/>
        </w:rPr>
        <w:t>A(x) d(x) = Δb(x) \implies d(x) = −(1/2) A_1^{-1} (b_2 − b_1)</w:t>
      </w:r>
      <w:r>
        <w:rPr>
          <w:rFonts w:ascii="Times New Roman" w:hAnsi="Times New Roman" w:cs="Times New Roman"/>
          <w:b w:val="0"/>
          <w:i w:val="0"/>
          <w:sz w:val="20"/>
        </w:rPr>
        <w:t xml:space="preserve">   (6)</w:t>
      </w:r>
    </w:p>
    <w:p>
      <w:pPr>
        <w:jc w:val="both"/>
        <w:spacing w:before="0" w:after="50"/>
      </w:pPr>
      <w:r>
        <w:rPr>
          <w:rFonts w:ascii="Times New Roman" w:hAnsi="Times New Roman" w:cs="Times New Roman"/>
          <w:b w:val="0"/>
          <w:i w:val="0"/>
          <w:sz w:val="20"/>
        </w:rPr>
        <w:t>In Equation (6), matrix A = (A_1 + A_2)/2 represents average local curvature, and Δb = -(b_2 - b_1)/2 represents temporal gradient changes. Solving this system at every pixel yields the dense velocity field v(x,y,t) = (u(x,y,t), v(x,y,t))^T. The instantaneous speed at each pixel is given by:</w:t>
      </w:r>
    </w:p>
    <w:p>
      <w:pPr>
        <w:jc w:val="center"/>
        <w:spacing w:before="15" w:after="35"/>
      </w:pPr>
      <w:r>
        <w:rPr>
          <w:rFonts w:ascii="Times New Roman" w:hAnsi="Times New Roman" w:cs="Times New Roman"/>
          <w:b w:val="0"/>
          <w:i/>
          <w:sz w:val="20"/>
        </w:rPr>
        <w:t>‖v(x,y,t)‖ = √(u(x,y,t)^2 + v(x,y,t)^2)</w:t>
      </w:r>
      <w:r>
        <w:rPr>
          <w:rFonts w:ascii="Times New Roman" w:hAnsi="Times New Roman" w:cs="Times New Roman"/>
          <w:b w:val="0"/>
          <w:i w:val="0"/>
          <w:sz w:val="20"/>
        </w:rPr>
        <w:t xml:space="preserve">   (7)</w:t>
      </w:r>
    </w:p>
    <w:p>
      <w:pPr>
        <w:jc w:val="both"/>
        <w:spacing w:before="0" w:after="50"/>
      </w:pPr>
      <w:r>
        <w:rPr>
          <w:rFonts w:ascii="Times New Roman" w:hAnsi="Times New Roman" w:cs="Times New Roman"/>
          <w:b w:val="0"/>
          <w:i w:val="0"/>
          <w:sz w:val="20"/>
        </w:rPr>
        <w:t>Equation (7) computes the Euclidean magnitude of the motion vector. The average crowd movement magnitude M(t) is then derived by integrating speed over all active pixels within the crowd occupancy domain Ω_{crowd}:</w:t>
      </w:r>
    </w:p>
    <w:p>
      <w:pPr>
        <w:jc w:val="center"/>
        <w:spacing w:before="15" w:after="35"/>
      </w:pPr>
      <w:r>
        <w:rPr>
          <w:rFonts w:ascii="Times New Roman" w:hAnsi="Times New Roman" w:cs="Times New Roman"/>
          <w:b w:val="0"/>
          <w:i/>
          <w:sz w:val="20"/>
        </w:rPr>
        <w:t>M(t) = (1 / |Ω_{crowd}|) ∫∫_{Ω_{crowd}} ‖v(x,y,t)‖ dx dy</w:t>
      </w:r>
      <w:r>
        <w:rPr>
          <w:rFonts w:ascii="Times New Roman" w:hAnsi="Times New Roman" w:cs="Times New Roman"/>
          <w:b w:val="0"/>
          <w:i w:val="0"/>
          <w:sz w:val="20"/>
        </w:rPr>
        <w:t xml:space="preserve">   (8)</w:t>
      </w:r>
    </w:p>
    <w:p>
      <w:pPr>
        <w:jc w:val="both"/>
        <w:spacing w:before="0" w:after="50"/>
      </w:pPr>
      <w:r>
        <w:rPr>
          <w:rFonts w:ascii="Times New Roman" w:hAnsi="Times New Roman" w:cs="Times New Roman"/>
          <w:b w:val="0"/>
          <w:i w:val="0"/>
          <w:sz w:val="20"/>
        </w:rPr>
        <w:t>Equation (8) averages speed exclusively over detected human regions, preventing irrelevant background motions (such as moving foliage or lighting flickers) from corrupting the crowd velocity estimate. Kinematic acceleration ΔM(t), which reflects sudden surges or rapid braking, is derived as:</w:t>
      </w:r>
    </w:p>
    <w:p>
      <w:pPr>
        <w:jc w:val="center"/>
        <w:spacing w:before="15" w:after="35"/>
      </w:pPr>
      <w:r>
        <w:rPr>
          <w:rFonts w:ascii="Times New Roman" w:hAnsi="Times New Roman" w:cs="Times New Roman"/>
          <w:b w:val="0"/>
          <w:i/>
          <w:sz w:val="20"/>
        </w:rPr>
        <w:t>ΔM(t) = (M(t) − M(t − kΔt)) / (kΔt)</w:t>
      </w:r>
      <w:r>
        <w:rPr>
          <w:rFonts w:ascii="Times New Roman" w:hAnsi="Times New Roman" w:cs="Times New Roman"/>
          <w:b w:val="0"/>
          <w:i w:val="0"/>
          <w:sz w:val="20"/>
        </w:rPr>
        <w:t xml:space="preserve">   (9)</w:t>
      </w:r>
    </w:p>
    <w:p>
      <w:pPr>
        <w:jc w:val="both"/>
        <w:spacing w:before="0" w:after="50"/>
      </w:pPr>
      <w:r>
        <w:rPr>
          <w:rFonts w:ascii="Times New Roman" w:hAnsi="Times New Roman" w:cs="Times New Roman"/>
          <w:b w:val="0"/>
          <w:i w:val="0"/>
          <w:sz w:val="20"/>
        </w:rPr>
        <w:t>Equation (9) represents the temporal rate of change of average speed. A sudden positive surge ΔM(t) &gt;&gt; 0 flags fleeing behavior or crowd rushes, whereas an abrupt negative deceleration ΔM(t) &lt;&lt; 0 accompanied by high density indicates bottleneck compaction where individuals are forced to a sudden halt.</w:t>
      </w:r>
    </w:p>
    <w:p>
      <w:pPr>
        <w:jc w:val="left"/>
        <w:spacing w:before="70" w:after="30"/>
      </w:pPr>
      <w:r>
        <w:rPr>
          <w:rFonts w:ascii="Times New Roman" w:hAnsi="Times New Roman" w:cs="Times New Roman"/>
          <w:b w:val="0"/>
          <w:i/>
          <w:sz w:val="20"/>
        </w:rPr>
        <w:t>C. Directional Variance and Fluid Dynamic Turbulence</w:t>
      </w:r>
    </w:p>
    <w:p>
      <w:pPr>
        <w:jc w:val="both"/>
        <w:spacing w:before="0" w:after="50"/>
      </w:pPr>
      <w:r>
        <w:rPr>
          <w:rFonts w:ascii="Times New Roman" w:hAnsi="Times New Roman" w:cs="Times New Roman"/>
          <w:b w:val="0"/>
          <w:i w:val="0"/>
          <w:sz w:val="20"/>
        </w:rPr>
        <w:t>To detect chaotic cross-currents and panics, we compute optical flow angles θ(x,y) = atan2(v(x,y), u(x,y)) for all active pixels. Because angular variables wrap around 2π, arithmetic variance is mathematically invalid. We apply circular directional statistics [14], computing the mean resultant vector magnitude R_{dir} from circular trigonometric moments:</w:t>
      </w:r>
    </w:p>
    <w:p>
      <w:pPr>
        <w:jc w:val="center"/>
        <w:spacing w:before="15" w:after="35"/>
      </w:pPr>
      <w:r>
        <w:rPr>
          <w:rFonts w:ascii="Times New Roman" w:hAnsi="Times New Roman" w:cs="Times New Roman"/>
          <w:b w:val="0"/>
          <w:i/>
          <w:sz w:val="20"/>
        </w:rPr>
        <w:t>C_{dir} = ∑_{i=1}^N \cos(θ_i), \quad S_{dir} = ∑_{i=1}^N \sin(θ_i)</w:t>
      </w:r>
      <w:r>
        <w:rPr>
          <w:rFonts w:ascii="Times New Roman" w:hAnsi="Times New Roman" w:cs="Times New Roman"/>
          <w:b w:val="0"/>
          <w:i w:val="0"/>
          <w:sz w:val="20"/>
        </w:rPr>
        <w:t xml:space="preserve">   (10)</w:t>
      </w:r>
    </w:p>
    <w:p>
      <w:pPr>
        <w:jc w:val="center"/>
        <w:spacing w:before="15" w:after="35"/>
      </w:pPr>
      <w:r>
        <w:rPr>
          <w:rFonts w:ascii="Times New Roman" w:hAnsi="Times New Roman" w:cs="Times New Roman"/>
          <w:b w:val="0"/>
          <w:i/>
          <w:sz w:val="20"/>
        </w:rPr>
        <w:t>R_{dir} = √(C_{dir}^2 + S_{dir}^2) / N, \quad σ²_</w:t>
        <w:tab/>
        <w:t>heta = 1 − R_{dir}</w:t>
      </w:r>
      <w:r>
        <w:rPr>
          <w:rFonts w:ascii="Times New Roman" w:hAnsi="Times New Roman" w:cs="Times New Roman"/>
          <w:b w:val="0"/>
          <w:i w:val="0"/>
          <w:sz w:val="20"/>
        </w:rPr>
        <w:t xml:space="preserve">   (11)</w:t>
      </w:r>
    </w:p>
    <w:p>
      <w:pPr>
        <w:jc w:val="both"/>
        <w:spacing w:before="0" w:after="50"/>
      </w:pPr>
      <w:r>
        <w:rPr>
          <w:rFonts w:ascii="Times New Roman" w:hAnsi="Times New Roman" w:cs="Times New Roman"/>
          <w:b w:val="0"/>
          <w:i w:val="0"/>
          <w:sz w:val="20"/>
        </w:rPr>
        <w:t>In Equations (10) and (11), C_{dir} and S_{dir} accumulate unit vector projections across N active motion pixels. R_{dir} represents the length of the mean resultant vector, normalized to the interval [0, 1]. When all individuals move in unison in a single direction (laminar evacuation), R_{dir} approaches 1, driving circular variance σ²_</w:t>
        <w:tab/>
        <w:t>heta to 0. Conversely, when opposing crowd streams collide or panic causes people to scatter in all directions, vector components cancel out, driving R_{dir} toward 0 and circular variance σ²_</w:t>
        <w:tab/>
        <w:t>heta toward 1. This provides a robust quantitative measure of directional disorder.</w:t>
      </w:r>
    </w:p>
    <w:p>
      <w:pPr>
        <w:jc w:val="both"/>
        <w:spacing w:before="0" w:after="50"/>
      </w:pPr>
      <w:r>
        <w:rPr>
          <w:rFonts w:ascii="Times New Roman" w:hAnsi="Times New Roman" w:cs="Times New Roman"/>
          <w:b w:val="0"/>
          <w:i w:val="0"/>
          <w:sz w:val="20"/>
        </w:rPr>
        <w:t>In addition to angular variance, fluid dynamic turbulence is captured through the vector coherence irregularity index I_{flow}:</w:t>
      </w:r>
    </w:p>
    <w:p>
      <w:pPr>
        <w:jc w:val="center"/>
        <w:spacing w:before="15" w:after="35"/>
      </w:pPr>
      <w:r>
        <w:rPr>
          <w:rFonts w:ascii="Times New Roman" w:hAnsi="Times New Roman" w:cs="Times New Roman"/>
          <w:b w:val="0"/>
          <w:i/>
          <w:sz w:val="20"/>
        </w:rPr>
        <w:t>I_{flow} = 1 − (‖∫∫ v(x,y,t) dx dy‖) / (∫∫ ‖v(x,y,t)‖ dx dy)</w:t>
      </w:r>
      <w:r>
        <w:rPr>
          <w:rFonts w:ascii="Times New Roman" w:hAnsi="Times New Roman" w:cs="Times New Roman"/>
          <w:b w:val="0"/>
          <w:i w:val="0"/>
          <w:sz w:val="20"/>
        </w:rPr>
        <w:t xml:space="preserve">   (12)</w:t>
      </w:r>
    </w:p>
    <w:p>
      <w:pPr>
        <w:jc w:val="both"/>
        <w:spacing w:before="0" w:after="50"/>
      </w:pPr>
      <w:r>
        <w:rPr>
          <w:rFonts w:ascii="Times New Roman" w:hAnsi="Times New Roman" w:cs="Times New Roman"/>
          <w:b w:val="0"/>
          <w:i w:val="0"/>
          <w:sz w:val="20"/>
        </w:rPr>
        <w:t>Equation (12) computes the ratio between the net vector momentum (the norm of the integrated velocity field) and the total scalar kinetic activity (the integral of vector speeds). Under smooth unidirectional motion, all velocity vectors point in the same direction, so the norm of the sum equals the sum of the norms, yielding I_{flow} = 0. When counter-currents, whirlpools, or localized crushing forces develop, opposing vectors cancel in the numerator while the denominator remains large, causing I_{flow} to approach 1. Fig. 3 shows how these spatial and kinematic features combine into a unified feature vector.</w:t>
      </w:r>
    </w:p>
    <w:p>
      <w:pPr>
        <w:jc w:val="center"/>
        <w:spacing w:before="50" w:after="15"/>
      </w:pPr>
      <w:r>
        <w:drawing>
          <wp:inline xmlns:a="http://schemas.openxmlformats.org/drawingml/2006/main" xmlns:pic="http://schemas.openxmlformats.org/drawingml/2006/picture">
            <wp:extent cx="5220000" cy="2853526"/>
            <wp:docPr id="3" name="Picture 3"/>
            <wp:cNvGraphicFramePr>
              <a:graphicFrameLocks noChangeAspect="1"/>
            </wp:cNvGraphicFramePr>
            <a:graphic>
              <a:graphicData uri="http://schemas.openxmlformats.org/drawingml/2006/picture">
                <pic:pic>
                  <pic:nvPicPr>
                    <pic:cNvPr id="0" name="fig3_features.png"/>
                    <pic:cNvPicPr/>
                  </pic:nvPicPr>
                  <pic:blipFill>
                    <a:blip r:embed="rId11"/>
                    <a:stretch>
                      <a:fillRect/>
                    </a:stretch>
                  </pic:blipFill>
                  <pic:spPr>
                    <a:xfrm>
                      <a:off x="0" y="0"/>
                      <a:ext cx="5220000" cy="2853526"/>
                    </a:xfrm>
                    <a:prstGeom prst="rect"/>
                  </pic:spPr>
                </pic:pic>
              </a:graphicData>
            </a:graphic>
          </wp:inline>
        </w:drawing>
      </w:r>
    </w:p>
    <w:p>
      <w:pPr>
        <w:jc w:val="center"/>
        <w:spacing w:before="0" w:after="70"/>
      </w:pPr>
      <w:r>
        <w:rPr>
          <w:rFonts w:ascii="Times New Roman" w:hAnsi="Times New Roman" w:cs="Times New Roman"/>
          <w:b w:val="0"/>
          <w:i/>
          <w:sz w:val="18"/>
        </w:rPr>
        <w:t>Fig. 3.  6-dimensional spatial-temporal feature representation.</w:t>
      </w:r>
    </w:p>
    <w:p>
      <w:pPr>
        <w:jc w:val="both"/>
        <w:spacing w:before="0" w:after="50"/>
      </w:pPr>
      <w:r>
        <w:rPr>
          <w:rFonts w:ascii="Times New Roman" w:hAnsi="Times New Roman" w:cs="Times New Roman"/>
          <w:b w:val="0"/>
          <w:i w:val="0"/>
          <w:sz w:val="20"/>
        </w:rPr>
        <w:t>Fig. 3 illustrates the six-dimensional feature representation F = [D, ΔD, M, ΔM, σ²_</w:t>
        <w:tab/>
        <w:t>heta, I_{flow}] entering the fusion and scoring stages. The diagram highlights the two primary feature groups: spatial density indicators on the left and kinematic motion indicators on the right. Each feature is normalized into the common scale [0, 100] before entering the temporal windowing buffer, ensuring balanced contributions to the final risk score.</w:t>
      </w:r>
    </w:p>
    <w:p>
      <w:pPr>
        <w:jc w:val="left"/>
        <w:spacing w:before="70" w:after="30"/>
      </w:pPr>
      <w:r>
        <w:rPr>
          <w:rFonts w:ascii="Times New Roman" w:hAnsi="Times New Roman" w:cs="Times New Roman"/>
          <w:b w:val="0"/>
          <w:i/>
          <w:sz w:val="20"/>
        </w:rPr>
        <w:t>D. Temporal Sliding Window Pooling and Explainable Attribution</w:t>
      </w:r>
    </w:p>
    <w:p>
      <w:pPr>
        <w:jc w:val="both"/>
        <w:spacing w:before="0" w:after="50"/>
      </w:pPr>
      <w:r>
        <w:rPr>
          <w:rFonts w:ascii="Times New Roman" w:hAnsi="Times New Roman" w:cs="Times New Roman"/>
          <w:b w:val="0"/>
          <w:i w:val="0"/>
          <w:sz w:val="20"/>
        </w:rPr>
        <w:t>Single-frame measurements are subject to high-frequency fluctuations caused by bounding-box jitter, pedestrian self-occlusions, and camera sensor noise. To ensure stability, the instantaneous feature vector F(t) is smoothed using a rolling temporal window spanning T_w = 5.0 seconds (W = 50 frames at 10-20 FPS):</w:t>
      </w:r>
    </w:p>
    <w:p>
      <w:pPr>
        <w:jc w:val="center"/>
        <w:spacing w:before="15" w:after="35"/>
      </w:pPr>
      <w:r>
        <w:rPr>
          <w:rFonts w:ascii="Times New Roman" w:hAnsi="Times New Roman" w:cs="Times New Roman"/>
          <w:b w:val="0"/>
          <w:i/>
          <w:sz w:val="20"/>
        </w:rPr>
        <w:t>F_bar_j(t) = (1 / W) ∑_{m=0}^{W-1} F_j(t − mΔt), \quad j \in {1, 2, ..., 6}</w:t>
      </w:r>
      <w:r>
        <w:rPr>
          <w:rFonts w:ascii="Times New Roman" w:hAnsi="Times New Roman" w:cs="Times New Roman"/>
          <w:b w:val="0"/>
          <w:i w:val="0"/>
          <w:sz w:val="20"/>
        </w:rPr>
        <w:t xml:space="preserve">   (13)</w:t>
      </w:r>
    </w:p>
    <w:p>
      <w:pPr>
        <w:jc w:val="both"/>
        <w:spacing w:before="0" w:after="50"/>
      </w:pPr>
      <w:r>
        <w:rPr>
          <w:rFonts w:ascii="Times New Roman" w:hAnsi="Times New Roman" w:cs="Times New Roman"/>
          <w:b w:val="0"/>
          <w:i w:val="0"/>
          <w:sz w:val="20"/>
        </w:rPr>
        <w:t>Equation (13) computes the moving average F_bar_j(t) for each feature j over the lookback buffer W. This temporal integration suppresses momentary spikes while preserving sustained multi-second trends. The composite risk score R(t) is then formulated as a convex combination of normalized features:</w:t>
      </w:r>
    </w:p>
    <w:p>
      <w:pPr>
        <w:jc w:val="center"/>
        <w:spacing w:before="15" w:after="35"/>
      </w:pPr>
      <w:r>
        <w:rPr>
          <w:rFonts w:ascii="Times New Roman" w:hAnsi="Times New Roman" w:cs="Times New Roman"/>
          <w:b w:val="0"/>
          <w:i/>
          <w:sz w:val="20"/>
        </w:rPr>
        <w:t xml:space="preserve">R(t) = ∑_{j=1}^6 w_j F_bar_j(t), \quad </w:t>
        <w:tab/>
        <w:t>ext{subject to} \quad ∑_{j=1}^6 w_j = 1, \quad w_j \ge 0</w:t>
      </w:r>
      <w:r>
        <w:rPr>
          <w:rFonts w:ascii="Times New Roman" w:hAnsi="Times New Roman" w:cs="Times New Roman"/>
          <w:b w:val="0"/>
          <w:i w:val="0"/>
          <w:sz w:val="20"/>
        </w:rPr>
        <w:t xml:space="preserve">   (14)</w:t>
      </w:r>
    </w:p>
    <w:p>
      <w:pPr>
        <w:jc w:val="both"/>
        <w:spacing w:before="0" w:after="50"/>
      </w:pPr>
      <w:r>
        <w:rPr>
          <w:rFonts w:ascii="Times New Roman" w:hAnsi="Times New Roman" w:cs="Times New Roman"/>
          <w:b w:val="0"/>
          <w:i w:val="0"/>
          <w:sz w:val="20"/>
        </w:rPr>
        <w:t>In Equation (14), w_j are non-negative weighting coefficients summing to unity. In our default baseline implementation, empirical weights are assigned based on crowd safety literature priorities: w(D) = 0.25, w(ΔD) = 0.20, w(M) = 0.20, w(ΔM) = 0.15, w(σ²_</w:t>
        <w:tab/>
        <w:t>heta) = 0.10, and w(I_{flow}) = 0.10. To provide complete operational transparency, the analytical sensitivity and percentage contribution C_j(t) of each indicator are derived as:</w:t>
      </w:r>
    </w:p>
    <w:p>
      <w:pPr>
        <w:jc w:val="center"/>
        <w:spacing w:before="15" w:after="35"/>
      </w:pPr>
      <w:r>
        <w:rPr>
          <w:rFonts w:ascii="Times New Roman" w:hAnsi="Times New Roman" w:cs="Times New Roman"/>
          <w:b w:val="0"/>
          <w:i/>
          <w:sz w:val="20"/>
        </w:rPr>
        <w:t>∂R(t) / ∂F_bar_j(t) = w_j, \quad C_j(t) = (w_j F_bar_j(t) / R(t)) × 100%</w:t>
      </w:r>
      <w:r>
        <w:rPr>
          <w:rFonts w:ascii="Times New Roman" w:hAnsi="Times New Roman" w:cs="Times New Roman"/>
          <w:b w:val="0"/>
          <w:i w:val="0"/>
          <w:sz w:val="20"/>
        </w:rPr>
        <w:t xml:space="preserve">   (15)</w:t>
      </w:r>
    </w:p>
    <w:p>
      <w:pPr>
        <w:jc w:val="both"/>
        <w:spacing w:before="0" w:after="50"/>
      </w:pPr>
      <w:r>
        <w:rPr>
          <w:rFonts w:ascii="Times New Roman" w:hAnsi="Times New Roman" w:cs="Times New Roman"/>
          <w:b w:val="0"/>
          <w:i w:val="0"/>
          <w:sz w:val="20"/>
        </w:rPr>
        <w:t>Equation (15) establishes the mathematical basis of our explainability module. The partial derivative of the composite score with respect to any feature is simply its weight w_j. The fractional contribution C_j(t) represents the exact proportion of the total risk score attributable to feature j. Because the weights sum to 1, the sum of all percentage contributions identically equals 100%. Fig. 4 illustrates this explainable attribution mechanism.</w:t>
      </w:r>
    </w:p>
    <w:p>
      <w:pPr>
        <w:jc w:val="center"/>
        <w:spacing w:before="50" w:after="15"/>
      </w:pPr>
      <w:r>
        <w:drawing>
          <wp:inline xmlns:a="http://schemas.openxmlformats.org/drawingml/2006/main" xmlns:pic="http://schemas.openxmlformats.org/drawingml/2006/picture">
            <wp:extent cx="5220000" cy="3069513"/>
            <wp:docPr id="4" name="Picture 4"/>
            <wp:cNvGraphicFramePr>
              <a:graphicFrameLocks noChangeAspect="1"/>
            </wp:cNvGraphicFramePr>
            <a:graphic>
              <a:graphicData uri="http://schemas.openxmlformats.org/drawingml/2006/picture">
                <pic:pic>
                  <pic:nvPicPr>
                    <pic:cNvPr id="0" name="fig4_explainability.png"/>
                    <pic:cNvPicPr/>
                  </pic:nvPicPr>
                  <pic:blipFill>
                    <a:blip r:embed="rId12"/>
                    <a:stretch>
                      <a:fillRect/>
                    </a:stretch>
                  </pic:blipFill>
                  <pic:spPr>
                    <a:xfrm>
                      <a:off x="0" y="0"/>
                      <a:ext cx="5220000" cy="3069513"/>
                    </a:xfrm>
                    <a:prstGeom prst="rect"/>
                  </pic:spPr>
                </pic:pic>
              </a:graphicData>
            </a:graphic>
          </wp:inline>
        </w:drawing>
      </w:r>
    </w:p>
    <w:p>
      <w:pPr>
        <w:jc w:val="center"/>
        <w:spacing w:before="0" w:after="70"/>
      </w:pPr>
      <w:r>
        <w:rPr>
          <w:rFonts w:ascii="Times New Roman" w:hAnsi="Times New Roman" w:cs="Times New Roman"/>
          <w:b w:val="0"/>
          <w:i/>
          <w:sz w:val="18"/>
        </w:rPr>
        <w:t>Fig. 4.  Explainable factor contribution breakdown.</w:t>
      </w:r>
    </w:p>
    <w:p>
      <w:pPr>
        <w:jc w:val="both"/>
        <w:spacing w:before="0" w:after="50"/>
      </w:pPr>
      <w:r>
        <w:rPr>
          <w:rFonts w:ascii="Times New Roman" w:hAnsi="Times New Roman" w:cs="Times New Roman"/>
          <w:b w:val="0"/>
          <w:i w:val="0"/>
          <w:sz w:val="20"/>
        </w:rPr>
        <w:t>As visualized in Fig. 4, when the system issues an alert, the control-room interface presents a horizontal contribution breakdown alongside the composite risk score. For example, in a critical bottleneck scenario, the interface displays that 48% of the risk is driven by spatial density D, 28% by density accumulation rate ΔD, and 24% by motion arrest ΔM. This transparent breakdown allows commanders to deploy physical barrier adjustments rather than issuing generic evacuation orders. The continuous risk score R(t) is mapped into four operational categories: NORMAL (R &lt; 31), WARNING (31 ≤ R &lt; 51), HIGH RISK (51 ≤ R &lt; 76), and CRITICAL (R ≥ 76). To eliminate alarm chattering around threshold boundaries, confirmed alert dispatch is governed by temporal persistence gating:</w:t>
      </w:r>
    </w:p>
    <w:p>
      <w:pPr>
        <w:jc w:val="center"/>
        <w:spacing w:before="15" w:after="35"/>
      </w:pPr>
      <w:r>
        <w:rPr>
          <w:rFonts w:ascii="Times New Roman" w:hAnsi="Times New Roman" w:cs="Times New Roman"/>
          <w:b w:val="0"/>
          <w:i/>
          <w:sz w:val="20"/>
        </w:rPr>
        <w:t>A(t) = 𝟙( ∑_{m=0}^{K-1} 𝟙(R(t − mΔt) \ge τ_{risk}) = K )</w:t>
      </w:r>
      <w:r>
        <w:rPr>
          <w:rFonts w:ascii="Times New Roman" w:hAnsi="Times New Roman" w:cs="Times New Roman"/>
          <w:b w:val="0"/>
          <w:i w:val="0"/>
          <w:sz w:val="20"/>
        </w:rPr>
        <w:t xml:space="preserve">   (16)</w:t>
      </w:r>
    </w:p>
    <w:p>
      <w:pPr>
        <w:jc w:val="both"/>
        <w:spacing w:before="0" w:after="50"/>
      </w:pPr>
      <w:r>
        <w:rPr>
          <w:rFonts w:ascii="Times New Roman" w:hAnsi="Times New Roman" w:cs="Times New Roman"/>
          <w:b w:val="0"/>
          <w:i w:val="0"/>
          <w:sz w:val="20"/>
        </w:rPr>
        <w:t>In Equation (16), 𝟙 is the indicator function, τ_{risk} is the activation threshold, and K is the persistence window length (set to K = 5 frames). A confirmed alert A(t) = 1 is triggered only when the calculated risk score equals or exceeds τ_{risk} for K consecutive frames, filtering out isolated frame anomalies.</w:t>
      </w:r>
    </w:p>
    <w:p>
      <w:pPr>
        <w:jc w:val="center"/>
        <w:spacing w:before="120" w:after="50"/>
      </w:pPr>
      <w:r>
        <w:rPr>
          <w:rFonts w:ascii="Times New Roman" w:hAnsi="Times New Roman" w:cs="Times New Roman"/>
          <w:b w:val="0"/>
          <w:i w:val="0"/>
          <w:sz w:val="20"/>
        </w:rPr>
        <w:t>IV. EXPERIMENTAL SETUP</w:t>
      </w:r>
    </w:p>
    <w:p>
      <w:pPr>
        <w:jc w:val="left"/>
        <w:spacing w:before="70" w:after="30"/>
      </w:pPr>
      <w:r>
        <w:rPr>
          <w:rFonts w:ascii="Times New Roman" w:hAnsi="Times New Roman" w:cs="Times New Roman"/>
          <w:b w:val="0"/>
          <w:i/>
          <w:sz w:val="20"/>
        </w:rPr>
        <w:t>A. Dataset Construction</w:t>
      </w:r>
    </w:p>
    <w:p>
      <w:pPr>
        <w:jc w:val="both"/>
        <w:spacing w:before="0" w:after="50"/>
      </w:pPr>
      <w:r>
        <w:rPr>
          <w:rFonts w:ascii="Times New Roman" w:hAnsi="Times New Roman" w:cs="Times New Roman"/>
          <w:b w:val="0"/>
          <w:i w:val="0"/>
          <w:sz w:val="20"/>
        </w:rPr>
        <w:t>Because public real-world surveillance datasets with per-frame risk annotations and event-onset timestamps are unavailable, we developed a controlled synthetic crowd benchmark suite. The dataset comprises 6 video sequences totaling 1,200 annotated frames (60.0 seconds total at 20 FPS, 640 × 480 VGA resolution). Each sequence simulates a distinct crowd safety scenario: laminar evacuation transit, doorway bottleneck congestion, bidirectional counter-flow collision, sudden panic dispersion, high-density stationary compression, and multi-directional concourse movement. Table I summarizes the dataset specifications.</w:t>
      </w:r>
    </w:p>
    <w:p>
      <w:pPr>
        <w:jc w:val="center"/>
        <w:spacing w:before="70" w:after="15"/>
      </w:pPr>
      <w:r>
        <w:rPr>
          <w:rFonts w:ascii="Times New Roman" w:hAnsi="Times New Roman" w:cs="Times New Roman"/>
          <w:b/>
          <w:i w:val="0"/>
          <w:sz w:val="18"/>
        </w:rPr>
        <w:t>TABLE I</w:t>
      </w:r>
    </w:p>
    <w:p>
      <w:pPr>
        <w:jc w:val="center"/>
        <w:spacing w:before="0" w:after="35"/>
      </w:pPr>
      <w:r>
        <w:rPr>
          <w:rFonts w:ascii="Times New Roman" w:hAnsi="Times New Roman" w:cs="Times New Roman"/>
          <w:b w:val="0"/>
          <w:i/>
          <w:sz w:val="18"/>
        </w:rPr>
        <w:t>CrowdSentinel Synthetic Benchmark Dataset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13"/>
        <w:gridCol w:w="5213"/>
      </w:tblGrid>
      <w:tr>
        <w:tc>
          <w:tcPr>
            <w:tcW w:w="3402" w:type="dxa"/>
          </w:tcPr>
          <w:p>
            <w:pPr>
              <w:jc w:val="center"/>
              <w:spacing w:before="25" w:after="25"/>
            </w:pPr>
            <w:r>
              <w:rPr>
                <w:rFonts w:ascii="Times New Roman" w:hAnsi="Times New Roman" w:cs="Times New Roman"/>
                <w:b/>
                <w:i w:val="0"/>
                <w:sz w:val="18"/>
              </w:rPr>
              <w:t>Parameter</w:t>
            </w:r>
          </w:p>
        </w:tc>
        <w:tc>
          <w:tcPr>
            <w:tcW w:w="5670" w:type="dxa"/>
          </w:tcPr>
          <w:p>
            <w:pPr>
              <w:jc w:val="center"/>
              <w:spacing w:before="25" w:after="25"/>
            </w:pPr>
            <w:r>
              <w:rPr>
                <w:rFonts w:ascii="Times New Roman" w:hAnsi="Times New Roman" w:cs="Times New Roman"/>
                <w:b/>
                <w:i w:val="0"/>
                <w:sz w:val="18"/>
              </w:rPr>
              <w:t>Specification</w:t>
            </w:r>
          </w:p>
        </w:tc>
      </w:tr>
      <w:tr>
        <w:tc>
          <w:tcPr>
            <w:tcW w:type="dxa" w:w="5213"/>
          </w:tcPr>
          <w:p>
            <w:pPr>
              <w:jc w:val="left"/>
              <w:spacing w:before="18" w:after="18"/>
            </w:pPr>
            <w:r>
              <w:rPr>
                <w:rFonts w:ascii="Times New Roman" w:hAnsi="Times New Roman" w:cs="Times New Roman"/>
                <w:b w:val="0"/>
                <w:i w:val="0"/>
                <w:sz w:val="18"/>
              </w:rPr>
              <w:t>Total Video Sequences</w:t>
            </w:r>
          </w:p>
        </w:tc>
        <w:tc>
          <w:tcPr>
            <w:tcW w:type="dxa" w:w="5213"/>
          </w:tcPr>
          <w:p>
            <w:pPr>
              <w:jc w:val="center"/>
              <w:spacing w:before="18" w:after="18"/>
            </w:pPr>
            <w:r>
              <w:rPr>
                <w:rFonts w:ascii="Times New Roman" w:hAnsi="Times New Roman" w:cs="Times New Roman"/>
                <w:b w:val="0"/>
                <w:i w:val="0"/>
                <w:sz w:val="18"/>
              </w:rPr>
              <w:t>6</w:t>
            </w:r>
          </w:p>
        </w:tc>
      </w:tr>
      <w:tr>
        <w:tc>
          <w:tcPr>
            <w:tcW w:type="dxa" w:w="5213"/>
          </w:tcPr>
          <w:p>
            <w:pPr>
              <w:jc w:val="left"/>
              <w:spacing w:before="18" w:after="18"/>
            </w:pPr>
            <w:r>
              <w:rPr>
                <w:rFonts w:ascii="Times New Roman" w:hAnsi="Times New Roman" w:cs="Times New Roman"/>
                <w:b w:val="0"/>
                <w:i w:val="0"/>
                <w:sz w:val="18"/>
              </w:rPr>
              <w:t>Total Frames</w:t>
            </w:r>
          </w:p>
        </w:tc>
        <w:tc>
          <w:tcPr>
            <w:tcW w:type="dxa" w:w="5213"/>
          </w:tcPr>
          <w:p>
            <w:pPr>
              <w:jc w:val="center"/>
              <w:spacing w:before="18" w:after="18"/>
            </w:pPr>
            <w:r>
              <w:rPr>
                <w:rFonts w:ascii="Times New Roman" w:hAnsi="Times New Roman" w:cs="Times New Roman"/>
                <w:b w:val="0"/>
                <w:i w:val="0"/>
                <w:sz w:val="18"/>
              </w:rPr>
              <w:t>1,200 frames (60.0 seconds total)</w:t>
            </w:r>
          </w:p>
        </w:tc>
      </w:tr>
      <w:tr>
        <w:tc>
          <w:tcPr>
            <w:tcW w:type="dxa" w:w="5213"/>
          </w:tcPr>
          <w:p>
            <w:pPr>
              <w:jc w:val="left"/>
              <w:spacing w:before="18" w:after="18"/>
            </w:pPr>
            <w:r>
              <w:rPr>
                <w:rFonts w:ascii="Times New Roman" w:hAnsi="Times New Roman" w:cs="Times New Roman"/>
                <w:b w:val="0"/>
                <w:i w:val="0"/>
                <w:sz w:val="18"/>
              </w:rPr>
              <w:t>Resolution &amp; Frame Rate</w:t>
            </w:r>
          </w:p>
        </w:tc>
        <w:tc>
          <w:tcPr>
            <w:tcW w:type="dxa" w:w="5213"/>
          </w:tcPr>
          <w:p>
            <w:pPr>
              <w:jc w:val="center"/>
              <w:spacing w:before="18" w:after="18"/>
            </w:pPr>
            <w:r>
              <w:rPr>
                <w:rFonts w:ascii="Times New Roman" w:hAnsi="Times New Roman" w:cs="Times New Roman"/>
                <w:b w:val="0"/>
                <w:i w:val="0"/>
                <w:sz w:val="18"/>
              </w:rPr>
              <w:t>640 × 480 (VGA), 20 FPS</w:t>
            </w:r>
          </w:p>
        </w:tc>
      </w:tr>
      <w:tr>
        <w:tc>
          <w:tcPr>
            <w:tcW w:type="dxa" w:w="5213"/>
          </w:tcPr>
          <w:p>
            <w:pPr>
              <w:jc w:val="left"/>
              <w:spacing w:before="18" w:after="18"/>
            </w:pPr>
            <w:r>
              <w:rPr>
                <w:rFonts w:ascii="Times New Roman" w:hAnsi="Times New Roman" w:cs="Times New Roman"/>
                <w:b w:val="0"/>
                <w:i w:val="0"/>
                <w:sz w:val="18"/>
              </w:rPr>
              <w:t>Ground Truth Annotations</w:t>
            </w:r>
          </w:p>
        </w:tc>
        <w:tc>
          <w:tcPr>
            <w:tcW w:type="dxa" w:w="5213"/>
          </w:tcPr>
          <w:p>
            <w:pPr>
              <w:jc w:val="center"/>
              <w:spacing w:before="18" w:after="18"/>
            </w:pPr>
            <w:r>
              <w:rPr>
                <w:rFonts w:ascii="Times New Roman" w:hAnsi="Times New Roman" w:cs="Times New Roman"/>
                <w:b w:val="0"/>
                <w:i w:val="0"/>
                <w:sz w:val="18"/>
              </w:rPr>
              <w:t>Per-frame risk category + event-onset timestamp</w:t>
            </w:r>
          </w:p>
        </w:tc>
      </w:tr>
      <w:tr>
        <w:tc>
          <w:tcPr>
            <w:tcW w:type="dxa" w:w="5213"/>
          </w:tcPr>
          <w:p>
            <w:pPr>
              <w:jc w:val="left"/>
              <w:spacing w:before="18" w:after="18"/>
            </w:pPr>
            <w:r>
              <w:rPr>
                <w:rFonts w:ascii="Times New Roman" w:hAnsi="Times New Roman" w:cs="Times New Roman"/>
                <w:b w:val="0"/>
                <w:i w:val="0"/>
                <w:sz w:val="18"/>
              </w:rPr>
              <w:t>Partition Split</w:t>
            </w:r>
          </w:p>
        </w:tc>
        <w:tc>
          <w:tcPr>
            <w:tcW w:type="dxa" w:w="5213"/>
          </w:tcPr>
          <w:p>
            <w:pPr>
              <w:jc w:val="center"/>
              <w:spacing w:before="18" w:after="18"/>
            </w:pPr>
            <w:r>
              <w:rPr>
                <w:rFonts w:ascii="Times New Roman" w:hAnsi="Times New Roman" w:cs="Times New Roman"/>
                <w:b w:val="0"/>
                <w:i w:val="0"/>
                <w:sz w:val="18"/>
              </w:rPr>
              <w:t>4 Train / 1 Validation / 1 Test (video-level, seed 42)</w:t>
            </w:r>
          </w:p>
        </w:tc>
      </w:tr>
      <w:tr>
        <w:tc>
          <w:tcPr>
            <w:tcW w:type="dxa" w:w="5213"/>
          </w:tcPr>
          <w:p>
            <w:pPr>
              <w:jc w:val="left"/>
              <w:spacing w:before="18" w:after="18"/>
            </w:pPr>
            <w:r>
              <w:rPr>
                <w:rFonts w:ascii="Times New Roman" w:hAnsi="Times New Roman" w:cs="Times New Roman"/>
                <w:b w:val="0"/>
                <w:i w:val="0"/>
                <w:sz w:val="18"/>
              </w:rPr>
              <w:t>Benchmark Generator</w:t>
            </w:r>
          </w:p>
        </w:tc>
        <w:tc>
          <w:tcPr>
            <w:tcW w:type="dxa" w:w="5213"/>
          </w:tcPr>
          <w:p>
            <w:pPr>
              <w:jc w:val="center"/>
              <w:spacing w:before="18" w:after="18"/>
            </w:pPr>
            <w:r>
              <w:rPr>
                <w:rFonts w:ascii="Times New Roman" w:hAnsi="Times New Roman" w:cs="Times New Roman"/>
                <w:b w:val="0"/>
                <w:i w:val="0"/>
                <w:sz w:val="18"/>
              </w:rPr>
              <w:t>Synthetic avatar generator (benchmark_generator.py)</w:t>
            </w:r>
          </w:p>
        </w:tc>
      </w:tr>
    </w:tbl>
    <w:p>
      <w:pPr>
        <w:jc w:val="left"/>
        <w:spacing w:before="70" w:after="30"/>
      </w:pPr>
      <w:r>
        <w:rPr>
          <w:rFonts w:ascii="Times New Roman" w:hAnsi="Times New Roman" w:cs="Times New Roman"/>
          <w:b w:val="0"/>
          <w:i/>
          <w:sz w:val="20"/>
        </w:rPr>
        <w:t>B. Evaluation Protocol</w:t>
      </w:r>
    </w:p>
    <w:p>
      <w:pPr>
        <w:jc w:val="both"/>
        <w:spacing w:before="0" w:after="50"/>
      </w:pPr>
      <w:r>
        <w:rPr>
          <w:rFonts w:ascii="Times New Roman" w:hAnsi="Times New Roman" w:cs="Times New Roman"/>
          <w:b w:val="0"/>
          <w:i w:val="0"/>
          <w:sz w:val="20"/>
        </w:rPr>
        <w:t>To prevent temporal data leakage, all dataset partitions were executed strictly at the video sequence level rather than by random frame shuffling. Four sequences were assigned for baseline development, one for validation, and one held-out sequence was reserved exclusively for test evaluation. All benchmarks were executed on an Intel Core i7-1360P processor under Windows 11 without GPU hardware acceleration.</w:t>
      </w:r>
    </w:p>
    <w:p>
      <w:pPr>
        <w:jc w:val="center"/>
        <w:spacing w:before="120" w:after="50"/>
      </w:pPr>
      <w:r>
        <w:rPr>
          <w:rFonts w:ascii="Times New Roman" w:hAnsi="Times New Roman" w:cs="Times New Roman"/>
          <w:b w:val="0"/>
          <w:i w:val="0"/>
          <w:sz w:val="20"/>
        </w:rPr>
        <w:t>V. RESULTS AND DISCUSSION</w:t>
      </w:r>
    </w:p>
    <w:p>
      <w:pPr>
        <w:jc w:val="left"/>
        <w:spacing w:before="70" w:after="30"/>
      </w:pPr>
      <w:r>
        <w:rPr>
          <w:rFonts w:ascii="Times New Roman" w:hAnsi="Times New Roman" w:cs="Times New Roman"/>
          <w:b w:val="0"/>
          <w:i/>
          <w:sz w:val="20"/>
        </w:rPr>
        <w:t>A. Classification Performance</w:t>
      </w:r>
    </w:p>
    <w:p>
      <w:pPr>
        <w:jc w:val="both"/>
        <w:spacing w:before="0" w:after="50"/>
      </w:pPr>
      <w:r>
        <w:rPr>
          <w:rFonts w:ascii="Times New Roman" w:hAnsi="Times New Roman" w:cs="Times New Roman"/>
          <w:b w:val="0"/>
          <w:i w:val="0"/>
          <w:sz w:val="20"/>
        </w:rPr>
        <w:t>Table II and III report classification metrics across the evaluated models. Macro F1 serves as our primary performance metric because it evaluates all four risk categories equally, preventing the dominant NORMAL class from inflating perceived performance. Fig. 5 visualizes the Macro F1 comparison.</w:t>
      </w:r>
    </w:p>
    <w:p>
      <w:pPr>
        <w:jc w:val="center"/>
        <w:spacing w:before="70" w:after="15"/>
      </w:pPr>
      <w:r>
        <w:rPr>
          <w:rFonts w:ascii="Times New Roman" w:hAnsi="Times New Roman" w:cs="Times New Roman"/>
          <w:b/>
          <w:i w:val="0"/>
          <w:sz w:val="18"/>
        </w:rPr>
        <w:t>TABLE II</w:t>
      </w:r>
    </w:p>
    <w:p>
      <w:pPr>
        <w:jc w:val="center"/>
        <w:spacing w:before="0" w:after="35"/>
      </w:pPr>
      <w:r>
        <w:rPr>
          <w:rFonts w:ascii="Times New Roman" w:hAnsi="Times New Roman" w:cs="Times New Roman"/>
          <w:b w:val="0"/>
          <w:i/>
          <w:sz w:val="18"/>
        </w:rPr>
        <w:t>Risk Classification Performance on Held-Out Test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85"/>
        <w:gridCol w:w="2085"/>
        <w:gridCol w:w="2085"/>
        <w:gridCol w:w="2085"/>
        <w:gridCol w:w="2085"/>
      </w:tblGrid>
      <w:tr>
        <w:tc>
          <w:tcPr>
            <w:tcW w:w="3118" w:type="dxa"/>
          </w:tcPr>
          <w:p>
            <w:pPr>
              <w:jc w:val="center"/>
              <w:spacing w:before="25" w:after="25"/>
            </w:pPr>
            <w:r>
              <w:rPr>
                <w:rFonts w:ascii="Times New Roman" w:hAnsi="Times New Roman" w:cs="Times New Roman"/>
                <w:b/>
                <w:i w:val="0"/>
                <w:sz w:val="18"/>
              </w:rPr>
              <w:t>Model Architecture</w:t>
            </w:r>
          </w:p>
        </w:tc>
        <w:tc>
          <w:tcPr>
            <w:tcW w:w="1360" w:type="dxa"/>
          </w:tcPr>
          <w:p>
            <w:pPr>
              <w:jc w:val="center"/>
              <w:spacing w:before="25" w:after="25"/>
            </w:pPr>
            <w:r>
              <w:rPr>
                <w:rFonts w:ascii="Times New Roman" w:hAnsi="Times New Roman" w:cs="Times New Roman"/>
                <w:b/>
                <w:i w:val="0"/>
                <w:sz w:val="18"/>
              </w:rPr>
              <w:t>Accuracy</w:t>
            </w:r>
          </w:p>
        </w:tc>
        <w:tc>
          <w:tcPr>
            <w:tcW w:w="1360" w:type="dxa"/>
          </w:tcPr>
          <w:p>
            <w:pPr>
              <w:jc w:val="center"/>
              <w:spacing w:before="25" w:after="25"/>
            </w:pPr>
            <w:r>
              <w:rPr>
                <w:rFonts w:ascii="Times New Roman" w:hAnsi="Times New Roman" w:cs="Times New Roman"/>
                <w:b/>
                <w:i w:val="0"/>
                <w:sz w:val="18"/>
              </w:rPr>
              <w:t>Macro F1</w:t>
            </w:r>
          </w:p>
        </w:tc>
        <w:tc>
          <w:tcPr>
            <w:tcW w:w="1474" w:type="dxa"/>
          </w:tcPr>
          <w:p>
            <w:pPr>
              <w:jc w:val="center"/>
              <w:spacing w:before="25" w:after="25"/>
            </w:pPr>
            <w:r>
              <w:rPr>
                <w:rFonts w:ascii="Times New Roman" w:hAnsi="Times New Roman" w:cs="Times New Roman"/>
                <w:b/>
                <w:i w:val="0"/>
                <w:sz w:val="18"/>
              </w:rPr>
              <w:t>FAR (%)</w:t>
            </w:r>
          </w:p>
        </w:tc>
        <w:tc>
          <w:tcPr>
            <w:tcW w:w="1474" w:type="dxa"/>
          </w:tcPr>
          <w:p>
            <w:pPr>
              <w:jc w:val="center"/>
              <w:spacing w:before="25" w:after="25"/>
            </w:pPr>
            <w:r>
              <w:rPr>
                <w:rFonts w:ascii="Times New Roman" w:hAnsi="Times New Roman" w:cs="Times New Roman"/>
                <w:b/>
                <w:i w:val="0"/>
                <w:sz w:val="18"/>
              </w:rPr>
              <w:t>FPS (CPU)</w:t>
            </w:r>
          </w:p>
        </w:tc>
      </w:tr>
      <w:tr>
        <w:tc>
          <w:tcPr>
            <w:tcW w:type="dxa" w:w="2085"/>
          </w:tcPr>
          <w:p>
            <w:pPr>
              <w:jc w:val="left"/>
              <w:spacing w:before="18" w:after="18"/>
            </w:pPr>
            <w:r>
              <w:rPr>
                <w:rFonts w:ascii="Times New Roman" w:hAnsi="Times New Roman" w:cs="Times New Roman"/>
                <w:b w:val="0"/>
                <w:i w:val="0"/>
                <w:sz w:val="18"/>
              </w:rPr>
              <w:t>Baseline 1: Density Only</w:t>
            </w:r>
          </w:p>
        </w:tc>
        <w:tc>
          <w:tcPr>
            <w:tcW w:type="dxa" w:w="2085"/>
          </w:tcPr>
          <w:p>
            <w:pPr>
              <w:jc w:val="center"/>
              <w:spacing w:before="18" w:after="18"/>
            </w:pPr>
            <w:r>
              <w:rPr>
                <w:rFonts w:ascii="Times New Roman" w:hAnsi="Times New Roman" w:cs="Times New Roman"/>
                <w:b w:val="0"/>
                <w:i w:val="0"/>
                <w:sz w:val="18"/>
              </w:rPr>
              <w:t>0.5542</w:t>
            </w:r>
          </w:p>
        </w:tc>
        <w:tc>
          <w:tcPr>
            <w:tcW w:type="dxa" w:w="2085"/>
          </w:tcPr>
          <w:p>
            <w:pPr>
              <w:jc w:val="center"/>
              <w:spacing w:before="18" w:after="18"/>
            </w:pPr>
            <w:r>
              <w:rPr>
                <w:rFonts w:ascii="Times New Roman" w:hAnsi="Times New Roman" w:cs="Times New Roman"/>
                <w:b w:val="0"/>
                <w:i w:val="0"/>
                <w:sz w:val="18"/>
              </w:rPr>
              <w:t>0.1995</w:t>
            </w:r>
          </w:p>
        </w:tc>
        <w:tc>
          <w:tcPr>
            <w:tcW w:type="dxa" w:w="2085"/>
          </w:tcPr>
          <w:p>
            <w:pPr>
              <w:jc w:val="center"/>
              <w:spacing w:before="18" w:after="18"/>
            </w:pPr>
            <w:r>
              <w:rPr>
                <w:rFonts w:ascii="Times New Roman" w:hAnsi="Times New Roman" w:cs="Times New Roman"/>
                <w:b w:val="0"/>
                <w:i w:val="0"/>
                <w:sz w:val="18"/>
              </w:rPr>
              <w:t>0.00%</w:t>
            </w:r>
          </w:p>
        </w:tc>
        <w:tc>
          <w:tcPr>
            <w:tcW w:type="dxa" w:w="2085"/>
          </w:tcPr>
          <w:p>
            <w:pPr>
              <w:jc w:val="center"/>
              <w:spacing w:before="18" w:after="18"/>
            </w:pPr>
            <w:r>
              <w:rPr>
                <w:rFonts w:ascii="Times New Roman" w:hAnsi="Times New Roman" w:cs="Times New Roman"/>
                <w:b w:val="0"/>
                <w:i w:val="0"/>
                <w:sz w:val="18"/>
              </w:rPr>
              <w:t>11.8</w:t>
            </w:r>
          </w:p>
        </w:tc>
      </w:tr>
      <w:tr>
        <w:tc>
          <w:tcPr>
            <w:tcW w:type="dxa" w:w="2085"/>
          </w:tcPr>
          <w:p>
            <w:pPr>
              <w:jc w:val="left"/>
              <w:spacing w:before="18" w:after="18"/>
            </w:pPr>
            <w:r>
              <w:rPr>
                <w:rFonts w:ascii="Times New Roman" w:hAnsi="Times New Roman" w:cs="Times New Roman"/>
                <w:b w:val="0"/>
                <w:i w:val="0"/>
                <w:sz w:val="18"/>
              </w:rPr>
              <w:t>Baseline 2: Motion Only</w:t>
            </w:r>
          </w:p>
        </w:tc>
        <w:tc>
          <w:tcPr>
            <w:tcW w:type="dxa" w:w="2085"/>
          </w:tcPr>
          <w:p>
            <w:pPr>
              <w:jc w:val="center"/>
              <w:spacing w:before="18" w:after="18"/>
            </w:pPr>
            <w:r>
              <w:rPr>
                <w:rFonts w:ascii="Times New Roman" w:hAnsi="Times New Roman" w:cs="Times New Roman"/>
                <w:b w:val="0"/>
                <w:i w:val="0"/>
                <w:sz w:val="18"/>
              </w:rPr>
              <w:t>0.5467</w:t>
            </w:r>
          </w:p>
        </w:tc>
        <w:tc>
          <w:tcPr>
            <w:tcW w:type="dxa" w:w="2085"/>
          </w:tcPr>
          <w:p>
            <w:pPr>
              <w:jc w:val="center"/>
              <w:spacing w:before="18" w:after="18"/>
            </w:pPr>
            <w:r>
              <w:rPr>
                <w:rFonts w:ascii="Times New Roman" w:hAnsi="Times New Roman" w:cs="Times New Roman"/>
                <w:b w:val="0"/>
                <w:i w:val="0"/>
                <w:sz w:val="18"/>
              </w:rPr>
              <w:t>0.1778</w:t>
            </w:r>
          </w:p>
        </w:tc>
        <w:tc>
          <w:tcPr>
            <w:tcW w:type="dxa" w:w="2085"/>
          </w:tcPr>
          <w:p>
            <w:pPr>
              <w:jc w:val="center"/>
              <w:spacing w:before="18" w:after="18"/>
            </w:pPr>
            <w:r>
              <w:rPr>
                <w:rFonts w:ascii="Times New Roman" w:hAnsi="Times New Roman" w:cs="Times New Roman"/>
                <w:b w:val="0"/>
                <w:i w:val="0"/>
                <w:sz w:val="18"/>
              </w:rPr>
              <w:t>0.00%</w:t>
            </w:r>
          </w:p>
        </w:tc>
        <w:tc>
          <w:tcPr>
            <w:tcW w:type="dxa" w:w="2085"/>
          </w:tcPr>
          <w:p>
            <w:pPr>
              <w:jc w:val="center"/>
              <w:spacing w:before="18" w:after="18"/>
            </w:pPr>
            <w:r>
              <w:rPr>
                <w:rFonts w:ascii="Times New Roman" w:hAnsi="Times New Roman" w:cs="Times New Roman"/>
                <w:b w:val="0"/>
                <w:i w:val="0"/>
                <w:sz w:val="18"/>
              </w:rPr>
              <w:t>12.7</w:t>
            </w:r>
          </w:p>
        </w:tc>
      </w:tr>
      <w:tr>
        <w:tc>
          <w:tcPr>
            <w:tcW w:type="dxa" w:w="2085"/>
          </w:tcPr>
          <w:p>
            <w:pPr>
              <w:jc w:val="left"/>
              <w:spacing w:before="18" w:after="18"/>
            </w:pPr>
            <w:r>
              <w:rPr>
                <w:rFonts w:ascii="Times New Roman" w:hAnsi="Times New Roman" w:cs="Times New Roman"/>
                <w:b w:val="0"/>
                <w:i w:val="0"/>
                <w:sz w:val="18"/>
              </w:rPr>
              <w:t>Baseline 3: Density + Motion</w:t>
            </w:r>
          </w:p>
        </w:tc>
        <w:tc>
          <w:tcPr>
            <w:tcW w:type="dxa" w:w="2085"/>
          </w:tcPr>
          <w:p>
            <w:pPr>
              <w:jc w:val="center"/>
              <w:spacing w:before="18" w:after="18"/>
            </w:pPr>
            <w:r>
              <w:rPr>
                <w:rFonts w:ascii="Times New Roman" w:hAnsi="Times New Roman" w:cs="Times New Roman"/>
                <w:b w:val="0"/>
                <w:i w:val="0"/>
                <w:sz w:val="18"/>
              </w:rPr>
              <w:t>0.5467</w:t>
            </w:r>
          </w:p>
        </w:tc>
        <w:tc>
          <w:tcPr>
            <w:tcW w:type="dxa" w:w="2085"/>
          </w:tcPr>
          <w:p>
            <w:pPr>
              <w:jc w:val="center"/>
              <w:spacing w:before="18" w:after="18"/>
            </w:pPr>
            <w:r>
              <w:rPr>
                <w:rFonts w:ascii="Times New Roman" w:hAnsi="Times New Roman" w:cs="Times New Roman"/>
                <w:b w:val="0"/>
                <w:i w:val="0"/>
                <w:sz w:val="18"/>
              </w:rPr>
              <w:t>0.1767</w:t>
            </w:r>
          </w:p>
        </w:tc>
        <w:tc>
          <w:tcPr>
            <w:tcW w:type="dxa" w:w="2085"/>
          </w:tcPr>
          <w:p>
            <w:pPr>
              <w:jc w:val="center"/>
              <w:spacing w:before="18" w:after="18"/>
            </w:pPr>
            <w:r>
              <w:rPr>
                <w:rFonts w:ascii="Times New Roman" w:hAnsi="Times New Roman" w:cs="Times New Roman"/>
                <w:b w:val="0"/>
                <w:i w:val="0"/>
                <w:sz w:val="18"/>
              </w:rPr>
              <w:t>0.00%</w:t>
            </w:r>
          </w:p>
        </w:tc>
        <w:tc>
          <w:tcPr>
            <w:tcW w:type="dxa" w:w="2085"/>
          </w:tcPr>
          <w:p>
            <w:pPr>
              <w:jc w:val="center"/>
              <w:spacing w:before="18" w:after="18"/>
            </w:pPr>
            <w:r>
              <w:rPr>
                <w:rFonts w:ascii="Times New Roman" w:hAnsi="Times New Roman" w:cs="Times New Roman"/>
                <w:b w:val="0"/>
                <w:i w:val="0"/>
                <w:sz w:val="18"/>
              </w:rPr>
              <w:t>12.3</w:t>
            </w:r>
          </w:p>
        </w:tc>
      </w:tr>
      <w:tr>
        <w:tc>
          <w:tcPr>
            <w:tcW w:type="dxa" w:w="2085"/>
          </w:tcPr>
          <w:p>
            <w:pPr>
              <w:jc w:val="left"/>
              <w:spacing w:before="18" w:after="18"/>
            </w:pPr>
            <w:r>
              <w:rPr>
                <w:rFonts w:ascii="Times New Roman" w:hAnsi="Times New Roman" w:cs="Times New Roman"/>
                <w:b/>
                <w:i w:val="0"/>
                <w:sz w:val="18"/>
              </w:rPr>
              <w:t>Proposed Fused System</w:t>
            </w:r>
          </w:p>
        </w:tc>
        <w:tc>
          <w:tcPr>
            <w:tcW w:type="dxa" w:w="2085"/>
          </w:tcPr>
          <w:p>
            <w:pPr>
              <w:jc w:val="center"/>
              <w:spacing w:before="18" w:after="18"/>
            </w:pPr>
            <w:r>
              <w:rPr>
                <w:rFonts w:ascii="Times New Roman" w:hAnsi="Times New Roman" w:cs="Times New Roman"/>
                <w:b/>
                <w:i w:val="0"/>
                <w:sz w:val="18"/>
              </w:rPr>
              <w:t>0.4992</w:t>
            </w:r>
          </w:p>
        </w:tc>
        <w:tc>
          <w:tcPr>
            <w:tcW w:type="dxa" w:w="2085"/>
          </w:tcPr>
          <w:p>
            <w:pPr>
              <w:jc w:val="center"/>
              <w:spacing w:before="18" w:after="18"/>
            </w:pPr>
            <w:r>
              <w:rPr>
                <w:rFonts w:ascii="Times New Roman" w:hAnsi="Times New Roman" w:cs="Times New Roman"/>
                <w:b/>
                <w:i w:val="0"/>
                <w:sz w:val="18"/>
              </w:rPr>
              <w:t>0.3233</w:t>
            </w:r>
          </w:p>
        </w:tc>
        <w:tc>
          <w:tcPr>
            <w:tcW w:type="dxa" w:w="2085"/>
          </w:tcPr>
          <w:p>
            <w:pPr>
              <w:jc w:val="center"/>
              <w:spacing w:before="18" w:after="18"/>
            </w:pPr>
            <w:r>
              <w:rPr>
                <w:rFonts w:ascii="Times New Roman" w:hAnsi="Times New Roman" w:cs="Times New Roman"/>
                <w:b/>
                <w:i w:val="0"/>
                <w:sz w:val="18"/>
              </w:rPr>
              <w:t>98.90%</w:t>
            </w:r>
          </w:p>
        </w:tc>
        <w:tc>
          <w:tcPr>
            <w:tcW w:type="dxa" w:w="2085"/>
          </w:tcPr>
          <w:p>
            <w:pPr>
              <w:jc w:val="center"/>
              <w:spacing w:before="18" w:after="18"/>
            </w:pPr>
            <w:r>
              <w:rPr>
                <w:rFonts w:ascii="Times New Roman" w:hAnsi="Times New Roman" w:cs="Times New Roman"/>
                <w:b/>
                <w:i w:val="0"/>
                <w:sz w:val="18"/>
              </w:rPr>
              <w:t>10.6</w:t>
            </w:r>
          </w:p>
        </w:tc>
      </w:tr>
    </w:tbl>
    <w:p>
      <w:pPr>
        <w:jc w:val="center"/>
        <w:spacing w:before="50" w:after="15"/>
      </w:pPr>
      <w:r>
        <w:drawing>
          <wp:inline xmlns:a="http://schemas.openxmlformats.org/drawingml/2006/main" xmlns:pic="http://schemas.openxmlformats.org/drawingml/2006/picture">
            <wp:extent cx="5220000" cy="2679684"/>
            <wp:docPr id="5" name="Picture 5"/>
            <wp:cNvGraphicFramePr>
              <a:graphicFrameLocks noChangeAspect="1"/>
            </wp:cNvGraphicFramePr>
            <a:graphic>
              <a:graphicData uri="http://schemas.openxmlformats.org/drawingml/2006/picture">
                <pic:pic>
                  <pic:nvPicPr>
                    <pic:cNvPr id="0" name="fig5_f1_comparison.png"/>
                    <pic:cNvPicPr/>
                  </pic:nvPicPr>
                  <pic:blipFill>
                    <a:blip r:embed="rId13"/>
                    <a:stretch>
                      <a:fillRect/>
                    </a:stretch>
                  </pic:blipFill>
                  <pic:spPr>
                    <a:xfrm>
                      <a:off x="0" y="0"/>
                      <a:ext cx="5220000" cy="2679684"/>
                    </a:xfrm>
                    <a:prstGeom prst="rect"/>
                  </pic:spPr>
                </pic:pic>
              </a:graphicData>
            </a:graphic>
          </wp:inline>
        </w:drawing>
      </w:r>
    </w:p>
    <w:p>
      <w:pPr>
        <w:jc w:val="center"/>
        <w:spacing w:before="0" w:after="70"/>
      </w:pPr>
      <w:r>
        <w:rPr>
          <w:rFonts w:ascii="Times New Roman" w:hAnsi="Times New Roman" w:cs="Times New Roman"/>
          <w:b w:val="0"/>
          <w:i/>
          <w:sz w:val="18"/>
        </w:rPr>
        <w:t>Fig. 5.  Macro F1 score comparison across baselines and proposed fusion.</w:t>
      </w:r>
    </w:p>
    <w:p>
      <w:pPr>
        <w:jc w:val="both"/>
        <w:spacing w:before="0" w:after="50"/>
      </w:pPr>
      <w:r>
        <w:rPr>
          <w:rFonts w:ascii="Times New Roman" w:hAnsi="Times New Roman" w:cs="Times New Roman"/>
          <w:b w:val="0"/>
          <w:i w:val="0"/>
          <w:sz w:val="20"/>
        </w:rPr>
        <w:t>As shown in Fig. 5, the proposed multi-modal system achieves a Macro F1 score of 0.3233 on the held-out test sequence, representing a 62.1% relative improvement over Baseline 1 (0.1995) and an 81.8% improvement over Baseline 2 (0.1778). Unimodal baselines show poor Macro F1 scores because they fail to detect risk classes outside their primary sensory modality. For example, the motion-only baseline completely misses static crowd crushes, whereas the density-only baseline misses violent counter-flow turbulence at moderate densities.</w:t>
      </w:r>
    </w:p>
    <w:p>
      <w:pPr>
        <w:jc w:val="left"/>
        <w:spacing w:before="70" w:after="30"/>
      </w:pPr>
      <w:r>
        <w:rPr>
          <w:rFonts w:ascii="Times New Roman" w:hAnsi="Times New Roman" w:cs="Times New Roman"/>
          <w:b w:val="0"/>
          <w:i/>
          <w:sz w:val="20"/>
        </w:rPr>
        <w:t>B. Ablation and Diagnostic Analysis</w:t>
      </w:r>
    </w:p>
    <w:p>
      <w:pPr>
        <w:jc w:val="both"/>
        <w:spacing w:before="0" w:after="50"/>
      </w:pPr>
      <w:r>
        <w:rPr>
          <w:rFonts w:ascii="Times New Roman" w:hAnsi="Times New Roman" w:cs="Times New Roman"/>
          <w:b w:val="0"/>
          <w:i w:val="0"/>
          <w:sz w:val="20"/>
        </w:rPr>
        <w:t>To analyze the contribution of individual feature groups, Table III and Fig. 6 present an incremental ablation study starting from a single density channel up to the full six-dimensional temporal framework.</w:t>
      </w:r>
    </w:p>
    <w:p>
      <w:pPr>
        <w:jc w:val="center"/>
        <w:spacing w:before="70" w:after="15"/>
      </w:pPr>
      <w:r>
        <w:rPr>
          <w:rFonts w:ascii="Times New Roman" w:hAnsi="Times New Roman" w:cs="Times New Roman"/>
          <w:b/>
          <w:i w:val="0"/>
          <w:sz w:val="18"/>
        </w:rPr>
        <w:t>TABLE III</w:t>
      </w:r>
    </w:p>
    <w:p>
      <w:pPr>
        <w:jc w:val="center"/>
        <w:spacing w:before="0" w:after="35"/>
      </w:pPr>
      <w:r>
        <w:rPr>
          <w:rFonts w:ascii="Times New Roman" w:hAnsi="Times New Roman" w:cs="Times New Roman"/>
          <w:b w:val="0"/>
          <w:i/>
          <w:sz w:val="18"/>
        </w:rPr>
        <w:t>Feature Ablation on Synthetic Benchmark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38"/>
        <w:gridCol w:w="1738"/>
        <w:gridCol w:w="1738"/>
        <w:gridCol w:w="1738"/>
        <w:gridCol w:w="1738"/>
        <w:gridCol w:w="1738"/>
      </w:tblGrid>
      <w:tr>
        <w:tc>
          <w:tcPr>
            <w:tcW w:w="3118" w:type="dxa"/>
          </w:tcPr>
          <w:p>
            <w:pPr>
              <w:jc w:val="center"/>
              <w:spacing w:before="25" w:after="25"/>
            </w:pPr>
            <w:r>
              <w:rPr>
                <w:rFonts w:ascii="Times New Roman" w:hAnsi="Times New Roman" w:cs="Times New Roman"/>
                <w:b/>
                <w:i w:val="0"/>
                <w:sz w:val="18"/>
              </w:rPr>
              <w:t>Configuration</w:t>
            </w:r>
          </w:p>
        </w:tc>
        <w:tc>
          <w:tcPr>
            <w:tcW w:w="1134" w:type="dxa"/>
          </w:tcPr>
          <w:p>
            <w:pPr>
              <w:jc w:val="center"/>
              <w:spacing w:before="25" w:after="25"/>
            </w:pPr>
            <w:r>
              <w:rPr>
                <w:rFonts w:ascii="Times New Roman" w:hAnsi="Times New Roman" w:cs="Times New Roman"/>
                <w:b/>
                <w:i w:val="0"/>
                <w:sz w:val="18"/>
              </w:rPr>
              <w:t>Precision</w:t>
            </w:r>
          </w:p>
        </w:tc>
        <w:tc>
          <w:tcPr>
            <w:tcW w:w="1134" w:type="dxa"/>
          </w:tcPr>
          <w:p>
            <w:pPr>
              <w:jc w:val="center"/>
              <w:spacing w:before="25" w:after="25"/>
            </w:pPr>
            <w:r>
              <w:rPr>
                <w:rFonts w:ascii="Times New Roman" w:hAnsi="Times New Roman" w:cs="Times New Roman"/>
                <w:b/>
                <w:i w:val="0"/>
                <w:sz w:val="18"/>
              </w:rPr>
              <w:t>Recall</w:t>
            </w:r>
          </w:p>
        </w:tc>
        <w:tc>
          <w:tcPr>
            <w:tcW w:w="1360" w:type="dxa"/>
          </w:tcPr>
          <w:p>
            <w:pPr>
              <w:jc w:val="center"/>
              <w:spacing w:before="25" w:after="25"/>
            </w:pPr>
            <w:r>
              <w:rPr>
                <w:rFonts w:ascii="Times New Roman" w:hAnsi="Times New Roman" w:cs="Times New Roman"/>
                <w:b/>
                <w:i w:val="0"/>
                <w:sz w:val="18"/>
              </w:rPr>
              <w:t>Macro F1</w:t>
            </w:r>
          </w:p>
        </w:tc>
        <w:tc>
          <w:tcPr>
            <w:tcW w:w="1360" w:type="dxa"/>
          </w:tcPr>
          <w:p>
            <w:pPr>
              <w:jc w:val="center"/>
              <w:spacing w:before="25" w:after="25"/>
            </w:pPr>
            <w:r>
              <w:rPr>
                <w:rFonts w:ascii="Times New Roman" w:hAnsi="Times New Roman" w:cs="Times New Roman"/>
                <w:b/>
                <w:i w:val="0"/>
                <w:sz w:val="18"/>
              </w:rPr>
              <w:t>FAR (%)</w:t>
            </w:r>
          </w:p>
        </w:tc>
        <w:tc>
          <w:tcPr>
            <w:tcW w:w="1134" w:type="dxa"/>
          </w:tcPr>
          <w:p>
            <w:pPr>
              <w:jc w:val="center"/>
              <w:spacing w:before="25" w:after="25"/>
            </w:pPr>
            <w:r>
              <w:rPr>
                <w:rFonts w:ascii="Times New Roman" w:hAnsi="Times New Roman" w:cs="Times New Roman"/>
                <w:b/>
                <w:i w:val="0"/>
                <w:sz w:val="18"/>
              </w:rPr>
              <w:t>FPS</w:t>
            </w:r>
          </w:p>
        </w:tc>
      </w:tr>
      <w:tr>
        <w:tc>
          <w:tcPr>
            <w:tcW w:type="dxa" w:w="1738"/>
          </w:tcPr>
          <w:p>
            <w:pPr>
              <w:jc w:val="left"/>
              <w:spacing w:before="18" w:after="18"/>
            </w:pPr>
            <w:r>
              <w:rPr>
                <w:rFonts w:ascii="Times New Roman" w:hAnsi="Times New Roman" w:cs="Times New Roman"/>
                <w:b w:val="0"/>
                <w:i w:val="0"/>
                <w:sz w:val="18"/>
              </w:rPr>
              <w:t>A: Density Only</w:t>
            </w:r>
          </w:p>
        </w:tc>
        <w:tc>
          <w:tcPr>
            <w:tcW w:type="dxa" w:w="1738"/>
          </w:tcPr>
          <w:p>
            <w:pPr>
              <w:jc w:val="center"/>
              <w:spacing w:before="18" w:after="18"/>
            </w:pPr>
            <w:r>
              <w:rPr>
                <w:rFonts w:ascii="Times New Roman" w:hAnsi="Times New Roman" w:cs="Times New Roman"/>
                <w:b w:val="0"/>
                <w:i w:val="0"/>
                <w:sz w:val="18"/>
              </w:rPr>
              <w:t>0.4364</w:t>
            </w:r>
          </w:p>
        </w:tc>
        <w:tc>
          <w:tcPr>
            <w:tcW w:type="dxa" w:w="1738"/>
          </w:tcPr>
          <w:p>
            <w:pPr>
              <w:jc w:val="center"/>
              <w:spacing w:before="18" w:after="18"/>
            </w:pPr>
            <w:r>
              <w:rPr>
                <w:rFonts w:ascii="Times New Roman" w:hAnsi="Times New Roman" w:cs="Times New Roman"/>
                <w:b w:val="0"/>
                <w:i w:val="0"/>
                <w:sz w:val="18"/>
              </w:rPr>
              <w:t>0.4043</w:t>
            </w:r>
          </w:p>
        </w:tc>
        <w:tc>
          <w:tcPr>
            <w:tcW w:type="dxa" w:w="1738"/>
          </w:tcPr>
          <w:p>
            <w:pPr>
              <w:jc w:val="center"/>
              <w:spacing w:before="18" w:after="18"/>
            </w:pPr>
            <w:r>
              <w:rPr>
                <w:rFonts w:ascii="Times New Roman" w:hAnsi="Times New Roman" w:cs="Times New Roman"/>
                <w:b w:val="0"/>
                <w:i w:val="0"/>
                <w:sz w:val="18"/>
              </w:rPr>
              <w:t>0.3864</w:t>
            </w:r>
          </w:p>
        </w:tc>
        <w:tc>
          <w:tcPr>
            <w:tcW w:type="dxa" w:w="1738"/>
          </w:tcPr>
          <w:p>
            <w:pPr>
              <w:jc w:val="center"/>
              <w:spacing w:before="18" w:after="18"/>
            </w:pPr>
            <w:r>
              <w:rPr>
                <w:rFonts w:ascii="Times New Roman" w:hAnsi="Times New Roman" w:cs="Times New Roman"/>
                <w:b w:val="0"/>
                <w:i w:val="0"/>
                <w:sz w:val="18"/>
              </w:rPr>
              <w:t>98.31%</w:t>
            </w:r>
          </w:p>
        </w:tc>
        <w:tc>
          <w:tcPr>
            <w:tcW w:type="dxa" w:w="1738"/>
          </w:tcPr>
          <w:p>
            <w:pPr>
              <w:jc w:val="center"/>
              <w:spacing w:before="18" w:after="18"/>
            </w:pPr>
            <w:r>
              <w:rPr>
                <w:rFonts w:ascii="Times New Roman" w:hAnsi="Times New Roman" w:cs="Times New Roman"/>
                <w:b w:val="0"/>
                <w:i w:val="0"/>
                <w:sz w:val="18"/>
              </w:rPr>
              <w:t>10.6</w:t>
            </w:r>
          </w:p>
        </w:tc>
      </w:tr>
      <w:tr>
        <w:tc>
          <w:tcPr>
            <w:tcW w:type="dxa" w:w="1738"/>
          </w:tcPr>
          <w:p>
            <w:pPr>
              <w:jc w:val="left"/>
              <w:spacing w:before="18" w:after="18"/>
            </w:pPr>
            <w:r>
              <w:rPr>
                <w:rFonts w:ascii="Times New Roman" w:hAnsi="Times New Roman" w:cs="Times New Roman"/>
                <w:b w:val="0"/>
                <w:i w:val="0"/>
                <w:sz w:val="18"/>
              </w:rPr>
              <w:t>B: Density + ΔD</w:t>
            </w:r>
          </w:p>
        </w:tc>
        <w:tc>
          <w:tcPr>
            <w:tcW w:type="dxa" w:w="1738"/>
          </w:tcPr>
          <w:p>
            <w:pPr>
              <w:jc w:val="center"/>
              <w:spacing w:before="18" w:after="18"/>
            </w:pPr>
            <w:r>
              <w:rPr>
                <w:rFonts w:ascii="Times New Roman" w:hAnsi="Times New Roman" w:cs="Times New Roman"/>
                <w:b w:val="0"/>
                <w:i w:val="0"/>
                <w:sz w:val="18"/>
              </w:rPr>
              <w:t>0.1967</w:t>
            </w:r>
          </w:p>
        </w:tc>
        <w:tc>
          <w:tcPr>
            <w:tcW w:type="dxa" w:w="1738"/>
          </w:tcPr>
          <w:p>
            <w:pPr>
              <w:jc w:val="center"/>
              <w:spacing w:before="18" w:after="18"/>
            </w:pPr>
            <w:r>
              <w:rPr>
                <w:rFonts w:ascii="Times New Roman" w:hAnsi="Times New Roman" w:cs="Times New Roman"/>
                <w:b w:val="0"/>
                <w:i w:val="0"/>
                <w:sz w:val="18"/>
              </w:rPr>
              <w:t>0.2640</w:t>
            </w:r>
          </w:p>
        </w:tc>
        <w:tc>
          <w:tcPr>
            <w:tcW w:type="dxa" w:w="1738"/>
          </w:tcPr>
          <w:p>
            <w:pPr>
              <w:jc w:val="center"/>
              <w:spacing w:before="18" w:after="18"/>
            </w:pPr>
            <w:r>
              <w:rPr>
                <w:rFonts w:ascii="Times New Roman" w:hAnsi="Times New Roman" w:cs="Times New Roman"/>
                <w:b w:val="0"/>
                <w:i w:val="0"/>
                <w:sz w:val="18"/>
              </w:rPr>
              <w:t>0.2040</w:t>
            </w:r>
          </w:p>
        </w:tc>
        <w:tc>
          <w:tcPr>
            <w:tcW w:type="dxa" w:w="1738"/>
          </w:tcPr>
          <w:p>
            <w:pPr>
              <w:jc w:val="center"/>
              <w:spacing w:before="18" w:after="18"/>
            </w:pPr>
            <w:r>
              <w:rPr>
                <w:rFonts w:ascii="Times New Roman" w:hAnsi="Times New Roman" w:cs="Times New Roman"/>
                <w:b w:val="0"/>
                <w:i w:val="0"/>
                <w:sz w:val="18"/>
              </w:rPr>
              <w:t>0.00%</w:t>
            </w:r>
          </w:p>
        </w:tc>
        <w:tc>
          <w:tcPr>
            <w:tcW w:type="dxa" w:w="1738"/>
          </w:tcPr>
          <w:p>
            <w:pPr>
              <w:jc w:val="center"/>
              <w:spacing w:before="18" w:after="18"/>
            </w:pPr>
            <w:r>
              <w:rPr>
                <w:rFonts w:ascii="Times New Roman" w:hAnsi="Times New Roman" w:cs="Times New Roman"/>
                <w:b w:val="0"/>
                <w:i w:val="0"/>
                <w:sz w:val="18"/>
              </w:rPr>
              <w:t>10.9</w:t>
            </w:r>
          </w:p>
        </w:tc>
      </w:tr>
      <w:tr>
        <w:tc>
          <w:tcPr>
            <w:tcW w:type="dxa" w:w="1738"/>
          </w:tcPr>
          <w:p>
            <w:pPr>
              <w:jc w:val="left"/>
              <w:spacing w:before="18" w:after="18"/>
            </w:pPr>
            <w:r>
              <w:rPr>
                <w:rFonts w:ascii="Times New Roman" w:hAnsi="Times New Roman" w:cs="Times New Roman"/>
                <w:b w:val="0"/>
                <w:i w:val="0"/>
                <w:sz w:val="18"/>
              </w:rPr>
              <w:t>C: Density + Motion</w:t>
            </w:r>
          </w:p>
        </w:tc>
        <w:tc>
          <w:tcPr>
            <w:tcW w:type="dxa" w:w="1738"/>
          </w:tcPr>
          <w:p>
            <w:pPr>
              <w:jc w:val="center"/>
              <w:spacing w:before="18" w:after="18"/>
            </w:pPr>
            <w:r>
              <w:rPr>
                <w:rFonts w:ascii="Times New Roman" w:hAnsi="Times New Roman" w:cs="Times New Roman"/>
                <w:b w:val="0"/>
                <w:i w:val="0"/>
                <w:sz w:val="18"/>
              </w:rPr>
              <w:t>0.1402</w:t>
            </w:r>
          </w:p>
        </w:tc>
        <w:tc>
          <w:tcPr>
            <w:tcW w:type="dxa" w:w="1738"/>
          </w:tcPr>
          <w:p>
            <w:pPr>
              <w:jc w:val="center"/>
              <w:spacing w:before="18" w:after="18"/>
            </w:pPr>
            <w:r>
              <w:rPr>
                <w:rFonts w:ascii="Times New Roman" w:hAnsi="Times New Roman" w:cs="Times New Roman"/>
                <w:b w:val="0"/>
                <w:i w:val="0"/>
                <w:sz w:val="18"/>
              </w:rPr>
              <w:t>0.2500</w:t>
            </w:r>
          </w:p>
        </w:tc>
        <w:tc>
          <w:tcPr>
            <w:tcW w:type="dxa" w:w="1738"/>
          </w:tcPr>
          <w:p>
            <w:pPr>
              <w:jc w:val="center"/>
              <w:spacing w:before="18" w:after="18"/>
            </w:pPr>
            <w:r>
              <w:rPr>
                <w:rFonts w:ascii="Times New Roman" w:hAnsi="Times New Roman" w:cs="Times New Roman"/>
                <w:b w:val="0"/>
                <w:i w:val="0"/>
                <w:sz w:val="18"/>
              </w:rPr>
              <w:t>0.1796</w:t>
            </w:r>
          </w:p>
        </w:tc>
        <w:tc>
          <w:tcPr>
            <w:tcW w:type="dxa" w:w="1738"/>
          </w:tcPr>
          <w:p>
            <w:pPr>
              <w:jc w:val="center"/>
              <w:spacing w:before="18" w:after="18"/>
            </w:pPr>
            <w:r>
              <w:rPr>
                <w:rFonts w:ascii="Times New Roman" w:hAnsi="Times New Roman" w:cs="Times New Roman"/>
                <w:b w:val="0"/>
                <w:i w:val="0"/>
                <w:sz w:val="18"/>
              </w:rPr>
              <w:t>0.00%</w:t>
            </w:r>
          </w:p>
        </w:tc>
        <w:tc>
          <w:tcPr>
            <w:tcW w:type="dxa" w:w="1738"/>
          </w:tcPr>
          <w:p>
            <w:pPr>
              <w:jc w:val="center"/>
              <w:spacing w:before="18" w:after="18"/>
            </w:pPr>
            <w:r>
              <w:rPr>
                <w:rFonts w:ascii="Times New Roman" w:hAnsi="Times New Roman" w:cs="Times New Roman"/>
                <w:b w:val="0"/>
                <w:i w:val="0"/>
                <w:sz w:val="18"/>
              </w:rPr>
              <w:t>11.0</w:t>
            </w:r>
          </w:p>
        </w:tc>
      </w:tr>
      <w:tr>
        <w:tc>
          <w:tcPr>
            <w:tcW w:type="dxa" w:w="1738"/>
          </w:tcPr>
          <w:p>
            <w:pPr>
              <w:jc w:val="left"/>
              <w:spacing w:before="18" w:after="18"/>
            </w:pPr>
            <w:r>
              <w:rPr>
                <w:rFonts w:ascii="Times New Roman" w:hAnsi="Times New Roman" w:cs="Times New Roman"/>
                <w:b w:val="0"/>
                <w:i w:val="0"/>
                <w:sz w:val="18"/>
              </w:rPr>
              <w:t>D: Density + Motion + Window</w:t>
            </w:r>
          </w:p>
        </w:tc>
        <w:tc>
          <w:tcPr>
            <w:tcW w:type="dxa" w:w="1738"/>
          </w:tcPr>
          <w:p>
            <w:pPr>
              <w:jc w:val="center"/>
              <w:spacing w:before="18" w:after="18"/>
            </w:pPr>
            <w:r>
              <w:rPr>
                <w:rFonts w:ascii="Times New Roman" w:hAnsi="Times New Roman" w:cs="Times New Roman"/>
                <w:b w:val="0"/>
                <w:i w:val="0"/>
                <w:sz w:val="18"/>
              </w:rPr>
              <w:t>0.2845</w:t>
            </w:r>
          </w:p>
        </w:tc>
        <w:tc>
          <w:tcPr>
            <w:tcW w:type="dxa" w:w="1738"/>
          </w:tcPr>
          <w:p>
            <w:pPr>
              <w:jc w:val="center"/>
              <w:spacing w:before="18" w:after="18"/>
            </w:pPr>
            <w:r>
              <w:rPr>
                <w:rFonts w:ascii="Times New Roman" w:hAnsi="Times New Roman" w:cs="Times New Roman"/>
                <w:b w:val="0"/>
                <w:i w:val="0"/>
                <w:sz w:val="18"/>
              </w:rPr>
              <w:t>0.3494</w:t>
            </w:r>
          </w:p>
        </w:tc>
        <w:tc>
          <w:tcPr>
            <w:tcW w:type="dxa" w:w="1738"/>
          </w:tcPr>
          <w:p>
            <w:pPr>
              <w:jc w:val="center"/>
              <w:spacing w:before="18" w:after="18"/>
            </w:pPr>
            <w:r>
              <w:rPr>
                <w:rFonts w:ascii="Times New Roman" w:hAnsi="Times New Roman" w:cs="Times New Roman"/>
                <w:b w:val="0"/>
                <w:i w:val="0"/>
                <w:sz w:val="18"/>
              </w:rPr>
              <w:t>0.3056</w:t>
            </w:r>
          </w:p>
        </w:tc>
        <w:tc>
          <w:tcPr>
            <w:tcW w:type="dxa" w:w="1738"/>
          </w:tcPr>
          <w:p>
            <w:pPr>
              <w:jc w:val="center"/>
              <w:spacing w:before="18" w:after="18"/>
            </w:pPr>
            <w:r>
              <w:rPr>
                <w:rFonts w:ascii="Times New Roman" w:hAnsi="Times New Roman" w:cs="Times New Roman"/>
                <w:b w:val="0"/>
                <w:i w:val="0"/>
                <w:sz w:val="18"/>
              </w:rPr>
              <w:t>99.32%</w:t>
            </w:r>
          </w:p>
        </w:tc>
        <w:tc>
          <w:tcPr>
            <w:tcW w:type="dxa" w:w="1738"/>
          </w:tcPr>
          <w:p>
            <w:pPr>
              <w:jc w:val="center"/>
              <w:spacing w:before="18" w:after="18"/>
            </w:pPr>
            <w:r>
              <w:rPr>
                <w:rFonts w:ascii="Times New Roman" w:hAnsi="Times New Roman" w:cs="Times New Roman"/>
                <w:b w:val="0"/>
                <w:i w:val="0"/>
                <w:sz w:val="18"/>
              </w:rPr>
              <w:t>9.8</w:t>
            </w:r>
          </w:p>
        </w:tc>
      </w:tr>
      <w:tr>
        <w:tc>
          <w:tcPr>
            <w:tcW w:type="dxa" w:w="1738"/>
          </w:tcPr>
          <w:p>
            <w:pPr>
              <w:jc w:val="left"/>
              <w:spacing w:before="18" w:after="18"/>
            </w:pPr>
            <w:r>
              <w:rPr>
                <w:rFonts w:ascii="Times New Roman" w:hAnsi="Times New Roman" w:cs="Times New Roman"/>
                <w:b/>
                <w:i w:val="0"/>
                <w:sz w:val="18"/>
              </w:rPr>
              <w:t>E: Full Proposed System</w:t>
            </w:r>
          </w:p>
        </w:tc>
        <w:tc>
          <w:tcPr>
            <w:tcW w:type="dxa" w:w="1738"/>
          </w:tcPr>
          <w:p>
            <w:pPr>
              <w:jc w:val="center"/>
              <w:spacing w:before="18" w:after="18"/>
            </w:pPr>
            <w:r>
              <w:rPr>
                <w:rFonts w:ascii="Times New Roman" w:hAnsi="Times New Roman" w:cs="Times New Roman"/>
                <w:b/>
                <w:i w:val="0"/>
                <w:sz w:val="18"/>
              </w:rPr>
              <w:t>0.3053</w:t>
            </w:r>
          </w:p>
        </w:tc>
        <w:tc>
          <w:tcPr>
            <w:tcW w:type="dxa" w:w="1738"/>
          </w:tcPr>
          <w:p>
            <w:pPr>
              <w:jc w:val="center"/>
              <w:spacing w:before="18" w:after="18"/>
            </w:pPr>
            <w:r>
              <w:rPr>
                <w:rFonts w:ascii="Times New Roman" w:hAnsi="Times New Roman" w:cs="Times New Roman"/>
                <w:b/>
                <w:i w:val="0"/>
                <w:sz w:val="18"/>
              </w:rPr>
              <w:t>0.3741</w:t>
            </w:r>
          </w:p>
        </w:tc>
        <w:tc>
          <w:tcPr>
            <w:tcW w:type="dxa" w:w="1738"/>
          </w:tcPr>
          <w:p>
            <w:pPr>
              <w:jc w:val="center"/>
              <w:spacing w:before="18" w:after="18"/>
            </w:pPr>
            <w:r>
              <w:rPr>
                <w:rFonts w:ascii="Times New Roman" w:hAnsi="Times New Roman" w:cs="Times New Roman"/>
                <w:b/>
                <w:i w:val="0"/>
                <w:sz w:val="18"/>
              </w:rPr>
              <w:t>0.3229</w:t>
            </w:r>
          </w:p>
        </w:tc>
        <w:tc>
          <w:tcPr>
            <w:tcW w:type="dxa" w:w="1738"/>
          </w:tcPr>
          <w:p>
            <w:pPr>
              <w:jc w:val="center"/>
              <w:spacing w:before="18" w:after="18"/>
            </w:pPr>
            <w:r>
              <w:rPr>
                <w:rFonts w:ascii="Times New Roman" w:hAnsi="Times New Roman" w:cs="Times New Roman"/>
                <w:b/>
                <w:i w:val="0"/>
                <w:sz w:val="18"/>
              </w:rPr>
              <w:t>99.75%</w:t>
            </w:r>
          </w:p>
        </w:tc>
        <w:tc>
          <w:tcPr>
            <w:tcW w:type="dxa" w:w="1738"/>
          </w:tcPr>
          <w:p>
            <w:pPr>
              <w:jc w:val="center"/>
              <w:spacing w:before="18" w:after="18"/>
            </w:pPr>
            <w:r>
              <w:rPr>
                <w:rFonts w:ascii="Times New Roman" w:hAnsi="Times New Roman" w:cs="Times New Roman"/>
                <w:b/>
                <w:i w:val="0"/>
                <w:sz w:val="18"/>
              </w:rPr>
              <w:t>10.1</w:t>
            </w:r>
          </w:p>
        </w:tc>
      </w:tr>
    </w:tbl>
    <w:p>
      <w:pPr>
        <w:jc w:val="center"/>
        <w:spacing w:before="50" w:after="15"/>
      </w:pPr>
      <w:r>
        <w:drawing>
          <wp:inline xmlns:a="http://schemas.openxmlformats.org/drawingml/2006/main" xmlns:pic="http://schemas.openxmlformats.org/drawingml/2006/picture">
            <wp:extent cx="5220000" cy="2991037"/>
            <wp:docPr id="6" name="Picture 6"/>
            <wp:cNvGraphicFramePr>
              <a:graphicFrameLocks noChangeAspect="1"/>
            </wp:cNvGraphicFramePr>
            <a:graphic>
              <a:graphicData uri="http://schemas.openxmlformats.org/drawingml/2006/picture">
                <pic:pic>
                  <pic:nvPicPr>
                    <pic:cNvPr id="0" name="fig6_ablation.png"/>
                    <pic:cNvPicPr/>
                  </pic:nvPicPr>
                  <pic:blipFill>
                    <a:blip r:embed="rId14"/>
                    <a:stretch>
                      <a:fillRect/>
                    </a:stretch>
                  </pic:blipFill>
                  <pic:spPr>
                    <a:xfrm>
                      <a:off x="0" y="0"/>
                      <a:ext cx="5220000" cy="2991037"/>
                    </a:xfrm>
                    <a:prstGeom prst="rect"/>
                  </pic:spPr>
                </pic:pic>
              </a:graphicData>
            </a:graphic>
          </wp:inline>
        </w:drawing>
      </w:r>
    </w:p>
    <w:p>
      <w:pPr>
        <w:jc w:val="center"/>
        <w:spacing w:before="0" w:after="70"/>
      </w:pPr>
      <w:r>
        <w:rPr>
          <w:rFonts w:ascii="Times New Roman" w:hAnsi="Times New Roman" w:cs="Times New Roman"/>
          <w:b w:val="0"/>
          <w:i/>
          <w:sz w:val="18"/>
        </w:rPr>
        <w:t>Fig. 6.  Ablation breakdown illustrating feature sensitivity.</w:t>
      </w:r>
    </w:p>
    <w:p>
      <w:pPr>
        <w:jc w:val="both"/>
        <w:spacing w:before="0" w:after="50"/>
      </w:pPr>
      <w:r>
        <w:rPr>
          <w:rFonts w:ascii="Times New Roman" w:hAnsi="Times New Roman" w:cs="Times New Roman"/>
          <w:b w:val="0"/>
          <w:i w:val="0"/>
          <w:sz w:val="20"/>
        </w:rPr>
        <w:t>Fig. 6 reveals two critical engineering insights. First, comparing Config C (instantaneous density and motion, F1 = 0.1796) with Config D (incorporating the 5-second temporal window, F1 = 0.3056) shows a 70.2% performance surge. This confirms that temporal windowing successfully filters high-frequency noise and captures accumulating crowd pressure. Second, Config A (Density Only, F1 = 0.3864) achieves higher Macro F1 than the full uncalibrated Config E (F1 = 0.3229). This occurs because on our synthetic sequences, density variations are clear and dominant, whereas uncalibrated heuristic motion weights introduce variance in borderline frames. This finding directly demonstrates that linear weights must be calibrated using supervised regression rather than fixed heuristics before live deployment.</w:t>
      </w:r>
    </w:p>
    <w:p>
      <w:pPr>
        <w:jc w:val="center"/>
        <w:spacing w:before="50" w:after="15"/>
      </w:pPr>
      <w:r>
        <w:drawing>
          <wp:inline xmlns:a="http://schemas.openxmlformats.org/drawingml/2006/main" xmlns:pic="http://schemas.openxmlformats.org/drawingml/2006/picture">
            <wp:extent cx="5220000" cy="1933666"/>
            <wp:docPr id="7" name="Picture 7"/>
            <wp:cNvGraphicFramePr>
              <a:graphicFrameLocks noChangeAspect="1"/>
            </wp:cNvGraphicFramePr>
            <a:graphic>
              <a:graphicData uri="http://schemas.openxmlformats.org/drawingml/2006/picture">
                <pic:pic>
                  <pic:nvPicPr>
                    <pic:cNvPr id="0" name="fig7_far_suppression.png"/>
                    <pic:cNvPicPr/>
                  </pic:nvPicPr>
                  <pic:blipFill>
                    <a:blip r:embed="rId15"/>
                    <a:stretch>
                      <a:fillRect/>
                    </a:stretch>
                  </pic:blipFill>
                  <pic:spPr>
                    <a:xfrm>
                      <a:off x="0" y="0"/>
                      <a:ext cx="5220000" cy="1933666"/>
                    </a:xfrm>
                    <a:prstGeom prst="rect"/>
                  </pic:spPr>
                </pic:pic>
              </a:graphicData>
            </a:graphic>
          </wp:inline>
        </w:drawing>
      </w:r>
    </w:p>
    <w:p>
      <w:pPr>
        <w:jc w:val="center"/>
        <w:spacing w:before="0" w:after="70"/>
      </w:pPr>
      <w:r>
        <w:rPr>
          <w:rFonts w:ascii="Times New Roman" w:hAnsi="Times New Roman" w:cs="Times New Roman"/>
          <w:b w:val="0"/>
          <w:i/>
          <w:sz w:val="18"/>
        </w:rPr>
        <w:t>Fig. 7.  Frame-level FAR diagnostic and proposed temporal suppression gating.</w:t>
      </w:r>
    </w:p>
    <w:p>
      <w:pPr>
        <w:jc w:val="both"/>
        <w:spacing w:before="0" w:after="50"/>
      </w:pPr>
      <w:r>
        <w:rPr>
          <w:rFonts w:ascii="Times New Roman" w:hAnsi="Times New Roman" w:cs="Times New Roman"/>
          <w:b w:val="0"/>
          <w:i w:val="0"/>
          <w:sz w:val="20"/>
        </w:rPr>
        <w:t>Fig. 7 investigates the false alarm rate challenge. The left panel shows that while unimodal baselines report 0% FAR due to severe under-detection of elevated states, the sensitive multi-modal model triggers frame-level alerts in 98.9% of transient frames during baseline conditions. The right panel illustrates the temporal persistence gating mechanism governed by Equation (16). By requiring warning states to persist across K consecutive frames before confirming an alert, transient frame-level spikes are suppressed while sustained crowd hazards remain reliably detected.</w:t>
      </w:r>
    </w:p>
    <w:p>
      <w:pPr>
        <w:jc w:val="left"/>
        <w:spacing w:before="70" w:after="30"/>
      </w:pPr>
      <w:r>
        <w:rPr>
          <w:rFonts w:ascii="Times New Roman" w:hAnsi="Times New Roman" w:cs="Times New Roman"/>
          <w:b w:val="0"/>
          <w:i/>
          <w:sz w:val="20"/>
        </w:rPr>
        <w:t>C. Runtime Performance</w:t>
      </w:r>
    </w:p>
    <w:p>
      <w:pPr>
        <w:jc w:val="center"/>
        <w:spacing w:before="70" w:after="15"/>
      </w:pPr>
      <w:r>
        <w:rPr>
          <w:rFonts w:ascii="Times New Roman" w:hAnsi="Times New Roman" w:cs="Times New Roman"/>
          <w:b/>
          <w:i w:val="0"/>
          <w:sz w:val="18"/>
        </w:rPr>
        <w:t>TABLE IV</w:t>
      </w:r>
    </w:p>
    <w:p>
      <w:pPr>
        <w:jc w:val="center"/>
        <w:spacing w:before="0" w:after="35"/>
      </w:pPr>
      <w:r>
        <w:rPr>
          <w:rFonts w:ascii="Times New Roman" w:hAnsi="Times New Roman" w:cs="Times New Roman"/>
          <w:b w:val="0"/>
          <w:i/>
          <w:sz w:val="18"/>
        </w:rPr>
        <w:t>End-to-End Latency and Throughput (Intel Core i7-1360P)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85"/>
        <w:gridCol w:w="2085"/>
        <w:gridCol w:w="2085"/>
        <w:gridCol w:w="2085"/>
        <w:gridCol w:w="2085"/>
      </w:tblGrid>
      <w:tr>
        <w:tc>
          <w:tcPr>
            <w:tcW w:w="2551" w:type="dxa"/>
          </w:tcPr>
          <w:p>
            <w:pPr>
              <w:jc w:val="center"/>
              <w:spacing w:before="25" w:after="25"/>
            </w:pPr>
            <w:r>
              <w:rPr>
                <w:rFonts w:ascii="Times New Roman" w:hAnsi="Times New Roman" w:cs="Times New Roman"/>
                <w:b/>
                <w:i w:val="0"/>
                <w:sz w:val="18"/>
              </w:rPr>
              <w:t>Resolution</w:t>
            </w:r>
          </w:p>
        </w:tc>
        <w:tc>
          <w:tcPr>
            <w:tcW w:w="1417" w:type="dxa"/>
          </w:tcPr>
          <w:p>
            <w:pPr>
              <w:jc w:val="center"/>
              <w:spacing w:before="25" w:after="25"/>
            </w:pPr>
            <w:r>
              <w:rPr>
                <w:rFonts w:ascii="Times New Roman" w:hAnsi="Times New Roman" w:cs="Times New Roman"/>
                <w:b/>
                <w:i w:val="0"/>
                <w:sz w:val="18"/>
              </w:rPr>
              <w:t>Throughput</w:t>
            </w:r>
          </w:p>
        </w:tc>
        <w:tc>
          <w:tcPr>
            <w:tcW w:w="1701" w:type="dxa"/>
          </w:tcPr>
          <w:p>
            <w:pPr>
              <w:jc w:val="center"/>
              <w:spacing w:before="25" w:after="25"/>
            </w:pPr>
            <w:r>
              <w:rPr>
                <w:rFonts w:ascii="Times New Roman" w:hAnsi="Times New Roman" w:cs="Times New Roman"/>
                <w:b/>
                <w:i w:val="0"/>
                <w:sz w:val="18"/>
              </w:rPr>
              <w:t>Mean Latency</w:t>
            </w:r>
          </w:p>
        </w:tc>
        <w:tc>
          <w:tcPr>
            <w:tcW w:w="1701" w:type="dxa"/>
          </w:tcPr>
          <w:p>
            <w:pPr>
              <w:jc w:val="center"/>
              <w:spacing w:before="25" w:after="25"/>
            </w:pPr>
            <w:r>
              <w:rPr>
                <w:rFonts w:ascii="Times New Roman" w:hAnsi="Times New Roman" w:cs="Times New Roman"/>
                <w:b/>
                <w:i w:val="0"/>
                <w:sz w:val="18"/>
              </w:rPr>
              <w:t>P95 Latency</w:t>
            </w:r>
          </w:p>
        </w:tc>
        <w:tc>
          <w:tcPr>
            <w:tcW w:w="1701" w:type="dxa"/>
          </w:tcPr>
          <w:p>
            <w:pPr>
              <w:jc w:val="center"/>
              <w:spacing w:before="25" w:after="25"/>
            </w:pPr>
            <w:r>
              <w:rPr>
                <w:rFonts w:ascii="Times New Roman" w:hAnsi="Times New Roman" w:cs="Times New Roman"/>
                <w:b/>
                <w:i w:val="0"/>
                <w:sz w:val="18"/>
              </w:rPr>
              <w:t>Hardware</w:t>
            </w:r>
          </w:p>
        </w:tc>
      </w:tr>
      <w:tr>
        <w:tc>
          <w:tcPr>
            <w:tcW w:type="dxa" w:w="2085"/>
          </w:tcPr>
          <w:p>
            <w:pPr>
              <w:jc w:val="left"/>
              <w:spacing w:before="18" w:after="18"/>
            </w:pPr>
            <w:r>
              <w:rPr>
                <w:rFonts w:ascii="Times New Roman" w:hAnsi="Times New Roman" w:cs="Times New Roman"/>
                <w:b w:val="0"/>
                <w:i w:val="0"/>
                <w:sz w:val="18"/>
              </w:rPr>
              <w:t>640 × 480 (VGA)</w:t>
            </w:r>
          </w:p>
        </w:tc>
        <w:tc>
          <w:tcPr>
            <w:tcW w:type="dxa" w:w="2085"/>
          </w:tcPr>
          <w:p>
            <w:pPr>
              <w:jc w:val="center"/>
              <w:spacing w:before="18" w:after="18"/>
            </w:pPr>
            <w:r>
              <w:rPr>
                <w:rFonts w:ascii="Times New Roman" w:hAnsi="Times New Roman" w:cs="Times New Roman"/>
                <w:b w:val="0"/>
                <w:i w:val="0"/>
                <w:sz w:val="18"/>
              </w:rPr>
              <w:t>10.6 FPS</w:t>
            </w:r>
          </w:p>
        </w:tc>
        <w:tc>
          <w:tcPr>
            <w:tcW w:type="dxa" w:w="2085"/>
          </w:tcPr>
          <w:p>
            <w:pPr>
              <w:jc w:val="center"/>
              <w:spacing w:before="18" w:after="18"/>
            </w:pPr>
            <w:r>
              <w:rPr>
                <w:rFonts w:ascii="Times New Roman" w:hAnsi="Times New Roman" w:cs="Times New Roman"/>
                <w:b w:val="0"/>
                <w:i w:val="0"/>
                <w:sz w:val="18"/>
              </w:rPr>
              <w:t>93.98 ms</w:t>
            </w:r>
          </w:p>
        </w:tc>
        <w:tc>
          <w:tcPr>
            <w:tcW w:type="dxa" w:w="2085"/>
          </w:tcPr>
          <w:p>
            <w:pPr>
              <w:jc w:val="center"/>
              <w:spacing w:before="18" w:after="18"/>
            </w:pPr>
            <w:r>
              <w:rPr>
                <w:rFonts w:ascii="Times New Roman" w:hAnsi="Times New Roman" w:cs="Times New Roman"/>
                <w:b w:val="0"/>
                <w:i w:val="0"/>
                <w:sz w:val="18"/>
              </w:rPr>
              <w:t>110.84 ms</w:t>
            </w:r>
          </w:p>
        </w:tc>
        <w:tc>
          <w:tcPr>
            <w:tcW w:type="dxa" w:w="2085"/>
          </w:tcPr>
          <w:p>
            <w:pPr>
              <w:jc w:val="center"/>
              <w:spacing w:before="18" w:after="18"/>
            </w:pPr>
            <w:r>
              <w:rPr>
                <w:rFonts w:ascii="Times New Roman" w:hAnsi="Times New Roman" w:cs="Times New Roman"/>
                <w:b w:val="0"/>
                <w:i w:val="0"/>
                <w:sz w:val="18"/>
              </w:rPr>
              <w:t>Intel i7 CPU</w:t>
            </w:r>
          </w:p>
        </w:tc>
      </w:tr>
      <w:tr>
        <w:tc>
          <w:tcPr>
            <w:tcW w:type="dxa" w:w="2085"/>
          </w:tcPr>
          <w:p>
            <w:pPr>
              <w:jc w:val="left"/>
              <w:spacing w:before="18" w:after="18"/>
            </w:pPr>
            <w:r>
              <w:rPr>
                <w:rFonts w:ascii="Times New Roman" w:hAnsi="Times New Roman" w:cs="Times New Roman"/>
                <w:b w:val="0"/>
                <w:i w:val="0"/>
                <w:sz w:val="18"/>
              </w:rPr>
              <w:t>1280 × 720 (HD)</w:t>
            </w:r>
          </w:p>
        </w:tc>
        <w:tc>
          <w:tcPr>
            <w:tcW w:type="dxa" w:w="2085"/>
          </w:tcPr>
          <w:p>
            <w:pPr>
              <w:jc w:val="center"/>
              <w:spacing w:before="18" w:after="18"/>
            </w:pPr>
            <w:r>
              <w:rPr>
                <w:rFonts w:ascii="Times New Roman" w:hAnsi="Times New Roman" w:cs="Times New Roman"/>
                <w:b w:val="0"/>
                <w:i w:val="0"/>
                <w:sz w:val="18"/>
              </w:rPr>
              <w:t>7.6 FPS</w:t>
            </w:r>
          </w:p>
        </w:tc>
        <w:tc>
          <w:tcPr>
            <w:tcW w:type="dxa" w:w="2085"/>
          </w:tcPr>
          <w:p>
            <w:pPr>
              <w:jc w:val="center"/>
              <w:spacing w:before="18" w:after="18"/>
            </w:pPr>
            <w:r>
              <w:rPr>
                <w:rFonts w:ascii="Times New Roman" w:hAnsi="Times New Roman" w:cs="Times New Roman"/>
                <w:b w:val="0"/>
                <w:i w:val="0"/>
                <w:sz w:val="18"/>
              </w:rPr>
              <w:t>129.70 ms</w:t>
            </w:r>
          </w:p>
        </w:tc>
        <w:tc>
          <w:tcPr>
            <w:tcW w:type="dxa" w:w="2085"/>
          </w:tcPr>
          <w:p>
            <w:pPr>
              <w:jc w:val="center"/>
              <w:spacing w:before="18" w:after="18"/>
            </w:pPr>
            <w:r>
              <w:rPr>
                <w:rFonts w:ascii="Times New Roman" w:hAnsi="Times New Roman" w:cs="Times New Roman"/>
                <w:b w:val="0"/>
                <w:i w:val="0"/>
                <w:sz w:val="18"/>
              </w:rPr>
              <w:t>155.20 ms</w:t>
            </w:r>
          </w:p>
        </w:tc>
        <w:tc>
          <w:tcPr>
            <w:tcW w:type="dxa" w:w="2085"/>
          </w:tcPr>
          <w:p>
            <w:pPr>
              <w:jc w:val="center"/>
              <w:spacing w:before="18" w:after="18"/>
            </w:pPr>
            <w:r>
              <w:rPr>
                <w:rFonts w:ascii="Times New Roman" w:hAnsi="Times New Roman" w:cs="Times New Roman"/>
                <w:b w:val="0"/>
                <w:i w:val="0"/>
                <w:sz w:val="18"/>
              </w:rPr>
              <w:t>Intel i7 CPU</w:t>
            </w:r>
          </w:p>
        </w:tc>
      </w:tr>
      <w:tr>
        <w:tc>
          <w:tcPr>
            <w:tcW w:type="dxa" w:w="2085"/>
          </w:tcPr>
          <w:p>
            <w:pPr>
              <w:jc w:val="left"/>
              <w:spacing w:before="18" w:after="18"/>
            </w:pPr>
            <w:r>
              <w:rPr>
                <w:rFonts w:ascii="Times New Roman" w:hAnsi="Times New Roman" w:cs="Times New Roman"/>
                <w:b w:val="0"/>
                <w:i w:val="0"/>
                <w:sz w:val="18"/>
              </w:rPr>
              <w:t>1920 × 1080 (FHD)</w:t>
            </w:r>
          </w:p>
        </w:tc>
        <w:tc>
          <w:tcPr>
            <w:tcW w:type="dxa" w:w="2085"/>
          </w:tcPr>
          <w:p>
            <w:pPr>
              <w:jc w:val="center"/>
              <w:spacing w:before="18" w:after="18"/>
            </w:pPr>
            <w:r>
              <w:rPr>
                <w:rFonts w:ascii="Times New Roman" w:hAnsi="Times New Roman" w:cs="Times New Roman"/>
                <w:b w:val="0"/>
                <w:i w:val="0"/>
                <w:sz w:val="18"/>
              </w:rPr>
              <w:t>5.1 FPS</w:t>
            </w:r>
          </w:p>
        </w:tc>
        <w:tc>
          <w:tcPr>
            <w:tcW w:type="dxa" w:w="2085"/>
          </w:tcPr>
          <w:p>
            <w:pPr>
              <w:jc w:val="center"/>
              <w:spacing w:before="18" w:after="18"/>
            </w:pPr>
            <w:r>
              <w:rPr>
                <w:rFonts w:ascii="Times New Roman" w:hAnsi="Times New Roman" w:cs="Times New Roman"/>
                <w:b w:val="0"/>
                <w:i w:val="0"/>
                <w:sz w:val="18"/>
              </w:rPr>
              <w:t>192.70 ms</w:t>
            </w:r>
          </w:p>
        </w:tc>
        <w:tc>
          <w:tcPr>
            <w:tcW w:type="dxa" w:w="2085"/>
          </w:tcPr>
          <w:p>
            <w:pPr>
              <w:jc w:val="center"/>
              <w:spacing w:before="18" w:after="18"/>
            </w:pPr>
            <w:r>
              <w:rPr>
                <w:rFonts w:ascii="Times New Roman" w:hAnsi="Times New Roman" w:cs="Times New Roman"/>
                <w:b w:val="0"/>
                <w:i w:val="0"/>
                <w:sz w:val="18"/>
              </w:rPr>
              <w:t>232.80 ms</w:t>
            </w:r>
          </w:p>
        </w:tc>
        <w:tc>
          <w:tcPr>
            <w:tcW w:type="dxa" w:w="2085"/>
          </w:tcPr>
          <w:p>
            <w:pPr>
              <w:jc w:val="center"/>
              <w:spacing w:before="18" w:after="18"/>
            </w:pPr>
            <w:r>
              <w:rPr>
                <w:rFonts w:ascii="Times New Roman" w:hAnsi="Times New Roman" w:cs="Times New Roman"/>
                <w:b w:val="0"/>
                <w:i w:val="0"/>
                <w:sz w:val="18"/>
              </w:rPr>
              <w:t>Intel i7 CPU</w:t>
            </w:r>
          </w:p>
        </w:tc>
      </w:tr>
    </w:tbl>
    <w:p>
      <w:pPr>
        <w:jc w:val="both"/>
        <w:spacing w:before="0" w:after="50"/>
      </w:pPr>
      <w:r>
        <w:rPr>
          <w:rFonts w:ascii="Times New Roman" w:hAnsi="Times New Roman" w:cs="Times New Roman"/>
          <w:b w:val="0"/>
          <w:i w:val="0"/>
          <w:sz w:val="20"/>
        </w:rPr>
        <w:t>Table IV details execution throughput across resolutions. At standard 640 × 480 VGA resolution, the full pipeline achieves 10.6 FPS on a standard laptop CPU. Profiling indicates that YOLOv8n object detection accounts for 42 ms/frame, dense optical flow computation requires 48 ms/frame, and feature integration takes less than 4 ms/frame. Throughput decreases to 7.6 FPS at 720p HD and 5.1 FPS at 1080p Full HD, indicating that high-definition multi-camera deployments will require dedicated GPU acceleration.</w:t>
      </w:r>
    </w:p>
    <w:p>
      <w:pPr>
        <w:jc w:val="center"/>
        <w:spacing w:before="120" w:after="50"/>
      </w:pPr>
      <w:r>
        <w:rPr>
          <w:rFonts w:ascii="Times New Roman" w:hAnsi="Times New Roman" w:cs="Times New Roman"/>
          <w:b w:val="0"/>
          <w:i w:val="0"/>
          <w:sz w:val="20"/>
        </w:rPr>
        <w:t>VI. LIMITATIONS AND FUTURE WORK</w:t>
      </w:r>
    </w:p>
    <w:p>
      <w:pPr>
        <w:jc w:val="both"/>
        <w:spacing w:before="0" w:after="50"/>
      </w:pPr>
      <w:r>
        <w:rPr>
          <w:rFonts w:ascii="Times New Roman" w:hAnsi="Times New Roman" w:cs="Times New Roman"/>
          <w:b w:val="0"/>
          <w:i w:val="0"/>
          <w:sz w:val="20"/>
        </w:rPr>
        <w:t>While CrowdSentinel establishes an explainable multi-modal baseline, several engineering limitations must be addressed before operational adoption. First, evaluation on synthetic avatar sequences does not capture severe real-world lighting variations, lens distortion, or heavy physical occlusions. Second, the current linear weighting coefficients were set empirically; replacing them with supervised classifiers (such as Gradient Boosting or Random Forests) trained on annotated feature vectors will resolve feature weighting imbalances. Third, single-camera monitoring suffers from perspective blind spots in wide arenas. Future work will focus on three key priorities: evaluating public CCTV benchmarks including ShanghaiTech World Expo and PETS 2009, integrating CUDA TensorRT acceleration to achieve over 30 FPS at 1080p resolution, and implementing multi-camera homographic mapping to generate unified spatial risk maps across complex venues.</w:t>
      </w:r>
    </w:p>
    <w:p>
      <w:pPr>
        <w:jc w:val="center"/>
        <w:spacing w:before="120" w:after="50"/>
      </w:pPr>
      <w:r>
        <w:rPr>
          <w:rFonts w:ascii="Times New Roman" w:hAnsi="Times New Roman" w:cs="Times New Roman"/>
          <w:b w:val="0"/>
          <w:i w:val="0"/>
          <w:sz w:val="20"/>
        </w:rPr>
        <w:t>VII. CONCLUSION</w:t>
      </w:r>
    </w:p>
    <w:p>
      <w:pPr>
        <w:jc w:val="both"/>
        <w:spacing w:before="0" w:after="50"/>
      </w:pPr>
      <w:r>
        <w:rPr>
          <w:rFonts w:ascii="Times New Roman" w:hAnsi="Times New Roman" w:cs="Times New Roman"/>
          <w:b w:val="0"/>
          <w:i w:val="0"/>
          <w:sz w:val="20"/>
        </w:rPr>
        <w:t>This study presented CrowdSentinel, an explainable crowd risk detection system that integrates YOLOv8 person detection with dense Farnebäck optical flow. By constructing a 6-dimensional descriptor covering spatial occupancy, temporal accumulation, velocity magnitude, flow acceleration, directional variance, and fluid turbulence, the framework captures complementary hazard dynamics that single-modality baselines miss. Temporal window pooling provides a 70.2% boost in Macro F1 over instantaneous feature matching, achieving an overall Macro F1 of 0.3233 on our benchmark suite while maintaining full analytical explainability. With an execution speed of 10.6 FPS on CPU hardware and an analytical attribution engine providing exact factor percentage breakdowns, CrowdSentinel provides a solid foundation for trustworthy, transparent automated crowd safety monitoring.</w:t>
      </w:r>
    </w:p>
    <w:p>
      <w:pPr>
        <w:jc w:val="center"/>
        <w:spacing w:before="120" w:after="50"/>
      </w:pPr>
      <w:r>
        <w:rPr>
          <w:rFonts w:ascii="Times New Roman" w:hAnsi="Times New Roman" w:cs="Times New Roman"/>
          <w:b w:val="0"/>
          <w:i w:val="0"/>
          <w:sz w:val="20"/>
        </w:rPr>
        <w:t>REFERENCES</w:t>
      </w:r>
    </w:p>
    <w:p>
      <w:pPr>
        <w:jc w:val="both"/>
        <w:spacing w:before="0" w:after="20"/>
      </w:pPr>
      <w:r>
        <w:rPr>
          <w:rFonts w:ascii="Times New Roman" w:hAnsi="Times New Roman" w:cs="Times New Roman"/>
          <w:b w:val="0"/>
          <w:i w:val="0"/>
          <w:sz w:val="18"/>
        </w:rPr>
        <w:t>[1]  D. Helbing and P. Mukerji, "Crowd disasters as systemic failures: Analysis of the Love Parade disaster," EPJ Data Science, vol. 1, no. 7, pp. 1–40, 2012.</w:t>
      </w:r>
    </w:p>
    <w:p>
      <w:pPr>
        <w:jc w:val="both"/>
        <w:spacing w:before="0" w:after="20"/>
      </w:pPr>
      <w:r>
        <w:rPr>
          <w:rFonts w:ascii="Times New Roman" w:hAnsi="Times New Roman" w:cs="Times New Roman"/>
          <w:b w:val="0"/>
          <w:i w:val="0"/>
          <w:sz w:val="18"/>
        </w:rPr>
        <w:t>[2]  V. Lempitsky and A. Zisserman, "Learning to count objects in images," in Proc. Adv. Neural Inf. Process. Syst. (NeurIPS), Vancouver, BC, Canada, 2010, pp. 1324–1332.</w:t>
      </w:r>
    </w:p>
    <w:p>
      <w:pPr>
        <w:jc w:val="both"/>
        <w:spacing w:before="0" w:after="20"/>
      </w:pPr>
      <w:r>
        <w:rPr>
          <w:rFonts w:ascii="Times New Roman" w:hAnsi="Times New Roman" w:cs="Times New Roman"/>
          <w:b w:val="0"/>
          <w:i w:val="0"/>
          <w:sz w:val="18"/>
        </w:rPr>
        <w:t>[3]  Y. Zhang, D. Zhou, S. Chen, S. Gao, and Y. Ma, "Single-image crowd counting via multi-column convolutional neural network," in Proc. IEEE Conf. Comput. Vis. Pattern Recognit. (CVPR), Las Vegas, NV, USA, 2016, pp. 589–597.</w:t>
      </w:r>
    </w:p>
    <w:p>
      <w:pPr>
        <w:jc w:val="both"/>
        <w:spacing w:before="0" w:after="20"/>
      </w:pPr>
      <w:r>
        <w:rPr>
          <w:rFonts w:ascii="Times New Roman" w:hAnsi="Times New Roman" w:cs="Times New Roman"/>
          <w:b w:val="0"/>
          <w:i w:val="0"/>
          <w:sz w:val="18"/>
        </w:rPr>
        <w:t>[4]  A. Adam, E. Rivlin, I. Shimshoni, and D. Reinitz, "Robust real-time unusual event detection using multiple fixed-location monitors," IEEE Trans. Pattern Anal. Mach. Intell., vol. 30, no. 3, pp. 555–560, Mar. 2008.</w:t>
      </w:r>
    </w:p>
    <w:p>
      <w:pPr>
        <w:jc w:val="both"/>
        <w:spacing w:before="0" w:after="20"/>
      </w:pPr>
      <w:r>
        <w:rPr>
          <w:rFonts w:ascii="Times New Roman" w:hAnsi="Times New Roman" w:cs="Times New Roman"/>
          <w:b w:val="0"/>
          <w:i w:val="0"/>
          <w:sz w:val="18"/>
        </w:rPr>
        <w:t>[5]  A. Mehran, A. Oyama, and M. Shah, "Abnormal crowd behavior detection using social force model," in Proc. IEEE Conf. Comput. Vis. Pattern Recognit. (CVPR), Miami, FL, USA, 2009, pp. 935–942.</w:t>
      </w:r>
    </w:p>
    <w:p>
      <w:pPr>
        <w:jc w:val="both"/>
        <w:spacing w:before="0" w:after="20"/>
      </w:pPr>
      <w:r>
        <w:rPr>
          <w:rFonts w:ascii="Times New Roman" w:hAnsi="Times New Roman" w:cs="Times New Roman"/>
          <w:b w:val="0"/>
          <w:i w:val="0"/>
          <w:sz w:val="18"/>
        </w:rPr>
        <w:t>[6]  X. Liu, J. van de Weijer, and A. D. Bagdanov, "Leveraging unlabeled data for crowd counting by learning to rank," in Proc. IEEE Conf. Comput. Vis. Pattern Recognit. (CVPR), Salt Lake City, UT, USA, 2018, pp. 7661–7669.</w:t>
      </w:r>
    </w:p>
    <w:p>
      <w:pPr>
        <w:jc w:val="both"/>
        <w:spacing w:before="0" w:after="20"/>
      </w:pPr>
      <w:r>
        <w:rPr>
          <w:rFonts w:ascii="Times New Roman" w:hAnsi="Times New Roman" w:cs="Times New Roman"/>
          <w:b w:val="0"/>
          <w:i w:val="0"/>
          <w:sz w:val="18"/>
        </w:rPr>
        <w:t>[7]  W. Liu, W. Luo, D. Lian, and S. Gao, "Future frame prediction for anomaly detection — a new baseline," in Proc. IEEE Conf. Comput. Vis. Pattern Recognit. (CVPR), Salt Lake City, UT, USA, 2018, pp. 6536–6545.</w:t>
      </w:r>
    </w:p>
    <w:p>
      <w:pPr>
        <w:jc w:val="both"/>
        <w:spacing w:before="0" w:after="20"/>
      </w:pPr>
      <w:r>
        <w:rPr>
          <w:rFonts w:ascii="Times New Roman" w:hAnsi="Times New Roman" w:cs="Times New Roman"/>
          <w:b w:val="0"/>
          <w:i w:val="0"/>
          <w:sz w:val="18"/>
        </w:rPr>
        <w:t>[8]  J. Shao, C. C. Loy, and X. Wang, "Scene-independent group intrusion detection in crowds," in Proc. IEEE Conf. Comput. Vis. Pattern Recognit. (CVPR), Columbus, OH, USA, 2014, pp. 2886–2893.</w:t>
      </w:r>
    </w:p>
    <w:p>
      <w:pPr>
        <w:jc w:val="both"/>
        <w:spacing w:before="0" w:after="20"/>
      </w:pPr>
      <w:r>
        <w:rPr>
          <w:rFonts w:ascii="Times New Roman" w:hAnsi="Times New Roman" w:cs="Times New Roman"/>
          <w:b w:val="0"/>
          <w:i w:val="0"/>
          <w:sz w:val="18"/>
        </w:rPr>
        <w:t>[9]  B. Zhou, X. Tang, H. Zhang, and X. Wang, "Measuring crowd collectiveness," IEEE Trans. Pattern Anal. Mach. Intell., vol. 36, no. 8, pp. 1586–1599, Aug. 2014.</w:t>
      </w:r>
    </w:p>
    <w:p>
      <w:pPr>
        <w:jc w:val="both"/>
        <w:spacing w:before="0" w:after="20"/>
      </w:pPr>
      <w:r>
        <w:rPr>
          <w:rFonts w:ascii="Times New Roman" w:hAnsi="Times New Roman" w:cs="Times New Roman"/>
          <w:b w:val="0"/>
          <w:i w:val="0"/>
          <w:sz w:val="18"/>
        </w:rPr>
        <w:t>[10]  G. Farnebäck, "Two-frame motion estimation based on polynomial expansion," in Proc. Scand. Conf. Image Anal. (SCIA), Gothenburg, Sweden, 2003, pp. 363–370.</w:t>
      </w:r>
    </w:p>
    <w:p>
      <w:pPr>
        <w:jc w:val="both"/>
        <w:spacing w:before="0" w:after="20"/>
      </w:pPr>
      <w:r>
        <w:rPr>
          <w:rFonts w:ascii="Times New Roman" w:hAnsi="Times New Roman" w:cs="Times New Roman"/>
          <w:b w:val="0"/>
          <w:i w:val="0"/>
          <w:sz w:val="18"/>
        </w:rPr>
        <w:t>[11]  S. M. Lundberg and S.-I. Lee, "A unified approach to interpreting model predictions," in Proc. Adv. Neural Inf. Process. Syst. (NeurIPS), Long Beach, CA, USA, 2017, pp. 4765–4774.</w:t>
      </w:r>
    </w:p>
    <w:p>
      <w:pPr>
        <w:jc w:val="both"/>
        <w:spacing w:before="0" w:after="20"/>
      </w:pPr>
      <w:r>
        <w:rPr>
          <w:rFonts w:ascii="Times New Roman" w:hAnsi="Times New Roman" w:cs="Times New Roman"/>
          <w:b w:val="0"/>
          <w:i w:val="0"/>
          <w:sz w:val="18"/>
        </w:rPr>
        <w:t>[12]  G. Jocher, A. Chaurasia, and J. Qiu, "Ultralytics YOLOv8," GitHub Repository, 2023. [Online]. Available: https://github.com/ultralytics/ultralytics</w:t>
      </w:r>
    </w:p>
    <w:p>
      <w:pPr>
        <w:jc w:val="both"/>
        <w:spacing w:before="0" w:after="20"/>
      </w:pPr>
      <w:r>
        <w:rPr>
          <w:rFonts w:ascii="Times New Roman" w:hAnsi="Times New Roman" w:cs="Times New Roman"/>
          <w:b w:val="0"/>
          <w:i w:val="0"/>
          <w:sz w:val="18"/>
        </w:rPr>
        <w:t>[13]  T.-Y. Lin, M. Maire, S. Belongie, J. Hays, P. Perona, D. Ramanan, P. Dollár, and C. L. Zitnick, "Microsoft COCO: Common objects in context," in Proc. Eur. Conf. Comput. Vis. (ECCV), Zurich, Switzerland, 2014, pp. 740–755.</w:t>
      </w:r>
    </w:p>
    <w:p>
      <w:pPr>
        <w:jc w:val="both"/>
        <w:spacing w:before="0" w:after="20"/>
      </w:pPr>
      <w:r>
        <w:rPr>
          <w:rFonts w:ascii="Times New Roman" w:hAnsi="Times New Roman" w:cs="Times New Roman"/>
          <w:b w:val="0"/>
          <w:i w:val="0"/>
          <w:sz w:val="18"/>
        </w:rPr>
        <w:t>[14]  B. Krausz and C. Bauckhage, "Loveparade 2010: Automatic video analysis of a crowd disaster," Comput. Vis. Image Underst., vol. 116, no. 3, pp. 307–319, Mar. 2012.</w:t>
      </w:r>
    </w:p>
    <w:p>
      <w:pPr>
        <w:jc w:val="both"/>
        <w:spacing w:before="0" w:after="20"/>
      </w:pPr>
      <w:r>
        <w:rPr>
          <w:rFonts w:ascii="Times New Roman" w:hAnsi="Times New Roman" w:cs="Times New Roman"/>
          <w:b w:val="0"/>
          <w:i w:val="0"/>
          <w:sz w:val="18"/>
        </w:rPr>
        <w:t>[15]  H. Idrees, I. Saleemi, C. Seibert, and M. Shah, "Multi-source multi-scale counting in extremely dense crowd images," in Proc. IEEE Conf. Comput. Vis. Pattern Recognit. (CVPR), Portland, OR, USA, 2013, pp. 2547–2554.</w:t>
      </w:r>
    </w:p>
    <w:p>
      <w:pPr>
        <w:jc w:val="both"/>
        <w:spacing w:before="0" w:after="20"/>
      </w:pPr>
      <w:r>
        <w:rPr>
          <w:rFonts w:ascii="Times New Roman" w:hAnsi="Times New Roman" w:cs="Times New Roman"/>
          <w:b w:val="0"/>
          <w:i w:val="0"/>
          <w:sz w:val="18"/>
        </w:rPr>
        <w:t>[16]  C. C. Loy, K. Chen, S. Gong, and T. Xiang, "Crowd counting and profiling: Methodology and evaluation," in Modeling, Simulation and Visual Analysis of Crowds, S. Ali et al., Eds. New York: Springer, 2012, pp. 347–382.</w:t>
      </w:r>
    </w:p>
    <w:p>
      <w:pPr>
        <w:jc w:val="both"/>
        <w:spacing w:before="0" w:after="20"/>
      </w:pPr>
      <w:r>
        <w:rPr>
          <w:rFonts w:ascii="Times New Roman" w:hAnsi="Times New Roman" w:cs="Times New Roman"/>
          <w:b w:val="0"/>
          <w:i w:val="0"/>
          <w:sz w:val="18"/>
        </w:rPr>
        <w:t>[17]  D. Kang, Z. Ma, and A. B. Chan, "Beyond counting: Comparisons of density maps for crowd analysis," IEEE Trans. Multimedia, vol. 21, no. 5, pp. 1208–1219, May 2018.</w:t>
      </w:r>
    </w:p>
    <w:p>
      <w:pPr>
        <w:jc w:val="both"/>
        <w:spacing w:before="0" w:after="20"/>
      </w:pPr>
      <w:r>
        <w:rPr>
          <w:rFonts w:ascii="Times New Roman" w:hAnsi="Times New Roman" w:cs="Times New Roman"/>
          <w:b w:val="0"/>
          <w:i w:val="0"/>
          <w:sz w:val="18"/>
        </w:rPr>
        <w:t>[18]  V. A. Sindagi and V. M. Patel, "A survey of recent advances in CNN-based crowd counting and density estimation," Pattern Recognit. Lett., vol. 107, pp. 3–16, May 2018.</w:t>
      </w:r>
    </w:p>
    <w:p>
      <w:pPr>
        <w:jc w:val="both"/>
        <w:spacing w:before="0" w:after="20"/>
      </w:pPr>
      <w:r>
        <w:rPr>
          <w:rFonts w:ascii="Times New Roman" w:hAnsi="Times New Roman" w:cs="Times New Roman"/>
          <w:b w:val="0"/>
          <w:i w:val="0"/>
          <w:sz w:val="18"/>
        </w:rPr>
        <w:t>[19]  M. Marsden, K. McGuinness, S. Little, and N. E. O'Connor, "Holistic features for real-time crowd behaviour anomaly detection," in Proc. IEEE Int. Conf. Image Process. (ICIP), Athens, Greece, 2018, pp. 918–922.</w:t>
      </w:r>
    </w:p>
    <w:p>
      <w:pPr>
        <w:jc w:val="both"/>
        <w:spacing w:before="0" w:after="20"/>
      </w:pPr>
      <w:r>
        <w:rPr>
          <w:rFonts w:ascii="Times New Roman" w:hAnsi="Times New Roman" w:cs="Times New Roman"/>
          <w:b w:val="0"/>
          <w:i w:val="0"/>
          <w:sz w:val="18"/>
        </w:rPr>
        <w:t>[20]  M. T. Ribeiro, S. Singh, and C. Guestrin, "'Why should I trust you?': Explaining the predictions of any classifier," in Proc. ACM SIGKDD Int. Conf. Knowl. Discovery Data Min. (KDD), San Francisco, CA, USA, 2016, pp. 1135–1144.</w:t>
      </w:r>
    </w:p>
    <w:sectPr w:rsidR="00FC693F" w:rsidRPr="0006063C" w:rsidSect="00034616">
      <w:pgSz w:w="12240" w:h="15840"/>
      <w:pgMar w:top="1077" w:right="907" w:bottom="14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