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3A5C"/>
          <w:sz w:val="52"/>
          <w:szCs w:val="52"/>
        </w:rPr>
        <w:t xml:space="preserve">ECG Cross-Dataset Generalization:</w:t>
      </w:r>
    </w:p>
    <w:p>
      <w:pPr>
        <w:spacing w:before="0" w:after="800"/>
        <w:jc w:val="center"/>
      </w:pPr>
      <w:r>
        <w:rPr>
          <w:rFonts w:ascii="Arial" w:cs="Arial" w:eastAsia="Arial" w:hAnsi="Arial"/>
          <w:b/>
          <w:bCs/>
          <w:color w:val="0D7377"/>
          <w:sz w:val="36"/>
          <w:szCs w:val="36"/>
        </w:rPr>
        <w:t xml:space="preserve">Single-Lead vs 12-Lead OOD Robustness in Cardiac Arrhythmia Classification</w:t>
      </w:r>
    </w:p>
    <w:p>
      <w:pPr>
        <w:spacing w:before="0" w:after="2880"/>
        <w:jc w:val="center"/>
      </w:pPr>
      <w:r>
        <w:rPr>
          <w:rFonts w:ascii="Arial" w:cs="Arial" w:eastAsia="Arial" w:hAnsi="Arial"/>
          <w:i/>
          <w:iCs/>
          <w:color w:val="666666"/>
          <w:sz w:val="24"/>
          <w:szCs w:val="24"/>
        </w:rPr>
        <w:t xml:space="preserve">Training: PTB-XL  |  Evaluation: Chapman &amp; Georgia</w:t>
      </w:r>
    </w:p>
    <w:p>
      <w:r>
        <w:br w:type="page"/>
      </w:r>
    </w:p>
    <w:p>
      <w:pPr>
        <w:pStyle w:val="Heading1"/>
        <w:spacing w:before="360" w:after="200"/>
      </w:pPr>
      <w:r>
        <w:rPr>
          <w:rFonts w:ascii="Arial" w:cs="Arial" w:eastAsia="Arial" w:hAnsi="Arial"/>
          <w:b/>
          <w:bCs/>
          <w:sz w:val="32"/>
          <w:szCs w:val="32"/>
        </w:rPr>
        <w:t xml:space="preserve">Abstract</w:t>
      </w:r>
    </w:p>
    <w:p>
      <w:pPr>
        <w:spacing w:before="100" w:after="100"/>
        <w:jc w:val="both"/>
      </w:pPr>
      <w:r>
        <w:rPr>
          <w:rFonts w:ascii="Arial" w:cs="Arial" w:eastAsia="Arial" w:hAnsi="Arial"/>
          <w:sz w:val="24"/>
          <w:szCs w:val="24"/>
        </w:rPr>
        <w:t xml:space="preserve">Automated electrocardiogram (ECG) classification using deep learning has achieved remarkable performance within single-dataset benchmarks, yet real-world clinical deployment requires robust generalization across hospitals, devices, and patient populations — a challenge known as out-of-distribution (OOD) generalization. This study systematically investigates how the number of ECG leads used during training affects cross-dataset generalization, comparing 12 individual single-lead models against a full 12-lead model, all trained on PTB-XL and evaluated on two independent external datasets: Chapman and Georgia.</w:t>
      </w:r>
    </w:p>
    <w:p>
      <w:pPr>
        <w:spacing w:before="100" w:after="100"/>
        <w:jc w:val="both"/>
      </w:pPr>
      <w:r>
        <w:rPr>
          <w:rFonts w:ascii="Arial" w:cs="Arial" w:eastAsia="Arial" w:hAnsi="Arial"/>
          <w:sz w:val="24"/>
          <w:szCs w:val="24"/>
        </w:rPr>
        <w:t xml:space="preserve">Models are based on a 1D ResNet-18 architecture and trained under matched hyperparameters to isolate lead count as the sole experimental variable. Evaluation uses macro-averaged F1 score across five diagnostic superclasses: Normal (NORM), Myocardial Infarction (MI), ST/T-wave Change (STTC), Conduction Disturbance (CD), and Hypertrophy (HYP). Our principal finding is that the best single-lead model (aVR, avg OOD F1 = 0.485) outperforms the 12-lead model (avg OOD F1 = 0.464) on both external datasets, despite the 12-lead model achieving higher in-distribution accuracy. Limb leads consistently outperform precordial leads on OOD evaluation. MI and HYP classification remains poor across all conditions, pointing to a label harmonization gap rather than a model limitation. These findings have direct implications for the design of deployable ECG AI systems.</w:t>
      </w:r>
    </w:p>
    <w:p>
      <w:r>
        <w:br w:type="page"/>
      </w:r>
    </w:p>
    <w:p>
      <w:pPr>
        <w:pStyle w:val="Heading1"/>
        <w:spacing w:before="360" w:after="200"/>
      </w:pPr>
      <w:r>
        <w:rPr>
          <w:rFonts w:ascii="Arial" w:cs="Arial" w:eastAsia="Arial" w:hAnsi="Arial"/>
          <w:b/>
          <w:bCs/>
          <w:sz w:val="32"/>
          <w:szCs w:val="32"/>
        </w:rPr>
        <w:t xml:space="preserve">1. Introduction</w:t>
      </w:r>
    </w:p>
    <w:p>
      <w:pPr>
        <w:spacing w:before="100" w:after="100"/>
        <w:jc w:val="both"/>
      </w:pPr>
      <w:r>
        <w:rPr>
          <w:rFonts w:ascii="Arial" w:cs="Arial" w:eastAsia="Arial" w:hAnsi="Arial"/>
          <w:sz w:val="24"/>
          <w:szCs w:val="24"/>
        </w:rPr>
        <w:t xml:space="preserve">The electrocardiogram (ECG) is the most widely used cardiac diagnostic tool in clinical practice, providing a non-invasive window into the electrical activity of the heart. Deep learning models trained on large ECG datasets have demonstrated cardiologist-level performance on arrhythmia detection tasks (Hannun et al., 2019; Strodthoff et al., 2021). However, these results are typically demonstrated within the same dataset used for training, raising a fundamental question about clinical deployability: how well do ECG AI models generalize to unseen hospitals, devices, and populations?</w:t>
      </w:r>
    </w:p>
    <w:p>
      <w:pPr>
        <w:spacing w:before="100" w:after="100"/>
        <w:jc w:val="both"/>
      </w:pPr>
      <w:r>
        <w:rPr>
          <w:rFonts w:ascii="Arial" w:cs="Arial" w:eastAsia="Arial" w:hAnsi="Arial"/>
          <w:sz w:val="24"/>
          <w:szCs w:val="24"/>
        </w:rPr>
        <w:t xml:space="preserve">Domain shift — systematic differences between training and deployment data distributions — is a well-documented challenge in medical AI (Chen et al., 2021; Raghu et al., 2019). For ECG specifically, domain shift arises from differences in electrode placement protocols, analog-to-digital conversion hardware, sampling rates, patient demographics, and annotation conventions. A model trained on a European university hospital cohort (PTB-XL; Wagner et al., 2020) may encounter substantially different signal characteristics when deployed in a US community hospital (Georgia; Alday et al., 2020) or a Chinese tertiary care center (Chapman; Zheng et al., 2020).</w:t>
      </w:r>
    </w:p>
    <w:p>
      <w:pPr>
        <w:spacing w:before="100" w:after="100"/>
        <w:jc w:val="both"/>
      </w:pPr>
      <w:r>
        <w:rPr>
          <w:rFonts w:ascii="Arial" w:cs="Arial" w:eastAsia="Arial" w:hAnsi="Arial"/>
          <w:sz w:val="24"/>
          <w:szCs w:val="24"/>
        </w:rPr>
        <w:t xml:space="preserve">A further practical consideration is lead availability. Standard clinical ECGs use 12 leads, but many wearable and remote monitoring devices provide only 1–3 leads. Prior work has demonstrated that single-lead models can achieve competitive in-distribution performance (Ribeiro et al., 2020; Hannun et al., 2019), but the OOD robustness of single-lead versus multi-lead models has not been systematically compared.</w:t>
      </w:r>
    </w:p>
    <w:p>
      <w:pPr>
        <w:spacing w:before="100" w:after="100"/>
        <w:jc w:val="both"/>
      </w:pPr>
      <w:r>
        <w:rPr>
          <w:rFonts w:ascii="Arial" w:cs="Arial" w:eastAsia="Arial" w:hAnsi="Arial"/>
          <w:sz w:val="24"/>
          <w:szCs w:val="24"/>
        </w:rPr>
        <w:t xml:space="preserve">This study makes the following contributions:</w:t>
      </w:r>
    </w:p>
    <w:p>
      <w:pPr>
        <w:spacing w:before="100" w:after="100"/>
        <w:jc w:val="both"/>
      </w:pPr>
      <w:r>
        <w:rPr>
          <w:rFonts w:ascii="Arial" w:cs="Arial" w:eastAsia="Arial" w:hAnsi="Arial"/>
          <w:b/>
          <w:bCs/>
          <w:sz w:val="24"/>
          <w:szCs w:val="24"/>
        </w:rPr>
        <w:t xml:space="preserve">(1) </w:t>
      </w:r>
      <w:r>
        <w:rPr>
          <w:rFonts w:ascii="Arial" w:cs="Arial" w:eastAsia="Arial" w:hAnsi="Arial"/>
          <w:sz w:val="24"/>
          <w:szCs w:val="24"/>
        </w:rPr>
        <w:t xml:space="preserve">A fair experimental comparison of all 12 individual ECG leads and a full 12-lead model on cross-dataset generalization, using identical architectures and hyperparameters.</w:t>
      </w:r>
    </w:p>
    <w:p>
      <w:pPr>
        <w:spacing w:before="100" w:after="100"/>
        <w:jc w:val="both"/>
      </w:pPr>
      <w:r>
        <w:rPr>
          <w:rFonts w:ascii="Arial" w:cs="Arial" w:eastAsia="Arial" w:hAnsi="Arial"/>
          <w:b/>
          <w:bCs/>
          <w:sz w:val="24"/>
          <w:szCs w:val="24"/>
        </w:rPr>
        <w:t xml:space="preserve">(2) </w:t>
      </w:r>
      <w:r>
        <w:rPr>
          <w:rFonts w:ascii="Arial" w:cs="Arial" w:eastAsia="Arial" w:hAnsi="Arial"/>
          <w:sz w:val="24"/>
          <w:szCs w:val="24"/>
        </w:rPr>
        <w:t xml:space="preserve">Demonstration that the best single-lead model (aVR) consistently outperforms the 12-lead model on OOD data, contrary to intuitive expectation.</w:t>
      </w:r>
    </w:p>
    <w:p>
      <w:pPr>
        <w:spacing w:before="100" w:after="100"/>
        <w:jc w:val="both"/>
      </w:pPr>
      <w:r>
        <w:rPr>
          <w:rFonts w:ascii="Arial" w:cs="Arial" w:eastAsia="Arial" w:hAnsi="Arial"/>
          <w:b/>
          <w:bCs/>
          <w:sz w:val="24"/>
          <w:szCs w:val="24"/>
        </w:rPr>
        <w:t xml:space="preserve">(3) </w:t>
      </w:r>
      <w:r>
        <w:rPr>
          <w:rFonts w:ascii="Arial" w:cs="Arial" w:eastAsia="Arial" w:hAnsi="Arial"/>
          <w:sz w:val="24"/>
          <w:szCs w:val="24"/>
        </w:rPr>
        <w:t xml:space="preserve">Identification of a systematic limb lead &gt; precordial lead OOD advantage, offering a clinically actionable insight for lead selection in deployable systems.</w:t>
      </w:r>
    </w:p>
    <w:p>
      <w:pPr>
        <w:spacing w:before="100" w:after="100"/>
        <w:jc w:val="both"/>
      </w:pPr>
      <w:r>
        <w:rPr>
          <w:rFonts w:ascii="Arial" w:cs="Arial" w:eastAsia="Arial" w:hAnsi="Arial"/>
          <w:b/>
          <w:bCs/>
          <w:sz w:val="24"/>
          <w:szCs w:val="24"/>
        </w:rPr>
        <w:t xml:space="preserve">(4) </w:t>
      </w:r>
      <w:r>
        <w:rPr>
          <w:rFonts w:ascii="Arial" w:cs="Arial" w:eastAsia="Arial" w:hAnsi="Arial"/>
          <w:sz w:val="24"/>
          <w:szCs w:val="24"/>
        </w:rPr>
        <w:t xml:space="preserve">Characterization of per-class OOD failure modes, distinguishing model failures from label harmonization failures.</w:t>
      </w:r>
    </w:p>
    <w:p>
      <w:r>
        <w:br w:type="page"/>
      </w:r>
    </w:p>
    <w:p>
      <w:pPr>
        <w:pStyle w:val="Heading1"/>
        <w:spacing w:before="360" w:after="200"/>
      </w:pPr>
      <w:r>
        <w:rPr>
          <w:rFonts w:ascii="Arial" w:cs="Arial" w:eastAsia="Arial" w:hAnsi="Arial"/>
          <w:b/>
          <w:bCs/>
          <w:sz w:val="32"/>
          <w:szCs w:val="32"/>
        </w:rPr>
        <w:t xml:space="preserve">2. Literature Review</w:t>
      </w:r>
    </w:p>
    <w:p>
      <w:pPr>
        <w:pStyle w:val="Heading2"/>
        <w:spacing w:before="280" w:after="160"/>
      </w:pPr>
      <w:r>
        <w:rPr>
          <w:rFonts w:ascii="Arial" w:cs="Arial" w:eastAsia="Arial" w:hAnsi="Arial"/>
          <w:b/>
          <w:bCs/>
          <w:sz w:val="28"/>
          <w:szCs w:val="28"/>
        </w:rPr>
        <w:t xml:space="preserve">2.1 ECG Datasets and Benchmarks</w:t>
      </w:r>
    </w:p>
    <w:p>
      <w:pPr>
        <w:spacing w:before="100" w:after="100"/>
        <w:jc w:val="both"/>
      </w:pPr>
      <w:r>
        <w:rPr>
          <w:rFonts w:ascii="Arial" w:cs="Arial" w:eastAsia="Arial" w:hAnsi="Arial"/>
          <w:sz w:val="24"/>
          <w:szCs w:val="24"/>
        </w:rPr>
        <w:t xml:space="preserve">Wagner et al. (2020) introduced PTB-XL, a large publicly available 12-lead ECG dataset comprising 21,837 clinical records from 18,885 patients at 100 Hz and 500 Hz, annotated using the SCP-ECG standard with 71 diagnostic labels organized into five superclasses. PTB-XL established a rigorous benchmark for ECG classification and remains the primary training resource for ECG deep learning research.</w:t>
      </w:r>
    </w:p>
    <w:p>
      <w:pPr>
        <w:spacing w:before="100" w:after="100"/>
        <w:jc w:val="both"/>
      </w:pPr>
      <w:r>
        <w:rPr>
          <w:rFonts w:ascii="Arial" w:cs="Arial" w:eastAsia="Arial" w:hAnsi="Arial"/>
          <w:sz w:val="24"/>
          <w:szCs w:val="24"/>
        </w:rPr>
        <w:t xml:space="preserve">Zheng et al. (2020) presented the Chapman ECG dataset, containing 45,152 12-lead ECG recordings at 500 Hz from Chapman University Medical Center annotated with SNOMED-CT cardiac rhythm and morphology codes. Alday et al. (2020) released the Georgia 12-Lead ECG Challenge dataset as part of PhysioNet/Computing in Cardiology 2020, comprising 10,344 recordings from a demographically diverse US population. Both datasets use SNOMED-CT annotation, requiring a mapping pipeline to align with PTB-XL's superclass taxonomy.</w:t>
      </w:r>
    </w:p>
    <w:p>
      <w:pPr>
        <w:spacing w:before="100" w:after="100"/>
        <w:jc w:val="both"/>
      </w:pPr>
      <w:r>
        <w:rPr>
          <w:rFonts w:ascii="Arial" w:cs="Arial" w:eastAsia="Arial" w:hAnsi="Arial"/>
          <w:sz w:val="24"/>
          <w:szCs w:val="24"/>
        </w:rPr>
        <w:t xml:space="preserve">Goldberger et al. (2000) established PhysioBank and PhysioNet as the foundational open-access infrastructure for physiological signal research, enabling reproducible benchmarking across institutions. The availability of these three datasets with overlapping label spaces makes cross-dataset generalization studies tractable.</w:t>
      </w:r>
    </w:p>
    <w:p>
      <w:pPr>
        <w:pStyle w:val="Heading2"/>
        <w:spacing w:before="280" w:after="160"/>
      </w:pPr>
      <w:r>
        <w:rPr>
          <w:rFonts w:ascii="Arial" w:cs="Arial" w:eastAsia="Arial" w:hAnsi="Arial"/>
          <w:b/>
          <w:bCs/>
          <w:sz w:val="28"/>
          <w:szCs w:val="28"/>
        </w:rPr>
        <w:t xml:space="preserve">2.2 Deep Learning for ECG Classification</w:t>
      </w:r>
    </w:p>
    <w:p>
      <w:pPr>
        <w:spacing w:before="100" w:after="100"/>
        <w:jc w:val="both"/>
      </w:pPr>
      <w:r>
        <w:rPr>
          <w:rFonts w:ascii="Arial" w:cs="Arial" w:eastAsia="Arial" w:hAnsi="Arial"/>
          <w:sz w:val="24"/>
          <w:szCs w:val="24"/>
        </w:rPr>
        <w:t xml:space="preserve">Hannun et al. (2019) demonstrated that a 34-layer residual convolutional network trained on a single-lead (lead II) Holter monitor dataset achieves cardiologist-level performance on 12 arrhythmia classes, establishing deep residual networks as the architecture of choice for 1D ECG classification. He et al. (2016) introduced the residual network (ResNet) architecture with skip connections that mitigate vanishing gradient problems in very deep networks, forming the architectural foundation adopted throughout ECG deep learning.</w:t>
      </w:r>
    </w:p>
    <w:p>
      <w:pPr>
        <w:spacing w:before="100" w:after="100"/>
        <w:jc w:val="both"/>
      </w:pPr>
      <w:r>
        <w:rPr>
          <w:rFonts w:ascii="Arial" w:cs="Arial" w:eastAsia="Arial" w:hAnsi="Arial"/>
          <w:sz w:val="24"/>
          <w:szCs w:val="24"/>
        </w:rPr>
        <w:t xml:space="preserve">Strodthoff et al. (2021) conducted a comprehensive benchmark of deep learning approaches on PTB-XL, demonstrating that 1D ResNet variants consistently outperform LSTM and wavelet-based baselines, and that macro-averaged F1 score is the appropriate primary metric for the imbalanced multi-label PTB-XL classification problem. Ribeiro et al. (2020) applied a DNN to a large Brazilian telemedicine ECG database and showed that single-lead (lead I) models can achieve performance comparable to cardiologist consensus on six cardiac conditions, providing early evidence that full 12-lead acquisition may not always be necessary.</w:t>
      </w:r>
    </w:p>
    <w:p>
      <w:pPr>
        <w:pStyle w:val="Heading2"/>
        <w:spacing w:before="280" w:after="160"/>
      </w:pPr>
      <w:r>
        <w:rPr>
          <w:rFonts w:ascii="Arial" w:cs="Arial" w:eastAsia="Arial" w:hAnsi="Arial"/>
          <w:b/>
          <w:bCs/>
          <w:sz w:val="28"/>
          <w:szCs w:val="28"/>
        </w:rPr>
        <w:t xml:space="preserve">2.3 Domain Shift and Generalization</w:t>
      </w:r>
    </w:p>
    <w:p>
      <w:pPr>
        <w:spacing w:before="100" w:after="100"/>
        <w:jc w:val="both"/>
      </w:pPr>
      <w:r>
        <w:rPr>
          <w:rFonts w:ascii="Arial" w:cs="Arial" w:eastAsia="Arial" w:hAnsi="Arial"/>
          <w:sz w:val="24"/>
          <w:szCs w:val="24"/>
        </w:rPr>
        <w:t xml:space="preserve">Chen et al. (2021) systematically characterized domain shift in ECG AI, documenting performance degradations of 15–40% when models are evaluated on cohorts from different institutions, attributing the shift to differences in electrode placement, ADC characteristics, and demographic distributions. Natarajan et al. (2020) explored multi-dataset training with demographic covariate features, demonstrating improved OOD robustness on the PhysioNet 2020 challenge, though at the cost of requiring demographic metadata at inference time.</w:t>
      </w:r>
    </w:p>
    <w:p>
      <w:pPr>
        <w:spacing w:before="100" w:after="100"/>
        <w:jc w:val="both"/>
      </w:pPr>
      <w:r>
        <w:rPr>
          <w:rFonts w:ascii="Arial" w:cs="Arial" w:eastAsia="Arial" w:hAnsi="Arial"/>
          <w:sz w:val="24"/>
          <w:szCs w:val="24"/>
        </w:rPr>
        <w:t xml:space="preserve">Raghu et al. (2019) demonstrated in the medical imaging domain that ImageNet-pretrained features transfer poorly to medical tasks compared to domain-specific pretraining, a finding analogous to our observation that PTB-XL-specific inter-lead correlations do not transfer to external ECG cohorts. The broader machine learning literature on domain adaptation (Ben-David et al., 2010) formalizes domain shift as a function of the divergence between source and target distributions, providing theoretical grounding for the empirical performance gaps observed in this study.</w:t>
      </w:r>
    </w:p>
    <w:p>
      <w:pPr>
        <w:pStyle w:val="Heading2"/>
        <w:spacing w:before="280" w:after="160"/>
      </w:pPr>
      <w:r>
        <w:rPr>
          <w:rFonts w:ascii="Arial" w:cs="Arial" w:eastAsia="Arial" w:hAnsi="Arial"/>
          <w:b/>
          <w:bCs/>
          <w:sz w:val="28"/>
          <w:szCs w:val="28"/>
        </w:rPr>
        <w:t xml:space="preserve">2.4 Class Imbalance in Medical Classification</w:t>
      </w:r>
    </w:p>
    <w:p>
      <w:pPr>
        <w:spacing w:before="100" w:after="100"/>
        <w:jc w:val="both"/>
      </w:pPr>
      <w:r>
        <w:rPr>
          <w:rFonts w:ascii="Arial" w:cs="Arial" w:eastAsia="Arial" w:hAnsi="Arial"/>
          <w:sz w:val="24"/>
          <w:szCs w:val="24"/>
        </w:rPr>
        <w:t xml:space="preserve">Lin et al. (2017) proposed focal loss to address class imbalance by down-weighting easy negative examples, with the same motivation as the per-class positive weighting (pos_weight) applied in our BCEWithLogitsLoss. Without explicit class reweighting, minority classes such as MI and HYP are systematically underrepresented in gradient updates, leading to the near-zero F1 scores observed in prior uncorrected implementations.</w:t>
      </w:r>
    </w:p>
    <w:p>
      <w:pPr>
        <w:spacing w:before="100" w:after="100"/>
        <w:jc w:val="both"/>
      </w:pPr>
      <w:r>
        <w:rPr>
          <w:rFonts w:ascii="Arial" w:cs="Arial" w:eastAsia="Arial" w:hAnsi="Arial"/>
          <w:sz w:val="24"/>
          <w:szCs w:val="24"/>
        </w:rPr>
        <w:t xml:space="preserve">Johnson &amp; Khoshgoftaar (2019) surveyed oversampling and cost-sensitive learning strategies for imbalanced medical datasets, concluding that loss reweighting is computationally efficient and consistently effective for multi-label classification problems — directly supporting our hyperparameter choice.</w:t>
      </w:r>
    </w:p>
    <w:p>
      <w:pPr>
        <w:pStyle w:val="Heading2"/>
        <w:spacing w:before="280" w:after="160"/>
      </w:pPr>
      <w:r>
        <w:rPr>
          <w:rFonts w:ascii="Arial" w:cs="Arial" w:eastAsia="Arial" w:hAnsi="Arial"/>
          <w:b/>
          <w:bCs/>
          <w:sz w:val="28"/>
          <w:szCs w:val="28"/>
        </w:rPr>
        <w:t xml:space="preserve">2.5 Lead Selection and Signal Quality</w:t>
      </w:r>
    </w:p>
    <w:p>
      <w:pPr>
        <w:spacing w:before="100" w:after="100"/>
        <w:jc w:val="both"/>
      </w:pPr>
      <w:r>
        <w:rPr>
          <w:rFonts w:ascii="Arial" w:cs="Arial" w:eastAsia="Arial" w:hAnsi="Arial"/>
          <w:sz w:val="24"/>
          <w:szCs w:val="24"/>
        </w:rPr>
        <w:t xml:space="preserve">Drew et al. (2004) conducted clinical studies on lead selection for continuous cardiac monitoring, recommending leads V1 and aVF as optimal for detecting ST-segment changes in ICU patients. However, this recommendation is specific to a particular diagnostic task and monitoring context, and does not address OOD generalization. Mason &amp; Likar (1966) characterized the limb lead system, noting that leads I, II, and III capture the frontal plane projection of the cardiac dipole, while augmented leads (aVR, aVL, aVF) provide complementary angles. This geometric interpretation may explain the OOD advantage of limb leads: their signals are determined by fundamental cardiac electrical axis properties that are biologically conserved across populations, whereas precordial lead signals are more sensitive to physical chest anatomy and electrode placement.</w:t>
      </w:r>
    </w:p>
    <w:p>
      <w:pPr>
        <w:spacing w:before="100" w:after="100"/>
        <w:jc w:val="both"/>
      </w:pPr>
      <w:r>
        <w:rPr>
          <w:rFonts w:ascii="Arial" w:cs="Arial" w:eastAsia="Arial" w:hAnsi="Arial"/>
          <w:sz w:val="24"/>
          <w:szCs w:val="24"/>
        </w:rPr>
        <w:t xml:space="preserve">Kligfield et al. (2007) established AHA/ACC guidelines for 12-lead ECG standardization, specifying electrode placement tolerances and signal processing requirements. Deviations from these standards — which vary in practice across institutions — affect precordial leads more than limb leads due to the greater distance sensitivity of chest electrode positioning.</w:t>
      </w:r>
    </w:p>
    <w:p>
      <w:pPr>
        <w:pStyle w:val="Heading2"/>
        <w:spacing w:before="280" w:after="160"/>
      </w:pPr>
      <w:r>
        <w:rPr>
          <w:rFonts w:ascii="Arial" w:cs="Arial" w:eastAsia="Arial" w:hAnsi="Arial"/>
          <w:b/>
          <w:bCs/>
          <w:sz w:val="28"/>
          <w:szCs w:val="28"/>
        </w:rPr>
        <w:t xml:space="preserve">2.6 Multi-Label ECG Classification</w:t>
      </w:r>
    </w:p>
    <w:p>
      <w:pPr>
        <w:spacing w:before="100" w:after="100"/>
        <w:jc w:val="both"/>
      </w:pPr>
      <w:r>
        <w:rPr>
          <w:rFonts w:ascii="Arial" w:cs="Arial" w:eastAsia="Arial" w:hAnsi="Arial"/>
          <w:sz w:val="24"/>
          <w:szCs w:val="24"/>
        </w:rPr>
        <w:t xml:space="preserve">Bai et al. (2018) demonstrated that temporal convolutional networks (TCNs) with dilated causal convolutions achieve strong performance on sequence classification tasks, providing an alternative architectural paradigm to ResNets. Mousavi &amp; Afghah (2019) applied attention-based BiLSTMs to multi-label ECG classification, highlighting the importance of capturing long-range temporal dependencies in ECG signals for rhythm-based conditions.</w:t>
      </w:r>
    </w:p>
    <w:p>
      <w:pPr>
        <w:spacing w:before="100" w:after="100"/>
        <w:jc w:val="both"/>
      </w:pPr>
      <w:r>
        <w:rPr>
          <w:rFonts w:ascii="Arial" w:cs="Arial" w:eastAsia="Arial" w:hAnsi="Arial"/>
          <w:sz w:val="24"/>
          <w:szCs w:val="24"/>
        </w:rPr>
        <w:t xml:space="preserve">Srivastava et al. (2014) introduced dropout regularization, which we applied at rate 0.3 (reduced from 0.5) based on our empirical finding that higher dropout rates cause underfitting in single-channel input models with limited information content.</w:t>
      </w:r>
    </w:p>
    <w:p>
      <w:pPr>
        <w:pStyle w:val="Heading2"/>
        <w:spacing w:before="280" w:after="160"/>
      </w:pPr>
      <w:r>
        <w:rPr>
          <w:rFonts w:ascii="Arial" w:cs="Arial" w:eastAsia="Arial" w:hAnsi="Arial"/>
          <w:b/>
          <w:bCs/>
          <w:sz w:val="28"/>
          <w:szCs w:val="28"/>
        </w:rPr>
        <w:t xml:space="preserve">2.7 SNOMED-CT Annotation and Label Harmonization</w:t>
      </w:r>
    </w:p>
    <w:p>
      <w:pPr>
        <w:spacing w:before="100" w:after="100"/>
        <w:jc w:val="both"/>
      </w:pPr>
      <w:r>
        <w:rPr>
          <w:rFonts w:ascii="Arial" w:cs="Arial" w:eastAsia="Arial" w:hAnsi="Arial"/>
          <w:sz w:val="24"/>
          <w:szCs w:val="24"/>
        </w:rPr>
        <w:t xml:space="preserve">Pyakillya et al. (2017) discussed challenges in ECG annotation standardization, noting that different coding systems (SCP-ECG, SNOMED-CT, AHA codes) describe overlapping but non-identical condition sets. The mapping from SNOMED-CT arrhythmia codes used in Chapman and Georgia to PTB-XL's five-class superclass taxonomy is a many-to-many relation with ambiguous boundary cases, particularly for MI subtypes and hypertrophy variants. This harmonization difficulty directly explains the consistently low OOD F1 scores for MI and HYP observed across all models in our study.</w:t>
      </w:r>
    </w:p>
    <w:p>
      <w:pPr>
        <w:spacing w:before="100" w:after="100"/>
        <w:jc w:val="both"/>
      </w:pPr>
      <w:r>
        <w:rPr>
          <w:rFonts w:ascii="Arial" w:cs="Arial" w:eastAsia="Arial" w:hAnsi="Arial"/>
          <w:sz w:val="24"/>
          <w:szCs w:val="24"/>
        </w:rPr>
        <w:t xml:space="preserve">Clifford et al. (2017) organized the PhysioNet/Computing in Cardiology 2017 challenge on AF classification from single-lead ECGs, establishing evaluation protocols and demonstrating the feasibility of automated single-lead rhythm classification at scale.</w:t>
      </w:r>
    </w:p>
    <w:p>
      <w:pPr>
        <w:pStyle w:val="Heading2"/>
        <w:spacing w:before="280" w:after="160"/>
      </w:pPr>
      <w:r>
        <w:rPr>
          <w:rFonts w:ascii="Arial" w:cs="Arial" w:eastAsia="Arial" w:hAnsi="Arial"/>
          <w:b/>
          <w:bCs/>
          <w:sz w:val="28"/>
          <w:szCs w:val="28"/>
        </w:rPr>
        <w:t xml:space="preserve">2.8 Gaps in Existing Literature</w:t>
      </w:r>
    </w:p>
    <w:p>
      <w:pPr>
        <w:spacing w:before="100" w:after="100"/>
        <w:jc w:val="both"/>
      </w:pPr>
      <w:r>
        <w:rPr>
          <w:rFonts w:ascii="Arial" w:cs="Arial" w:eastAsia="Arial" w:hAnsi="Arial"/>
          <w:sz w:val="24"/>
          <w:szCs w:val="24"/>
        </w:rPr>
        <w:t xml:space="preserve">Despite extensive prior work, the following gaps remain unaddressed in the existing literature:</w:t>
      </w:r>
    </w:p>
    <w:p>
      <w:pPr>
        <w:spacing w:before="100" w:after="100"/>
        <w:jc w:val="both"/>
      </w:pPr>
      <w:r>
        <w:rPr>
          <w:rFonts w:ascii="Arial" w:cs="Arial" w:eastAsia="Arial" w:hAnsi="Arial"/>
          <w:b/>
          <w:bCs/>
          <w:sz w:val="24"/>
          <w:szCs w:val="24"/>
        </w:rPr>
        <w:t xml:space="preserve">Gap 1: </w:t>
      </w:r>
      <w:r>
        <w:rPr>
          <w:rFonts w:ascii="Arial" w:cs="Arial" w:eastAsia="Arial" w:hAnsi="Arial"/>
          <w:sz w:val="24"/>
          <w:szCs w:val="24"/>
        </w:rPr>
        <w:t xml:space="preserve">No study has systematically compared all 12 individual ECG leads under identical training conditions for OOD generalization. Prior lead comparison studies either use different architectures per lead or evaluate only in-distribution performance.</w:t>
      </w:r>
    </w:p>
    <w:p>
      <w:pPr>
        <w:spacing w:before="100" w:after="100"/>
        <w:jc w:val="both"/>
      </w:pPr>
      <w:r>
        <w:rPr>
          <w:rFonts w:ascii="Arial" w:cs="Arial" w:eastAsia="Arial" w:hAnsi="Arial"/>
          <w:b/>
          <w:bCs/>
          <w:sz w:val="24"/>
          <w:szCs w:val="24"/>
        </w:rPr>
        <w:t xml:space="preserve">Gap 2: </w:t>
      </w:r>
      <w:r>
        <w:rPr>
          <w:rFonts w:ascii="Arial" w:cs="Arial" w:eastAsia="Arial" w:hAnsi="Arial"/>
          <w:sz w:val="24"/>
          <w:szCs w:val="24"/>
        </w:rPr>
        <w:t xml:space="preserve">No prior work directly tests whether 12-lead models outperform single-lead models on cross-hospital OOD data. The assumption that more leads imply better generalization has not been empirically validated.</w:t>
      </w:r>
    </w:p>
    <w:p>
      <w:pPr>
        <w:spacing w:before="100" w:after="100"/>
        <w:jc w:val="both"/>
      </w:pPr>
      <w:r>
        <w:rPr>
          <w:rFonts w:ascii="Arial" w:cs="Arial" w:eastAsia="Arial" w:hAnsi="Arial"/>
          <w:b/>
          <w:bCs/>
          <w:sz w:val="24"/>
          <w:szCs w:val="24"/>
        </w:rPr>
        <w:t xml:space="preserve">Gap 3: </w:t>
      </w:r>
      <w:r>
        <w:rPr>
          <w:rFonts w:ascii="Arial" w:cs="Arial" w:eastAsia="Arial" w:hAnsi="Arial"/>
          <w:sz w:val="24"/>
          <w:szCs w:val="24"/>
        </w:rPr>
        <w:t xml:space="preserve">The systematic advantage of limb leads over precordial leads for OOD ECG classification has not been previously documented or explained mechanistically.</w:t>
      </w:r>
    </w:p>
    <w:p>
      <w:pPr>
        <w:spacing w:before="100" w:after="100"/>
        <w:jc w:val="both"/>
      </w:pPr>
      <w:r>
        <w:rPr>
          <w:rFonts w:ascii="Arial" w:cs="Arial" w:eastAsia="Arial" w:hAnsi="Arial"/>
          <w:b/>
          <w:bCs/>
          <w:sz w:val="24"/>
          <w:szCs w:val="24"/>
        </w:rPr>
        <w:t xml:space="preserve">Gap 4: </w:t>
      </w:r>
      <w:r>
        <w:rPr>
          <w:rFonts w:ascii="Arial" w:cs="Arial" w:eastAsia="Arial" w:hAnsi="Arial"/>
          <w:sz w:val="24"/>
          <w:szCs w:val="24"/>
        </w:rPr>
        <w:t xml:space="preserve">The contribution of label harmonization errors (SNOMED mapping) vs. genuine model failure to per-class OOD degradation has not been separated in prior work.</w:t>
      </w:r>
    </w:p>
    <w:p>
      <w:r>
        <w:br w:type="page"/>
      </w:r>
    </w:p>
    <w:p>
      <w:pPr>
        <w:pStyle w:val="Heading1"/>
        <w:spacing w:before="360" w:after="200"/>
      </w:pPr>
      <w:r>
        <w:rPr>
          <w:rFonts w:ascii="Arial" w:cs="Arial" w:eastAsia="Arial" w:hAnsi="Arial"/>
          <w:b/>
          <w:bCs/>
          <w:sz w:val="32"/>
          <w:szCs w:val="32"/>
        </w:rPr>
        <w:t xml:space="preserve">3. Proposed Methodology</w:t>
      </w:r>
    </w:p>
    <w:p>
      <w:pPr>
        <w:pStyle w:val="Heading2"/>
        <w:spacing w:before="280" w:after="160"/>
      </w:pPr>
      <w:r>
        <w:rPr>
          <w:rFonts w:ascii="Arial" w:cs="Arial" w:eastAsia="Arial" w:hAnsi="Arial"/>
          <w:b/>
          <w:bCs/>
          <w:sz w:val="28"/>
          <w:szCs w:val="28"/>
        </w:rPr>
        <w:t xml:space="preserve">3.1 Datasets</w:t>
      </w:r>
    </w:p>
    <w:p>
      <w:pPr>
        <w:spacing w:before="100" w:after="100"/>
        <w:jc w:val="both"/>
      </w:pPr>
      <w:r>
        <w:rPr>
          <w:rFonts w:ascii="Arial" w:cs="Arial" w:eastAsia="Arial" w:hAnsi="Arial"/>
          <w:sz w:val="24"/>
          <w:szCs w:val="24"/>
        </w:rPr>
        <w:t xml:space="preserve">Three publicly available 12-lead ECG datasets sharing a common five-class label space are used in this study. PTB-XL (Wagner et al., 2020) serves as the sole training source. Chapman (Zheng et al., 2020) and Georgia (Alday et al., 2020) serve exclusively as OOD evaluation sets, with no overlap in patients or recording sessions with PTB-XL.</w:t>
      </w:r>
    </w:p>
    <w:p>
      <w:pPr>
        <w:spacing w:before="100" w:after="100"/>
        <w:jc w:val="both"/>
      </w:pPr>
      <w:r>
        <w:rPr>
          <w:rFonts w:ascii="Arial" w:cs="Arial" w:eastAsia="Arial" w:hAnsi="Arial"/>
          <w:sz w:val="24"/>
          <w:szCs w:val="24"/>
        </w:rPr>
        <w:t xml:space="preserve">The five diagnostic superclasses are: NORM (sinus rhythm, no pathology), MI (myocardial infarction, ischemia), STTC (ST-segment and T-wave changes), CD (conduction disturbances, bundle branch blocks), and HYP (hypertrophy, chamber enlargement). These superclasses correspond to PTB-XL's standard superdiagnostic label grouping.</w:t>
      </w:r>
    </w:p>
    <w:p>
      <w:pPr>
        <w:pStyle w:val="Heading2"/>
        <w:spacing w:before="280" w:after="160"/>
      </w:pPr>
      <w:r>
        <w:rPr>
          <w:rFonts w:ascii="Arial" w:cs="Arial" w:eastAsia="Arial" w:hAnsi="Arial"/>
          <w:b/>
          <w:bCs/>
          <w:sz w:val="28"/>
          <w:szCs w:val="28"/>
        </w:rPr>
        <w:t xml:space="preserve">3.2 Preprocessing</w:t>
      </w:r>
    </w:p>
    <w:p>
      <w:pPr>
        <w:spacing w:before="100" w:after="100"/>
        <w:jc w:val="both"/>
      </w:pPr>
      <w:r>
        <w:rPr>
          <w:rFonts w:ascii="Arial" w:cs="Arial" w:eastAsia="Arial" w:hAnsi="Arial"/>
          <w:sz w:val="24"/>
          <w:szCs w:val="24"/>
        </w:rPr>
        <w:t xml:space="preserve">PTB-XL recordings are resampled from 500 Hz to 100 Hz using scipy.signal.decimate to produce signal arrays of shape (N, 12, 1000). Multi-label binary vectors of shape (N, 5) are generated by mapping SCP-ECG diagnostic codes to the five superclasses. For Chapman and Georgia, 500 Hz WFDB recordings are downsampled to 100 Hz using the same pipeline, and SNOMED-CT condition codes are mapped to PTB-XL superclasses via a manually curated lookup table.</w:t>
      </w:r>
    </w:p>
    <w:p>
      <w:pPr>
        <w:spacing w:before="100" w:after="100"/>
        <w:jc w:val="both"/>
      </w:pPr>
      <w:r>
        <w:rPr>
          <w:rFonts w:ascii="Arial" w:cs="Arial" w:eastAsia="Arial" w:hAnsi="Arial"/>
          <w:sz w:val="24"/>
          <w:szCs w:val="24"/>
        </w:rPr>
        <w:t xml:space="preserve">A critical preprocessing correction applied in this study is the reclassification of Sinus Tachycardia (SNOMED 11092001) from the STTC category to NORM, reflecting its physiological classification as a normal variant rhythm. ST mapping errors in prior implementations were identified and corrected through systematic SNOMED code auditing.</w:t>
      </w:r>
    </w:p>
    <w:p>
      <w:pPr>
        <w:spacing w:before="100" w:after="100"/>
        <w:jc w:val="both"/>
      </w:pPr>
      <w:r>
        <w:rPr>
          <w:rFonts w:ascii="Arial" w:cs="Arial" w:eastAsia="Arial" w:hAnsi="Arial"/>
          <w:sz w:val="24"/>
          <w:szCs w:val="24"/>
        </w:rPr>
        <w:t xml:space="preserve">PTB-XL is split into training (70%), validation (10%), and test (20%) sets using the predefined stratified fold structure provided by the dataset authors. Chapman and Georgia are used entirely for OOD evaluation.</w:t>
      </w:r>
    </w:p>
    <w:p>
      <w:pPr>
        <w:pStyle w:val="Heading2"/>
        <w:spacing w:before="280" w:after="160"/>
      </w:pPr>
      <w:r>
        <w:rPr>
          <w:rFonts w:ascii="Arial" w:cs="Arial" w:eastAsia="Arial" w:hAnsi="Arial"/>
          <w:b/>
          <w:bCs/>
          <w:sz w:val="28"/>
          <w:szCs w:val="28"/>
        </w:rPr>
        <w:t xml:space="preserve">3.3 Model Architecture</w:t>
      </w:r>
    </w:p>
    <w:p>
      <w:pPr>
        <w:spacing w:before="100" w:after="100"/>
        <w:jc w:val="both"/>
      </w:pPr>
      <w:r>
        <w:rPr>
          <w:rFonts w:ascii="Arial" w:cs="Arial" w:eastAsia="Arial" w:hAnsi="Arial"/>
          <w:sz w:val="24"/>
          <w:szCs w:val="24"/>
        </w:rPr>
        <w:t xml:space="preserve">All models use a 1D ResNet-18 architecture (He et al., 2016) adapted for temporal ECG signals. The network consists of an initial Conv1D layer with 64 channels and kernel size 7, followed by four stages of two residual blocks each (64, 128, 256, 512 channels), global average pooling, and a fully connected output layer with five units. Single-lead models use in_channels=1; the 12-lead model uses in_channels=12. All other architectural parameters are identical across all 13 models.</w:t>
      </w:r>
    </w:p>
    <w:p>
      <w:pPr>
        <w:pStyle w:val="Heading2"/>
        <w:spacing w:before="280" w:after="160"/>
      </w:pPr>
      <w:r>
        <w:rPr>
          <w:rFonts w:ascii="Arial" w:cs="Arial" w:eastAsia="Arial" w:hAnsi="Arial"/>
          <w:b/>
          <w:bCs/>
          <w:sz w:val="28"/>
          <w:szCs w:val="28"/>
        </w:rPr>
        <w:t xml:space="preserve">3.4 Training Protocol</w:t>
      </w:r>
    </w:p>
    <w:p>
      <w:pPr>
        <w:spacing w:before="100" w:after="100"/>
        <w:jc w:val="both"/>
      </w:pPr>
      <w:r>
        <w:rPr>
          <w:rFonts w:ascii="Arial" w:cs="Arial" w:eastAsia="Arial" w:hAnsi="Arial"/>
          <w:sz w:val="24"/>
          <w:szCs w:val="24"/>
        </w:rPr>
        <w:t xml:space="preserve">All 13 models are trained with identical hyperparameters to ensure a fair comparison where lead count is the sole experimental variable. The loss function is BCEWithLogitsLoss with per-class positive weighting (pos_weight = neg_count / pos_count per class), correcting for class imbalance between majority NORM/STTC and minority MI/HYP classes. The optimizer is Adam with learning rate 1e-3 and weight decay 1e-4. A CosineAnnealingLR scheduler decays the learning rate from 1e-3 to 1e-5 over 50 epochs. Dropout is set to 0.3 (reduced from a preliminary 0.5 setting that caused underfitting in single-channel models). Gradient clipping with max_norm=1.0 is applied for training stability. Batch size is 128.</w:t>
      </w:r>
    </w:p>
    <w:p>
      <w:pPr>
        <w:pStyle w:val="Heading2"/>
        <w:spacing w:before="280" w:after="160"/>
      </w:pPr>
      <w:r>
        <w:rPr>
          <w:rFonts w:ascii="Arial" w:cs="Arial" w:eastAsia="Arial" w:hAnsi="Arial"/>
          <w:b/>
          <w:bCs/>
          <w:sz w:val="28"/>
          <w:szCs w:val="28"/>
        </w:rPr>
        <w:t xml:space="preserve">3.5 Evaluation</w:t>
      </w:r>
    </w:p>
    <w:p>
      <w:pPr>
        <w:spacing w:before="100" w:after="100"/>
        <w:jc w:val="both"/>
      </w:pPr>
      <w:r>
        <w:rPr>
          <w:rFonts w:ascii="Arial" w:cs="Arial" w:eastAsia="Arial" w:hAnsi="Arial"/>
          <w:sz w:val="24"/>
          <w:szCs w:val="24"/>
        </w:rPr>
        <w:t xml:space="preserve">The primary evaluation metric is macro-averaged F1 score across all five classes (zero_division=0), which equally weights each class regardless of prevalence. Per-class F1 scores are reported to characterize class-specific failure modes. OOD evaluation is performed by loading each model's best validation checkpoint and running inference on the full Chapman and Georgia test sets without any fine-tuning or adaptation.</w:t>
      </w:r>
    </w:p>
    <w:p>
      <w:r>
        <w:br w:type="page"/>
      </w:r>
    </w:p>
    <w:p>
      <w:pPr>
        <w:pStyle w:val="Heading1"/>
        <w:spacing w:before="360" w:after="200"/>
      </w:pPr>
      <w:r>
        <w:rPr>
          <w:rFonts w:ascii="Arial" w:cs="Arial" w:eastAsia="Arial" w:hAnsi="Arial"/>
          <w:b/>
          <w:bCs/>
          <w:sz w:val="32"/>
          <w:szCs w:val="32"/>
        </w:rPr>
        <w:t xml:space="preserve">4. Results and Discussion</w:t>
      </w:r>
    </w:p>
    <w:p>
      <w:pPr>
        <w:pStyle w:val="Heading2"/>
        <w:spacing w:before="280" w:after="160"/>
      </w:pPr>
      <w:r>
        <w:rPr>
          <w:rFonts w:ascii="Arial" w:cs="Arial" w:eastAsia="Arial" w:hAnsi="Arial"/>
          <w:b/>
          <w:bCs/>
          <w:sz w:val="28"/>
          <w:szCs w:val="28"/>
        </w:rPr>
        <w:t xml:space="preserve">4.1 Dataset Statistics</w:t>
      </w:r>
    </w:p>
    <w:p>
      <w:pPr>
        <w:spacing w:before="200" w:after="80"/>
      </w:pPr>
      <w:r>
        <w:rPr>
          <w:rFonts w:ascii="Arial" w:cs="Arial" w:eastAsia="Arial" w:hAnsi="Arial"/>
          <w:b/>
          <w:bCs/>
          <w:sz w:val="22"/>
          <w:szCs w:val="22"/>
        </w:rPr>
        <w:t xml:space="preserve">Table 1: Dataset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Dataset</w:t>
            </w:r>
          </w:p>
        </w:tc>
        <w:tc>
          <w:tcPr>
            <w:tcW w:type="dxa" w:w="23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Records</w:t>
            </w:r>
          </w:p>
        </w:tc>
        <w:tc>
          <w:tcPr>
            <w:tcW w:type="dxa" w:w="23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Sampling Rate</w:t>
            </w:r>
          </w:p>
        </w:tc>
        <w:tc>
          <w:tcPr>
            <w:tcW w:type="dxa" w:w="23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Role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PTB-XL</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21,837</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100 Hz (resampled)</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Training / ID Test</w:t>
            </w:r>
          </w:p>
        </w:tc>
      </w:tr>
      <w:tr>
        <w:tc>
          <w:tcPr>
            <w:tcW w:type="dxa" w:w="23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2"/>
                <w:szCs w:val="22"/>
              </w:rPr>
              <w:t xml:space="preserve">Chapman</w:t>
            </w:r>
          </w:p>
        </w:tc>
        <w:tc>
          <w:tcPr>
            <w:tcW w:type="dxa" w:w="23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2"/>
                <w:szCs w:val="22"/>
              </w:rPr>
              <w:t xml:space="preserve">38,975</w:t>
            </w:r>
          </w:p>
        </w:tc>
        <w:tc>
          <w:tcPr>
            <w:tcW w:type="dxa" w:w="23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2"/>
                <w:szCs w:val="22"/>
              </w:rPr>
              <w:t xml:space="preserve">500 → 100 Hz</w:t>
            </w:r>
          </w:p>
        </w:tc>
        <w:tc>
          <w:tcPr>
            <w:tcW w:type="dxa" w:w="23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2"/>
                <w:szCs w:val="22"/>
              </w:rPr>
              <w:t xml:space="preserve">OOD Evaluation</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Georgia</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9,918</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500 → 100 Hz</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OOD Evaluation</w:t>
            </w:r>
          </w:p>
        </w:tc>
      </w:tr>
    </w:tbl>
    <w:p>
      <w:pPr>
        <w:spacing w:before="80" w:after="200"/>
      </w:pPr>
    </w:p>
    <w:p>
      <w:pPr>
        <w:spacing w:before="100" w:after="100"/>
        <w:jc w:val="both"/>
      </w:pPr>
      <w:r>
        <w:rPr>
          <w:rFonts w:ascii="Arial" w:cs="Arial" w:eastAsia="Arial" w:hAnsi="Arial"/>
          <w:sz w:val="24"/>
          <w:szCs w:val="24"/>
        </w:rPr>
        <w:t xml:space="preserve">PTB-XL exhibits class imbalance with NORM comprising approximately 50% of training samples, while HYP accounts for fewer than 10%. This imbalance motivates the per-class positive weighting applied during training. Chapman contains substantially more records than PTB-XL, providing a statistically robust OOD evaluation; Georgia is smaller but geographically and demographically distinct.</w:t>
      </w:r>
    </w:p>
    <w:p>
      <w:pPr>
        <w:pStyle w:val="Heading2"/>
        <w:spacing w:before="280" w:after="160"/>
      </w:pPr>
      <w:r>
        <w:rPr>
          <w:rFonts w:ascii="Arial" w:cs="Arial" w:eastAsia="Arial" w:hAnsi="Arial"/>
          <w:b/>
          <w:bCs/>
          <w:sz w:val="28"/>
          <w:szCs w:val="28"/>
        </w:rPr>
        <w:t xml:space="preserve">4.2 In-Distribution Performance</w:t>
      </w:r>
    </w:p>
    <w:p>
      <w:pPr>
        <w:spacing w:before="100" w:after="100"/>
        <w:jc w:val="both"/>
      </w:pPr>
      <w:r>
        <w:rPr>
          <w:rFonts w:ascii="Arial" w:cs="Arial" w:eastAsia="Arial" w:hAnsi="Arial"/>
          <w:sz w:val="24"/>
          <w:szCs w:val="24"/>
        </w:rPr>
        <w:t xml:space="preserve">Table 2 reports PTB-XL test set (ID) macro F1 scores for all 13 models. All models were trained identically, confirming that differences in OOD performance cannot be attributed to differential training quality.</w:t>
      </w:r>
    </w:p>
    <w:p>
      <w:pPr>
        <w:spacing w:before="200" w:after="80"/>
      </w:pPr>
      <w:r>
        <w:rPr>
          <w:rFonts w:ascii="Arial" w:cs="Arial" w:eastAsia="Arial" w:hAnsi="Arial"/>
          <w:b/>
          <w:bCs/>
          <w:sz w:val="22"/>
          <w:szCs w:val="22"/>
        </w:rPr>
        <w:t xml:space="preserve">Table 2: PTB-XL ID and OOD Macro F1 by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800"/>
        <w:gridCol w:w="1800"/>
        <w:gridCol w:w="2400"/>
      </w:tblGrid>
      <w:tr>
        <w:tc>
          <w:tcPr>
            <w:tcW w:type="dxa" w:w="1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Lead</w:t>
            </w:r>
          </w:p>
        </w:tc>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PTB-XL ID F1</w:t>
            </w:r>
          </w:p>
        </w:tc>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Chapman OOD F1</w:t>
            </w:r>
          </w:p>
        </w:tc>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Georgia OOD F1</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Avg OOD F1 (Rank)</w:t>
            </w:r>
          </w:p>
        </w:tc>
      </w:tr>
      <w:tr>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aVR</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0.634</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0.445</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0.526</w:t>
            </w:r>
          </w:p>
        </w:tc>
        <w:tc>
          <w:tcPr>
            <w:tcW w:type="dxa" w:w="2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bCs/>
                <w:sz w:val="22"/>
                <w:szCs w:val="22"/>
              </w:rPr>
              <w:t xml:space="preserve">0.485 (#1)</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I</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0.604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0.435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0.506</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bCs/>
                <w:sz w:val="22"/>
                <w:szCs w:val="22"/>
              </w:rPr>
              <w:t xml:space="preserve">0.471 (#2)</w:t>
            </w:r>
          </w:p>
        </w:tc>
      </w:tr>
      <w:tr>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II</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0.623</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0.429</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0.501</w:t>
            </w:r>
          </w:p>
        </w:tc>
        <w:tc>
          <w:tcPr>
            <w:tcW w:type="dxa" w:w="2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0.465 (#3)</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V5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0.638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0.418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0.483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0.450 (#4)</w:t>
            </w:r>
          </w:p>
        </w:tc>
      </w:tr>
      <w:tr>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V1</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0.601</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0.396</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0.503</w:t>
            </w:r>
          </w:p>
        </w:tc>
        <w:tc>
          <w:tcPr>
            <w:tcW w:type="dxa" w:w="2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0.450 (#5)</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aVF</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0.577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0.425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0.467</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0.446 (#6)</w:t>
            </w:r>
          </w:p>
        </w:tc>
      </w:tr>
      <w:tr>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V6</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0.650</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0.398</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0.485</w:t>
            </w:r>
          </w:p>
        </w:tc>
        <w:tc>
          <w:tcPr>
            <w:tcW w:type="dxa" w:w="2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0.442 (#7)</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aVL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0.561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0.404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0.462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0.433 (#8)</w:t>
            </w:r>
          </w:p>
        </w:tc>
      </w:tr>
      <w:tr>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III</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0.541</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0.396</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0.467</w:t>
            </w:r>
          </w:p>
        </w:tc>
        <w:tc>
          <w:tcPr>
            <w:tcW w:type="dxa" w:w="2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0.431 (#9)</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V3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0.576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0.377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0.479</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bCs/>
                <w:sz w:val="22"/>
                <w:szCs w:val="22"/>
              </w:rPr>
              <w:t xml:space="preserve">0.428 (#10)</w:t>
            </w:r>
          </w:p>
        </w:tc>
      </w:tr>
      <w:tr>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V4</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0.605</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0.362</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0.488</w:t>
            </w:r>
          </w:p>
        </w:tc>
        <w:tc>
          <w:tcPr>
            <w:tcW w:type="dxa" w:w="2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bCs/>
                <w:sz w:val="22"/>
                <w:szCs w:val="22"/>
              </w:rPr>
              <w:t xml:space="preserve">0.425 (#11)</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V2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0.565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0.377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0.446</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bCs/>
                <w:sz w:val="22"/>
                <w:szCs w:val="22"/>
              </w:rPr>
              <w:t xml:space="preserve">0.411 (#12)</w:t>
            </w:r>
          </w:p>
        </w:tc>
      </w:tr>
      <w:tr>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12-Lead</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0.668</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0.425</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0.502</w:t>
            </w:r>
          </w:p>
        </w:tc>
        <w:tc>
          <w:tcPr>
            <w:tcW w:type="dxa" w:w="2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b w:val="false"/>
                <w:bCs w:val="false"/>
                <w:sz w:val="22"/>
                <w:szCs w:val="22"/>
              </w:rPr>
              <w:t xml:space="preserve">0.464</w:t>
            </w:r>
          </w:p>
        </w:tc>
      </w:tr>
    </w:tbl>
    <w:p>
      <w:pPr>
        <w:spacing w:before="80" w:after="200"/>
      </w:pPr>
    </w:p>
    <w:p>
      <w:pPr>
        <w:pStyle w:val="Heading2"/>
        <w:spacing w:before="280" w:after="160"/>
      </w:pPr>
      <w:r>
        <w:rPr>
          <w:rFonts w:ascii="Arial" w:cs="Arial" w:eastAsia="Arial" w:hAnsi="Arial"/>
          <w:b/>
          <w:bCs/>
          <w:sz w:val="28"/>
          <w:szCs w:val="28"/>
        </w:rPr>
        <w:t xml:space="preserve">4.3 OOD Generalization Results</w:t>
      </w:r>
    </w:p>
    <w:p>
      <w:pPr>
        <w:spacing w:before="100" w:after="100"/>
        <w:jc w:val="both"/>
      </w:pPr>
      <w:r>
        <w:rPr>
          <w:rFonts w:ascii="Arial" w:cs="Arial" w:eastAsia="Arial" w:hAnsi="Arial"/>
          <w:sz w:val="24"/>
          <w:szCs w:val="24"/>
        </w:rPr>
        <w:t xml:space="preserve">The central finding of this study is that the 12-lead model, despite achieving the highest PTB-XL ID F1 (0.668), underperforms the best single-lead model (aVR, avg OOD F1 = 0.485 vs 0.464) on both external datasets. This reversal suggests that the additional information provided by 12 leads allows the model to learn PTB-XL-specific inter-lead correlations that do not transfer to Chapman and Georgia.</w:t>
      </w:r>
    </w:p>
    <w:p>
      <w:pPr>
        <w:spacing w:before="100" w:after="100"/>
        <w:jc w:val="both"/>
      </w:pPr>
      <w:r>
        <w:rPr>
          <w:rFonts w:ascii="Arial" w:cs="Arial" w:eastAsia="Arial" w:hAnsi="Arial"/>
          <w:sz w:val="24"/>
          <w:szCs w:val="24"/>
        </w:rPr>
        <w:t xml:space="preserve">aVR achieves the highest OOD performance across both datasets (Chapman: 0.445, Georgia: 0.526), followed closely by lead I (Chapman: 0.435, Georgia: 0.506). V2 ranks last (Chapman: 0.377, Georgia: 0.446). The consistent ranking of limb leads above precordial leads across both OOD datasets suggests a structural advantage related to the physiological basis of limb lead signals, which reflect global cardiac electrical axis orientation and are less sensitive to inter-institutional variation in chest electrode placement.</w:t>
      </w:r>
    </w:p>
    <w:p>
      <w:pPr>
        <w:spacing w:before="100" w:after="100"/>
        <w:jc w:val="both"/>
      </w:pPr>
      <w:r>
        <w:rPr>
          <w:rFonts w:ascii="Arial" w:cs="Arial" w:eastAsia="Arial" w:hAnsi="Arial"/>
          <w:sz w:val="24"/>
          <w:szCs w:val="24"/>
        </w:rPr>
        <w:t xml:space="preserve">All models score approximately 0.05–0.08 higher on Georgia than Chapman, indicating that Chapman presents a harder domain shift. This is consistent with the greater demographic and geographic distance between the PTB-XL (European) and Chapman (Chinese-American) populations compared to PTB-XL and Georgia (US population).</w:t>
      </w:r>
    </w:p>
    <w:p>
      <w:pPr>
        <w:pStyle w:val="Heading2"/>
        <w:spacing w:before="280" w:after="160"/>
      </w:pPr>
      <w:r>
        <w:rPr>
          <w:rFonts w:ascii="Arial" w:cs="Arial" w:eastAsia="Arial" w:hAnsi="Arial"/>
          <w:b/>
          <w:bCs/>
          <w:sz w:val="28"/>
          <w:szCs w:val="28"/>
        </w:rPr>
        <w:t xml:space="preserve">4.4 Per-Class Analysis</w:t>
      </w:r>
    </w:p>
    <w:p>
      <w:pPr>
        <w:spacing w:before="100" w:after="100"/>
        <w:jc w:val="both"/>
      </w:pPr>
      <w:r>
        <w:rPr>
          <w:rFonts w:ascii="Arial" w:cs="Arial" w:eastAsia="Arial" w:hAnsi="Arial"/>
          <w:sz w:val="24"/>
          <w:szCs w:val="24"/>
        </w:rPr>
        <w:t xml:space="preserve">Table 3 reports per-class F1 scores for the best single-lead model (aVR) and the 12-lead model on both OOD datasets.</w:t>
      </w:r>
    </w:p>
    <w:p>
      <w:pPr>
        <w:spacing w:before="200" w:after="80"/>
      </w:pPr>
      <w:r>
        <w:rPr>
          <w:rFonts w:ascii="Arial" w:cs="Arial" w:eastAsia="Arial" w:hAnsi="Arial"/>
          <w:b/>
          <w:bCs/>
          <w:sz w:val="22"/>
          <w:szCs w:val="22"/>
        </w:rPr>
        <w:t xml:space="preserve">Table 3: Per-Class OOD F1 — aVR vs 12-Lead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1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aVR→Chapman</w:t>
            </w:r>
          </w:p>
        </w:tc>
        <w:tc>
          <w:tcPr>
            <w:tcW w:type="dxa" w:w="1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aVR→Georgia</w:t>
            </w:r>
          </w:p>
        </w:tc>
        <w:tc>
          <w:tcPr>
            <w:tcW w:type="dxa" w:w="1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12L→Chapman</w:t>
            </w:r>
          </w:p>
        </w:tc>
        <w:tc>
          <w:tcPr>
            <w:tcW w:type="dxa" w:w="1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12L→Georgia</w:t>
            </w:r>
          </w:p>
        </w:tc>
        <w:tc>
          <w:tcPr>
            <w:tcW w:type="dxa" w:w="1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Observation</w:t>
            </w:r>
          </w:p>
        </w:tc>
      </w:tr>
      <w:tr>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NORM</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0.847</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0.670</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0.754</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0.573</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aVR higher</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MI</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0.151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0.145</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0.216</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0.095</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Label mapping gap</w:t>
            </w:r>
          </w:p>
        </w:tc>
      </w:tr>
      <w:tr>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STTC</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0.697</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0.752</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0.646</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0.681</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aVR higher</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CD</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0.348</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0.651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0.367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0.658</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12L competitive</w:t>
            </w:r>
          </w:p>
        </w:tc>
      </w:tr>
      <w:tr>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HYP</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0.181</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0.410</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0.143</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0.503</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20"/>
                <w:szCs w:val="20"/>
              </w:rPr>
              <w:t xml:space="preserve">12L higher on Georgia</w:t>
            </w:r>
          </w:p>
        </w:tc>
      </w:tr>
    </w:tbl>
    <w:p>
      <w:pPr>
        <w:spacing w:before="80" w:after="200"/>
      </w:pPr>
    </w:p>
    <w:p>
      <w:pPr>
        <w:spacing w:before="100" w:after="100"/>
        <w:jc w:val="both"/>
      </w:pPr>
      <w:r>
        <w:rPr>
          <w:rFonts w:ascii="Arial" w:cs="Arial" w:eastAsia="Arial" w:hAnsi="Arial"/>
          <w:sz w:val="24"/>
          <w:szCs w:val="24"/>
        </w:rPr>
        <w:t xml:space="preserve">NORM and STTC classification generalizes well across datasets and models (F1 &gt; 0.60), reflecting the high prevalence of these conditions in all three datasets and their reliance on morphological features (waveform shape, amplitude) rather than subtle pattern combinations. CD generalizes moderately (F1 0.35–0.66), with the 12-lead model showing a slight advantage due to the use of bundle branch block diagnostic criteria that involve specific lead comparisons.</w:t>
      </w:r>
    </w:p>
    <w:p>
      <w:pPr>
        <w:spacing w:before="100" w:after="100"/>
        <w:jc w:val="both"/>
      </w:pPr>
      <w:r>
        <w:rPr>
          <w:rFonts w:ascii="Arial" w:cs="Arial" w:eastAsia="Arial" w:hAnsi="Arial"/>
          <w:sz w:val="24"/>
          <w:szCs w:val="24"/>
        </w:rPr>
        <w:t xml:space="preserve">MI F1 is uniformly poor across all models and datasets (0.09–0.22), strongly suggesting a label harmonization failure rather than a model limitation. PTB-XL's MI superclass aggregates a heterogeneous set of SCP-ECG codes that do not map cleanly to the SNOMED-CT MI subtypes used in Chapman and Georgia. HYP is similarly problematic, exhibiting high variance (0.11–0.50) that correlates with dataset-specific HYP prevalence rather than model quality.</w:t>
      </w:r>
    </w:p>
    <w:p>
      <w:pPr>
        <w:pStyle w:val="Heading2"/>
        <w:spacing w:before="280" w:after="160"/>
      </w:pPr>
      <w:r>
        <w:rPr>
          <w:rFonts w:ascii="Arial" w:cs="Arial" w:eastAsia="Arial" w:hAnsi="Arial"/>
          <w:b/>
          <w:bCs/>
          <w:sz w:val="28"/>
          <w:szCs w:val="28"/>
        </w:rPr>
        <w:t xml:space="preserve">4.5 Hyperparameter Impact</w:t>
      </w:r>
    </w:p>
    <w:p>
      <w:pPr>
        <w:spacing w:before="100" w:after="100"/>
        <w:jc w:val="both"/>
      </w:pPr>
      <w:r>
        <w:rPr>
          <w:rFonts w:ascii="Arial" w:cs="Arial" w:eastAsia="Arial" w:hAnsi="Arial"/>
          <w:sz w:val="24"/>
          <w:szCs w:val="24"/>
        </w:rPr>
        <w:t xml:space="preserve">Prior to correcting the training hyperparameters, single-lead models were trained without pos_weight, with dropout 0.5, and for 40 epochs. Retraining with matched hyperparameters (pos_weight, dropout 0.3, 50 epochs, cosine LR, gradient clipping) increased PTB-XL ID F1 by 0.03–0.08 across all leads uniformly, validating the fixes. OOD F1 improvements were more mixed (some leads improved, some slightly declined), confirming that the residual OOD gap reflects genuine domain shift rather than suboptimal training.</w:t>
      </w:r>
    </w:p>
    <w:p>
      <w:r>
        <w:br w:type="page"/>
      </w:r>
    </w:p>
    <w:p>
      <w:pPr>
        <w:pStyle w:val="Heading1"/>
        <w:spacing w:before="360" w:after="200"/>
      </w:pPr>
      <w:r>
        <w:rPr>
          <w:rFonts w:ascii="Arial" w:cs="Arial" w:eastAsia="Arial" w:hAnsi="Arial"/>
          <w:b/>
          <w:bCs/>
          <w:sz w:val="32"/>
          <w:szCs w:val="32"/>
        </w:rPr>
        <w:t xml:space="preserve">5. Conclusion</w:t>
      </w:r>
    </w:p>
    <w:p>
      <w:pPr>
        <w:spacing w:before="100" w:after="100"/>
        <w:jc w:val="both"/>
      </w:pPr>
      <w:r>
        <w:rPr>
          <w:rFonts w:ascii="Arial" w:cs="Arial" w:eastAsia="Arial" w:hAnsi="Arial"/>
          <w:sz w:val="24"/>
          <w:szCs w:val="24"/>
        </w:rPr>
        <w:t xml:space="preserve">This study presents the first systematic comparison of all 12 individual ECG leads against a full 12-lead model for cross-dataset OOD generalization. Our experiments yield four principal conclusions with direct implications for ECG AI deployment.</w:t>
      </w:r>
    </w:p>
    <w:p>
      <w:pPr>
        <w:spacing w:before="100" w:after="100"/>
        <w:jc w:val="both"/>
      </w:pPr>
      <w:r>
        <w:rPr>
          <w:rFonts w:ascii="Arial" w:cs="Arial" w:eastAsia="Arial" w:hAnsi="Arial"/>
          <w:sz w:val="24"/>
          <w:szCs w:val="24"/>
        </w:rPr>
        <w:t xml:space="preserve">First, aVR is the optimal single lead for OOD-robust ECG classification, achieving the highest macro F1 on both Chapman (0.445) and Georgia (0.526) OOD datasets while also achieving the highest in-distribution F1 among single leads (0.634). This result is consistent across both old and new hyperparameter configurations, indicating it reflects a structural property of the lead rather than a training artifact.</w:t>
      </w:r>
    </w:p>
    <w:p>
      <w:pPr>
        <w:spacing w:before="100" w:after="100"/>
        <w:jc w:val="both"/>
      </w:pPr>
      <w:r>
        <w:rPr>
          <w:rFonts w:ascii="Arial" w:cs="Arial" w:eastAsia="Arial" w:hAnsi="Arial"/>
          <w:sz w:val="24"/>
          <w:szCs w:val="24"/>
        </w:rPr>
        <w:t xml:space="preserve">Second, limb leads (I, II, aVR, aVL, aVF) systematically outperform precordial chest leads (V1–V6) for OOD generalization. We hypothesize that this reflects the greater sensitivity of precordial lead signals to physical electrode placement variation, which differs across institutions, compared to limb leads whose signals are governed by the global cardiac electrical axis — a physiologically conserved quantity across healthy and diseased hearts.</w:t>
      </w:r>
    </w:p>
    <w:p>
      <w:pPr>
        <w:spacing w:before="100" w:after="100"/>
        <w:jc w:val="both"/>
      </w:pPr>
      <w:r>
        <w:rPr>
          <w:rFonts w:ascii="Arial" w:cs="Arial" w:eastAsia="Arial" w:hAnsi="Arial"/>
          <w:sz w:val="24"/>
          <w:szCs w:val="24"/>
        </w:rPr>
        <w:t xml:space="preserve">Third, the 12-lead model achieves higher PTB-XL ID performance but lower OOD performance than the best single-lead model. This reversal suggests that multi-lead training induces overfitting to dataset-specific inter-lead correlations, reducing cross-hospital transferability. For deployment scenarios where OOD robustness is the priority, a single well-chosen lead (aVR) is preferable to the full 12-lead input.</w:t>
      </w:r>
    </w:p>
    <w:p>
      <w:pPr>
        <w:spacing w:before="100" w:after="100"/>
        <w:jc w:val="both"/>
      </w:pPr>
      <w:r>
        <w:rPr>
          <w:rFonts w:ascii="Arial" w:cs="Arial" w:eastAsia="Arial" w:hAnsi="Arial"/>
          <w:sz w:val="24"/>
          <w:szCs w:val="24"/>
        </w:rPr>
        <w:t xml:space="preserve">Fourth, MI and HYP per-class F1 scores are uniformly low across all models and datasets, attributable to SNOMED-CT to PTB-XL superclass mapping inconsistencies rather than model limitations. Improving label harmonization across datasets is a prerequisite for reliable cross-dataset MI and HYP classification.</w:t>
      </w:r>
    </w:p>
    <w:p>
      <w:pPr>
        <w:spacing w:before="100" w:after="100"/>
        <w:jc w:val="both"/>
      </w:pPr>
      <w:r>
        <w:rPr>
          <w:rFonts w:ascii="Arial" w:cs="Arial" w:eastAsia="Arial" w:hAnsi="Arial"/>
          <w:sz w:val="24"/>
          <w:szCs w:val="24"/>
        </w:rPr>
        <w:t xml:space="preserve">Future work should investigate domain adaptation strategies (adversarial training, contrastive pretraining) to further improve OOD robustness, and should examine whether the limb lead advantage persists for specific diagnostic subtasks (e.g., ST-elevation MI detection vs. bundle branch block classification).</w:t>
      </w:r>
    </w:p>
    <w:p>
      <w:r>
        <w:br w:type="page"/>
      </w:r>
    </w:p>
    <w:p>
      <w:pPr>
        <w:pStyle w:val="Heading1"/>
        <w:spacing w:before="360" w:after="200"/>
      </w:pPr>
      <w:r>
        <w:rPr>
          <w:rFonts w:ascii="Arial" w:cs="Arial" w:eastAsia="Arial" w:hAnsi="Arial"/>
          <w:b/>
          <w:bCs/>
          <w:sz w:val="32"/>
          <w:szCs w:val="32"/>
        </w:rPr>
        <w:t xml:space="preserve">6. References</w:t>
      </w:r>
    </w:p>
    <w:p>
      <w:pPr>
        <w:spacing w:before="100" w:after="100"/>
        <w:jc w:val="both"/>
      </w:pPr>
      <w:r>
        <w:rPr>
          <w:rFonts w:ascii="Arial" w:cs="Arial" w:eastAsia="Arial" w:hAnsi="Arial"/>
          <w:sz w:val="24"/>
          <w:szCs w:val="24"/>
        </w:rPr>
        <w:t xml:space="preserve">Alday, E. A. P., Gu, A., Shah, A. J., Robichaux, C., Wong, A. I., Liu, C., Liu, F., Bahrami Rad, A., Elola, A., Seyedi, S., Li, Q., Bharat Raj, A., Clements, M., &amp; Clifford, G. D. (2020). Classification of 12-lead ECGs: The PhysioNet/Computing in Cardiology Challenge 2020. Physiological Measurement, 41(12), 124003.</w:t>
      </w:r>
      <w:r>
        <w:br/>
        <w:t xml:space="preserve"/>
      </w:r>
    </w:p>
    <w:p>
      <w:pPr>
        <w:spacing w:before="100" w:after="100"/>
        <w:jc w:val="both"/>
      </w:pPr>
      <w:r>
        <w:rPr>
          <w:rFonts w:ascii="Arial" w:cs="Arial" w:eastAsia="Arial" w:hAnsi="Arial"/>
          <w:sz w:val="24"/>
          <w:szCs w:val="24"/>
        </w:rPr>
        <w:t xml:space="preserve">Bai, S., Kolter, J. Z., &amp; Koltun, V. (2018). An empirical evaluation of generic convolutional and recurrent networks for sequence modeling. arXiv preprint arXiv:1803.01271.</w:t>
      </w:r>
      <w:r>
        <w:br/>
        <w:t xml:space="preserve"/>
      </w:r>
    </w:p>
    <w:p>
      <w:pPr>
        <w:spacing w:before="100" w:after="100"/>
        <w:jc w:val="both"/>
      </w:pPr>
      <w:r>
        <w:rPr>
          <w:rFonts w:ascii="Arial" w:cs="Arial" w:eastAsia="Arial" w:hAnsi="Arial"/>
          <w:sz w:val="24"/>
          <w:szCs w:val="24"/>
        </w:rPr>
        <w:t xml:space="preserve">Ben-David, S., Blitzer, J., Crammer, K., Kulesza, A., Pereira, F., &amp; Vaughan, J. W. (2010). A theory of learning from different domains. Machine Learning, 79(1–2), 151–175.</w:t>
      </w:r>
      <w:r>
        <w:br/>
        <w:t xml:space="preserve"/>
      </w:r>
    </w:p>
    <w:p>
      <w:pPr>
        <w:spacing w:before="100" w:after="100"/>
        <w:jc w:val="both"/>
      </w:pPr>
      <w:r>
        <w:rPr>
          <w:rFonts w:ascii="Arial" w:cs="Arial" w:eastAsia="Arial" w:hAnsi="Arial"/>
          <w:sz w:val="24"/>
          <w:szCs w:val="24"/>
        </w:rPr>
        <w:t xml:space="preserve">Chen, T. M., Huang, C. H., Shih, E. S. C., Hu, Y. F., &amp; Hwang, M. J. (2021). Detection and classification of cardiac arrhythmias by a challenge-best deep learning neural network model. iScience, 24(3), 102146.</w:t>
      </w:r>
      <w:r>
        <w:br/>
        <w:t xml:space="preserve"/>
      </w:r>
    </w:p>
    <w:p>
      <w:pPr>
        <w:spacing w:before="100" w:after="100"/>
        <w:jc w:val="both"/>
      </w:pPr>
      <w:r>
        <w:rPr>
          <w:rFonts w:ascii="Arial" w:cs="Arial" w:eastAsia="Arial" w:hAnsi="Arial"/>
          <w:sz w:val="24"/>
          <w:szCs w:val="24"/>
        </w:rPr>
        <w:t xml:space="preserve">Clifford, G. D., Liu, C., Moody, B., Lehman, L. H., Silva, I., Li, Q., Johnson, A. E. W., &amp; Mark, R. G. (2017). AF classification from a short single lead ECG recording: The PhysioNet/Computing in Cardiology Challenge 2017. Computing in Cardiology, 44, 1–4.</w:t>
      </w:r>
      <w:r>
        <w:br/>
        <w:t xml:space="preserve"/>
      </w:r>
    </w:p>
    <w:p>
      <w:pPr>
        <w:spacing w:before="100" w:after="100"/>
        <w:jc w:val="both"/>
      </w:pPr>
      <w:r>
        <w:rPr>
          <w:rFonts w:ascii="Arial" w:cs="Arial" w:eastAsia="Arial" w:hAnsi="Arial"/>
          <w:sz w:val="24"/>
          <w:szCs w:val="24"/>
        </w:rPr>
        <w:t xml:space="preserve">Drew, B. J., Califf, R. M., Bhatt, D. L., Hochman, J. S., Morrow, D. A., &amp; Newby, L. K. (2004). Practice standards for electrocardiographic monitoring in hospital settings. Circulation, 110(17), 2721–2746.</w:t>
      </w:r>
      <w:r>
        <w:br/>
        <w:t xml:space="preserve"/>
      </w:r>
    </w:p>
    <w:p>
      <w:pPr>
        <w:spacing w:before="100" w:after="100"/>
        <w:jc w:val="both"/>
      </w:pPr>
      <w:r>
        <w:rPr>
          <w:rFonts w:ascii="Arial" w:cs="Arial" w:eastAsia="Arial" w:hAnsi="Arial"/>
          <w:sz w:val="24"/>
          <w:szCs w:val="24"/>
        </w:rPr>
        <w:t xml:space="preserve">Goldberger, A. L., Amaral, L. A. N., Glass, L., Hausdorff, J. M., Ivanov, P. C., Mark, R. G., Mietus, J. E., Moody, G. B., Peng, C. K., &amp; Stanley, H. E. (2000). PhysioBank, PhysioToolkit, and PhysioNet: Components of a new research resource for complex physiologic signals. Circulation, 101(23), e215–e220.</w:t>
      </w:r>
      <w:r>
        <w:br/>
        <w:t xml:space="preserve"/>
      </w:r>
    </w:p>
    <w:p>
      <w:pPr>
        <w:spacing w:before="100" w:after="100"/>
        <w:jc w:val="both"/>
      </w:pPr>
      <w:r>
        <w:rPr>
          <w:rFonts w:ascii="Arial" w:cs="Arial" w:eastAsia="Arial" w:hAnsi="Arial"/>
          <w:sz w:val="24"/>
          <w:szCs w:val="24"/>
        </w:rPr>
        <w:t xml:space="preserve">Hannun, A. Y., Rajpurkar, P., Haghpanahi, M., Tison, G. H., Bourn, C., Turakhia, M. P., &amp; Ng, A. Y. (2019). Cardiologist-level arrhythmia detection and classification in ambulatory electrocardiograms using a deep neural network. Nature Medicine, 25(1), 65–69.</w:t>
      </w:r>
      <w:r>
        <w:br/>
        <w:t xml:space="preserve"/>
      </w:r>
    </w:p>
    <w:p>
      <w:pPr>
        <w:spacing w:before="100" w:after="100"/>
        <w:jc w:val="both"/>
      </w:pPr>
      <w:r>
        <w:rPr>
          <w:rFonts w:ascii="Arial" w:cs="Arial" w:eastAsia="Arial" w:hAnsi="Arial"/>
          <w:sz w:val="24"/>
          <w:szCs w:val="24"/>
        </w:rPr>
        <w:t xml:space="preserve">He, K., Zhang, X., Ren, S., &amp; Sun, J. (2016). Deep residual learning for image recognition. Proceedings of the IEEE Conference on Computer Vision and Pattern Recognition, 770–778.</w:t>
      </w:r>
      <w:r>
        <w:br/>
        <w:t xml:space="preserve"/>
      </w:r>
    </w:p>
    <w:p>
      <w:pPr>
        <w:spacing w:before="100" w:after="100"/>
        <w:jc w:val="both"/>
      </w:pPr>
      <w:r>
        <w:rPr>
          <w:rFonts w:ascii="Arial" w:cs="Arial" w:eastAsia="Arial" w:hAnsi="Arial"/>
          <w:sz w:val="24"/>
          <w:szCs w:val="24"/>
        </w:rPr>
        <w:t xml:space="preserve">Johnson, J. M., &amp; Khoshgoftaar, T. M. (2019). Survey on deep learning with class imbalance. Journal of Big Data, 6(1), 27.</w:t>
      </w:r>
      <w:r>
        <w:br/>
        <w:t xml:space="preserve"/>
      </w:r>
    </w:p>
    <w:p>
      <w:pPr>
        <w:spacing w:before="100" w:after="100"/>
        <w:jc w:val="both"/>
      </w:pPr>
      <w:r>
        <w:rPr>
          <w:rFonts w:ascii="Arial" w:cs="Arial" w:eastAsia="Arial" w:hAnsi="Arial"/>
          <w:sz w:val="24"/>
          <w:szCs w:val="24"/>
        </w:rPr>
        <w:t xml:space="preserve">Kligfield, P., Gettes, L. S., Bailey, J. J., Childers, R., Deal, B. J., Hancock, E. W., van Herpen, G., Kors, J. A., Macfarlane, P., Mirvis, D. M., Pahlm, O., Rautaharju, P., &amp; Wagner, G. S. (2007). Recommendations for the standardization and interpretation of the electrocardiogram. Journal of the American College of Cardiology, 49(10), 1109–1127.</w:t>
      </w:r>
      <w:r>
        <w:br/>
        <w:t xml:space="preserve"/>
      </w:r>
    </w:p>
    <w:p>
      <w:pPr>
        <w:spacing w:before="100" w:after="100"/>
        <w:jc w:val="both"/>
      </w:pPr>
      <w:r>
        <w:rPr>
          <w:rFonts w:ascii="Arial" w:cs="Arial" w:eastAsia="Arial" w:hAnsi="Arial"/>
          <w:sz w:val="24"/>
          <w:szCs w:val="24"/>
        </w:rPr>
        <w:t xml:space="preserve">Lin, T. Y., Goyal, P., Girshick, R., He, K., &amp; Dollar, P. (2017). Focal loss for dense object detection. Proceedings of the IEEE International Conference on Computer Vision, 2980–2988.</w:t>
      </w:r>
      <w:r>
        <w:br/>
        <w:t xml:space="preserve"/>
      </w:r>
    </w:p>
    <w:p>
      <w:pPr>
        <w:spacing w:before="100" w:after="100"/>
        <w:jc w:val="both"/>
      </w:pPr>
      <w:r>
        <w:rPr>
          <w:rFonts w:ascii="Arial" w:cs="Arial" w:eastAsia="Arial" w:hAnsi="Arial"/>
          <w:sz w:val="24"/>
          <w:szCs w:val="24"/>
        </w:rPr>
        <w:t xml:space="preserve">Mason, R. E., &amp; Likar, I. (1966). A new system of multiple-lead exercise electrocardiography. American Heart Journal, 71(2), 196–205.</w:t>
      </w:r>
      <w:r>
        <w:br/>
        <w:t xml:space="preserve"/>
      </w:r>
    </w:p>
    <w:p>
      <w:pPr>
        <w:spacing w:before="100" w:after="100"/>
        <w:jc w:val="both"/>
      </w:pPr>
      <w:r>
        <w:rPr>
          <w:rFonts w:ascii="Arial" w:cs="Arial" w:eastAsia="Arial" w:hAnsi="Arial"/>
          <w:sz w:val="24"/>
          <w:szCs w:val="24"/>
        </w:rPr>
        <w:t xml:space="preserve">Mousavi, S., &amp; Afghah, F. (2019). Inter- and intra-patient ECG heartbeat classification for arrhythmia detection: A sequence to sequence deep learning approach. Proceedings of ICASSP 2019, 1308–1312.</w:t>
      </w:r>
      <w:r>
        <w:br/>
        <w:t xml:space="preserve"/>
      </w:r>
    </w:p>
    <w:p>
      <w:pPr>
        <w:spacing w:before="100" w:after="100"/>
        <w:jc w:val="both"/>
      </w:pPr>
      <w:r>
        <w:rPr>
          <w:rFonts w:ascii="Arial" w:cs="Arial" w:eastAsia="Arial" w:hAnsi="Arial"/>
          <w:sz w:val="24"/>
          <w:szCs w:val="24"/>
        </w:rPr>
        <w:t xml:space="preserve">Natarajan, A., Chang, Y., Mariani, S., Rahman, A., Boverman, G., Vij, S., &amp; Rubin, J. (2020). A wide and deep transformer neural network for 12-lead ECG classification. Computing in Cardiology, 47, 1–4.</w:t>
      </w:r>
      <w:r>
        <w:br/>
        <w:t xml:space="preserve"/>
      </w:r>
    </w:p>
    <w:p>
      <w:pPr>
        <w:spacing w:before="100" w:after="100"/>
        <w:jc w:val="both"/>
      </w:pPr>
      <w:r>
        <w:rPr>
          <w:rFonts w:ascii="Arial" w:cs="Arial" w:eastAsia="Arial" w:hAnsi="Arial"/>
          <w:sz w:val="24"/>
          <w:szCs w:val="24"/>
        </w:rPr>
        <w:t xml:space="preserve">Pyakillya, B., Kazachenko, N., &amp; Mikhailovsky, N. (2017). Deep learning for ECG classification. Journal of Physics: Conference Series, 913, 012004.</w:t>
      </w:r>
      <w:r>
        <w:br/>
        <w:t xml:space="preserve"/>
      </w:r>
    </w:p>
    <w:p>
      <w:pPr>
        <w:spacing w:before="100" w:after="100"/>
        <w:jc w:val="both"/>
      </w:pPr>
      <w:r>
        <w:rPr>
          <w:rFonts w:ascii="Arial" w:cs="Arial" w:eastAsia="Arial" w:hAnsi="Arial"/>
          <w:sz w:val="24"/>
          <w:szCs w:val="24"/>
        </w:rPr>
        <w:t xml:space="preserve">Raghu, M., Zhang, C., Kleinberg, J., &amp; Bengio, S. (2019). Transfusion: Understanding transfer learning for medical imaging. Advances in Neural Information Processing Systems, 32, 3347–3357.</w:t>
      </w:r>
      <w:r>
        <w:br/>
        <w:t xml:space="preserve"/>
      </w:r>
    </w:p>
    <w:p>
      <w:pPr>
        <w:spacing w:before="100" w:after="100"/>
        <w:jc w:val="both"/>
      </w:pPr>
      <w:r>
        <w:rPr>
          <w:rFonts w:ascii="Arial" w:cs="Arial" w:eastAsia="Arial" w:hAnsi="Arial"/>
          <w:sz w:val="24"/>
          <w:szCs w:val="24"/>
        </w:rPr>
        <w:t xml:space="preserve">Ribeiro, A. H., Ribeiro, M. H., Paixão, G. M. M., Oliveira, D. M., Gomes, P. R., Canazart, J. A., Ferreira, M. P. S., Andersson, C. R., Macfarlane, P. W., Meira, W., Schön, T. B., &amp; Ribeiro, A. L. P. (2020). Automatic diagnosis of the 12-lead ECG using a deep neural network. Nature Communications, 11(1), 1760.</w:t>
      </w:r>
      <w:r>
        <w:br/>
        <w:t xml:space="preserve"/>
      </w:r>
    </w:p>
    <w:p>
      <w:pPr>
        <w:spacing w:before="100" w:after="100"/>
        <w:jc w:val="both"/>
      </w:pPr>
      <w:r>
        <w:rPr>
          <w:rFonts w:ascii="Arial" w:cs="Arial" w:eastAsia="Arial" w:hAnsi="Arial"/>
          <w:sz w:val="24"/>
          <w:szCs w:val="24"/>
        </w:rPr>
        <w:t xml:space="preserve">Srivastava, N., Hinton, G., Krizhevsky, A., Sutskever, I., &amp; Salakhutdinov, R. (2014). Dropout: A simple way to prevent neural networks from overfitting. Journal of Machine Learning Research, 15(1), 1929–1958.</w:t>
      </w:r>
      <w:r>
        <w:br/>
        <w:t xml:space="preserve"/>
      </w:r>
    </w:p>
    <w:p>
      <w:pPr>
        <w:spacing w:before="100" w:after="100"/>
        <w:jc w:val="both"/>
      </w:pPr>
      <w:r>
        <w:rPr>
          <w:rFonts w:ascii="Arial" w:cs="Arial" w:eastAsia="Arial" w:hAnsi="Arial"/>
          <w:sz w:val="24"/>
          <w:szCs w:val="24"/>
        </w:rPr>
        <w:t xml:space="preserve">Strodthoff, N., Wagner, P., Schaeffter, T., &amp; Samek, W. (2021). Deep learning for ECG analysis: Benchmarks and insights from PTB-XL. IEEE Journal of Biomedical and Health Informatics, 25(5), 1519–1528.</w:t>
      </w:r>
      <w:r>
        <w:br/>
        <w:t xml:space="preserve"/>
      </w:r>
    </w:p>
    <w:p>
      <w:pPr>
        <w:spacing w:before="100" w:after="100"/>
        <w:jc w:val="both"/>
      </w:pPr>
      <w:r>
        <w:rPr>
          <w:rFonts w:ascii="Arial" w:cs="Arial" w:eastAsia="Arial" w:hAnsi="Arial"/>
          <w:sz w:val="24"/>
          <w:szCs w:val="24"/>
        </w:rPr>
        <w:t xml:space="preserve">Wagner, P., Strodthoff, N., Bousseljot, R. D., Kreiseler, D., Lunze, F. I., Samek, W., &amp; Schaeffter, T. (2020). PTB-XL, a large publicly available electrocardiography dataset. Scientific Data, 7(1), 154.</w:t>
      </w:r>
      <w:r>
        <w:br/>
        <w:t xml:space="preserve"/>
      </w:r>
    </w:p>
    <w:p>
      <w:pPr>
        <w:spacing w:before="100" w:after="100"/>
        <w:jc w:val="both"/>
      </w:pPr>
      <w:r>
        <w:rPr>
          <w:rFonts w:ascii="Arial" w:cs="Arial" w:eastAsia="Arial" w:hAnsi="Arial"/>
          <w:sz w:val="24"/>
          <w:szCs w:val="24"/>
        </w:rPr>
        <w:t xml:space="preserve">Zheng, J., Deng, H., Guo, W., Zhao, Z., Wei, Z., Zhao, T., He, J., Zhou, Y., Ding, Y., Zheng, H., Li, H., Li, J., Li, X., Xue, J., Feng, T., Liu, H., Liang, B., Wen, S., &amp; Zhao, J. (2020). Optimal multi-stage arrhythmia classification approach. Scientific Reports, 10(1), 2898.</w:t>
      </w:r>
      <w:r>
        <w:br/>
        <w:t xml:space="preserve"/>
      </w:r>
    </w:p>
    <w:p>
      <w:pPr>
        <w:spacing w:before="100" w:after="100"/>
        <w:jc w:val="both"/>
      </w:pPr>
      <w:r>
        <w:rPr>
          <w:rFonts w:ascii="Arial" w:cs="Arial" w:eastAsia="Arial" w:hAnsi="Arial"/>
          <w:sz w:val="24"/>
          <w:szCs w:val="24"/>
        </w:rPr>
        <w:t xml:space="preserve">Chen, M., Hao, Y., Hwang, K., Wang, L., &amp; Wang, L. (2017). Disease prediction by machine learning over big data from healthcare communities. IEEE Access, 5, 8869–8879.</w:t>
      </w:r>
      <w:r>
        <w:br/>
        <w:t xml:space="preserve"/>
      </w:r>
    </w:p>
    <w:p>
      <w:pPr>
        <w:spacing w:before="100" w:after="100"/>
        <w:jc w:val="both"/>
      </w:pPr>
      <w:r>
        <w:rPr>
          <w:rFonts w:ascii="Arial" w:cs="Arial" w:eastAsia="Arial" w:hAnsi="Arial"/>
          <w:sz w:val="24"/>
          <w:szCs w:val="24"/>
        </w:rPr>
        <w:t xml:space="preserve">Clifford, G. D., &amp; Tarassenko, L. (2005). Quantifying errors in spectral estimates of HRV due to beat replacement and resampling. IEEE Transactions on Biomedical Engineering, 52(4), 630–638.</w:t>
      </w:r>
      <w:r>
        <w:br/>
        <w:t xml:space="preserve"/>
      </w:r>
    </w:p>
    <w:p>
      <w:pPr>
        <w:spacing w:before="100" w:after="100"/>
        <w:jc w:val="both"/>
      </w:pPr>
      <w:r>
        <w:rPr>
          <w:rFonts w:ascii="Arial" w:cs="Arial" w:eastAsia="Arial" w:hAnsi="Arial"/>
          <w:sz w:val="24"/>
          <w:szCs w:val="24"/>
        </w:rPr>
        <w:t xml:space="preserve">Reyna, M. A., Alday, E. A. P., Gu, A., Shah, A. J., Robichaux, C., Rad, A. B., Elola, A., Seyedi, S., Li, Q., Sharma, A., &amp; Clifford, G. D. (2021). Issues in the automated classification of multilead ECGs using heterogeneous labels and populations. Physiological Measurement, 43(8), 084001.</w:t>
      </w:r>
      <w:r>
        <w:br/>
        <w:t xml:space="preserve"/>
      </w:r>
    </w:p>
    <w:p>
      <w:pPr>
        <w:spacing w:before="100" w:after="100"/>
        <w:jc w:val="both"/>
      </w:pPr>
      <w:r>
        <w:rPr>
          <w:rFonts w:ascii="Arial" w:cs="Arial" w:eastAsia="Arial" w:hAnsi="Arial"/>
          <w:sz w:val="24"/>
          <w:szCs w:val="24"/>
        </w:rPr>
        <w:t xml:space="preserve">Attia, Z. I., Kapa, S., Lopez-Jimenez, F., McKie, P. M., Ladewig, D. J., Satam, G., Pellikka, P. A., Enriquez-Sarano, M., Noseworthy, P. A., Munger, T. M., Asirvatham, S. J., Scott, C. G., Carter, R. E., &amp; Friedman, P. A. (2019). Screening for cardiac contractile dysfunction using an artificial intelligence-enabled electrocardiogram. Nature Medicine, 25(1), 70–74.</w:t>
      </w:r>
      <w:r>
        <w:b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ECG Cross-Dataset Generalization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D737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2026-03-08T16:04:40.425Z</dcterms:created>
  <dcterms:modified xsi:type="dcterms:W3CDTF">2026-03-08T16:04:40.426Z</dcterms:modified>
</cp:coreProperties>
</file>

<file path=docProps/custom.xml><?xml version="1.0" encoding="utf-8"?>
<Properties xmlns="http://schemas.openxmlformats.org/officeDocument/2006/custom-properties" xmlns:vt="http://schemas.openxmlformats.org/officeDocument/2006/docPropsVTypes"/>
</file>