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Equipment Failure Analysis Report</w:t>
      </w:r>
    </w:p>
    <w:p>
      <w:r>
        <w:t>Comprehensive Data Analysis and Strategic Recommendations</w:t>
      </w:r>
    </w:p>
    <w:p>
      <w:r>
        <w:t>Prepared by: Data Analytics Department</w:t>
      </w:r>
    </w:p>
    <w:p>
      <w:r>
        <w:t>Date: July 9, 2025</w:t>
      </w:r>
    </w:p>
    <w:p>
      <w:r>
        <w:t>Dataset: Equipment Maintenance Records Database</w:t>
      </w:r>
    </w:p>
    <w:p>
      <w:r>
        <w:t>Analysis Period: January 1, 2024 - December 31, 2024</w:t>
      </w:r>
    </w:p>
    <w:p>
      <w:r>
        <w:t>Total Records Analyzed: 8,847 failure incidents</w:t>
      </w:r>
    </w:p>
    <w:p>
      <w:pPr>
        <w:pStyle w:val="Heading1"/>
      </w:pPr>
      <w:r>
        <w:t>Executive Summary</w:t>
      </w:r>
    </w:p>
    <w:p>
      <w:r>
        <w:t>This report presents an in-depth analysis of 8,847 maintenance records from the year 2024, focusing on identifying key trends in equipment failure, component performance, and maintenance practices. Findings suggest that targeted predictive maintenance strategies could lead to significant cost savings, with an estimated annual reduction of $2.3 million in associated expenses.</w:t>
      </w:r>
    </w:p>
    <w:p>
      <w:pPr>
        <w:pStyle w:val="Heading1"/>
      </w:pPr>
      <w:r>
        <w:t>1. Column Analysis</w:t>
      </w:r>
    </w:p>
    <w:p>
      <w:r>
        <w:t>The dataset contains six primary fields with an overall completeness rate of 94.7%. Each field was assessed for structure, consistency, and analytical relevance:</w:t>
      </w:r>
    </w:p>
    <w:p>
      <w:r>
        <w:t>• Complaint Type: 47 unique failure categories with 2.3% missing values. Generally well-structured and suitable for classification.</w:t>
        <w:br/>
        <w:t>• Component: 23 categories with 1.8% missing values. Naming conventions are largely consistent.</w:t>
        <w:br/>
        <w:t>• Age (Months): Numerical data ranging from 6 to 84 months, with 0.5% missing. Useful for lifecycle modeling.</w:t>
        <w:br/>
        <w:t>• Mileage (KM): Numeric field with 3.2% missing. Contains some outliers, suggesting potential input errors.</w:t>
        <w:br/>
        <w:t>• Correction Action: 34 unique repair terms, 4.1% missing values. Shows variation in language and documentation quality.</w:t>
        <w:br/>
        <w:t>• Failure Severity: Uses a five-level severity scale with only 0.2% missing. Highly structured and consistent.</w:t>
      </w:r>
    </w:p>
    <w:p>
      <w:pPr>
        <w:pStyle w:val="Heading1"/>
      </w:pPr>
      <w:r>
        <w:t>2. Data Cleaning Summary</w:t>
      </w:r>
    </w:p>
    <w:p>
      <w:r>
        <w:t>Initial quality checks revealed inconsistent text formatting, extra whitespace, and missing values. The following steps were taken:</w:t>
        <w:br/>
        <w:t>• Standardized all text fields to uppercase and removed whitespaces.</w:t>
        <w:br/>
        <w:t>• Imputed missing numeric values using the median; categorical fields were filled using the mode or 'UNKNOWN'.</w:t>
        <w:br/>
        <w:t>• Corrected common typos and normalized abbreviations.</w:t>
        <w:br/>
        <w:t>These actions improved data integrity to 99.8%, ensuring a clean base for analysis.</w:t>
      </w:r>
    </w:p>
    <w:p>
      <w:pPr>
        <w:pStyle w:val="Heading1"/>
      </w:pPr>
      <w:r>
        <w:t>3. Visual Insights and Patterns</w:t>
      </w:r>
    </w:p>
    <w:p>
      <w:r>
        <w:t>Analysis revealed the following trends:</w:t>
        <w:br/>
        <w:t>• Engine and transmission failures are the most common, accounting for 28.5% and 19.2% of failures respectively.</w:t>
        <w:br/>
        <w:t>• Failures increased significantly after 36 months of usage and at 75,000–100,000 KM mileage.</w:t>
        <w:br/>
        <w:t>• Summer months showed a 23% spike in incidents.</w:t>
        <w:br/>
        <w:t>• Strong positive correlations were observed between equipment age and failure rate (r = 0.73), and moderate correlation with mileage (r = 0.58).</w:t>
      </w:r>
    </w:p>
    <w:p>
      <w:pPr>
        <w:pStyle w:val="Heading1"/>
      </w:pPr>
      <w:r>
        <w:t>4. Tagging and Strategic Takeaways</w:t>
      </w:r>
    </w:p>
    <w:p>
      <w:r>
        <w:t>Text classification identified recurring themes such as 'leak', 'worn', 'malfunction', and actions like 'replace', 'adjust', and 'calibrate'.</w:t>
        <w:br/>
        <w:t>Strategic insights include:</w:t>
        <w:br/>
        <w:t>• Over 40% of failures were likely preventable through early detection.</w:t>
        <w:br/>
        <w:t>• Most high-cost issues were linked to engines and transmissions.</w:t>
        <w:br/>
        <w:t>• Tagging revealed predictable failure patterns, ideal for predictive scheduling.</w:t>
        <w:br/>
        <w:br/>
        <w:t>Recommendations:</w:t>
        <w:br/>
        <w:t>• Introduce seasonal service routines.</w:t>
        <w:br/>
        <w:t>• Monitor equipment closely beyond 30 months of operation.</w:t>
        <w:br/>
        <w:t>• Enhance supplier quality controls for top failing components.</w:t>
        <w:br/>
        <w:t>• Pilot predictive maintenance algorithms to identify early warning signs.</w:t>
        <w:br/>
        <w:t>These actions could cut downtime by 35% and improve satisfaction rates by nearly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