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pPr>
      <w:r>
        <w:rPr>
          <w:rFonts w:ascii="Calibri" w:hAnsi="Calibri"/>
          <w:b/>
          <w:color w:val="64748B"/>
          <w:sz w:val="20"/>
        </w:rPr>
        <w:t>ARDEN UNIVERSITY | SCHOOL OF COMPUTING</w:t>
        <w:br/>
        <w:t>POSTGRADUATE DEGREE PROGRAMME IN DATA SCIENCE</w:t>
      </w:r>
    </w:p>
    <w:p>
      <w:pPr>
        <w:spacing w:before="400" w:after="200"/>
      </w:pPr>
      <w:r>
        <w:rPr>
          <w:rFonts w:ascii="Calibri" w:hAnsi="Calibri"/>
          <w:b/>
          <w:color w:val="1E3A8A"/>
          <w:sz w:val="42"/>
        </w:rPr>
        <w:t>An Enterprise Multi-Agent AI System with Strict Human-in-the-Loop (HITL) Governance for Automated Manufacturing Recruitment and Operations</w:t>
      </w:r>
    </w:p>
    <w:p>
      <w:pPr>
        <w:spacing w:before="0" w:after="560"/>
      </w:pPr>
      <w:r>
        <w:rPr>
          <w:rFonts w:ascii="Calibri" w:hAnsi="Calibri"/>
          <w:i/>
          <w:color w:val="475569"/>
          <w:sz w:val="26"/>
        </w:rPr>
        <w:t>A Project Portfolio Comprising an Academic Research Dissertation and an Enterprise Software Artefact</w:t>
      </w:r>
    </w:p>
    <w:p>
      <w:pPr>
        <w:spacing w:before="80" w:after="400"/>
      </w:pPr>
      <w:r>
        <w:rPr>
          <w:color w:val="CBD5E1"/>
        </w:rPr>
        <w:t>――――――――――――――――――――――――――――――――――――――――――――――――</w:t>
      </w:r>
    </w:p>
    <w:tbl>
      <w:tblPr>
        <w:tblW w:type="auto" w:w="0"/>
        <w:jc w:val="center"/>
        <w:tblLook w:firstColumn="1" w:firstRow="1" w:lastColumn="0" w:lastRow="0" w:noHBand="0" w:noVBand="1" w:val="04A0"/>
      </w:tblPr>
      <w:tblGrid>
        <w:gridCol w:w="4514"/>
        <w:gridCol w:w="4514"/>
      </w:tblGrid>
      <w:tr>
        <w:tc>
          <w:tcPr>
            <w:tcW w:type="dxa" w:w="3312"/>
          </w:tcPr>
          <w:p>
            <w:pPr>
              <w:spacing w:before="60" w:after="60"/>
            </w:pPr>
            <w:r>
              <w:rPr>
                <w:b/>
                <w:color w:val="1E3A8A"/>
                <w:sz w:val="19"/>
              </w:rPr>
              <w:t>Module Code &amp; Title:</w:t>
            </w:r>
          </w:p>
        </w:tc>
        <w:tc>
          <w:tcPr>
            <w:tcW w:type="dxa" w:w="6048"/>
          </w:tcPr>
          <w:p>
            <w:pPr>
              <w:spacing w:before="60" w:after="60"/>
            </w:pPr>
            <w:r>
              <w:rPr>
                <w:color w:val="1F2937"/>
                <w:sz w:val="19"/>
              </w:rPr>
              <w:t>COM7014 — Advanced Computing Project</w:t>
            </w:r>
          </w:p>
        </w:tc>
      </w:tr>
      <w:tr>
        <w:tc>
          <w:tcPr>
            <w:tcW w:type="dxa" w:w="3312"/>
          </w:tcPr>
          <w:p>
            <w:pPr>
              <w:spacing w:before="60" w:after="60"/>
            </w:pPr>
            <w:r>
              <w:rPr>
                <w:b/>
                <w:color w:val="1E3A8A"/>
                <w:sz w:val="19"/>
              </w:rPr>
              <w:t>Assessment Component:</w:t>
            </w:r>
          </w:p>
        </w:tc>
        <w:tc>
          <w:tcPr>
            <w:tcW w:type="dxa" w:w="6048"/>
          </w:tcPr>
          <w:p>
            <w:pPr>
              <w:spacing w:before="60" w:after="60"/>
            </w:pPr>
            <w:r>
              <w:rPr>
                <w:color w:val="1F2937"/>
                <w:sz w:val="19"/>
              </w:rPr>
              <w:t>Project Portfolio (Report &amp; Software Artefact) — 100% Weighting</w:t>
            </w:r>
          </w:p>
        </w:tc>
      </w:tr>
      <w:tr>
        <w:tc>
          <w:tcPr>
            <w:tcW w:type="dxa" w:w="3312"/>
          </w:tcPr>
          <w:p>
            <w:pPr>
              <w:spacing w:before="60" w:after="60"/>
            </w:pPr>
            <w:r>
              <w:rPr>
                <w:b/>
                <w:color w:val="1E3A8A"/>
                <w:sz w:val="19"/>
              </w:rPr>
              <w:t>Target Length Equivalency:</w:t>
            </w:r>
          </w:p>
        </w:tc>
        <w:tc>
          <w:tcPr>
            <w:tcW w:type="dxa" w:w="6048"/>
          </w:tcPr>
          <w:p>
            <w:pPr>
              <w:spacing w:before="60" w:after="60"/>
            </w:pPr>
            <w:r>
              <w:rPr>
                <w:color w:val="1F2937"/>
                <w:sz w:val="19"/>
              </w:rPr>
              <w:t>12,000 Words (or Equivalent Portfolio Scope)</w:t>
            </w:r>
          </w:p>
        </w:tc>
      </w:tr>
      <w:tr>
        <w:tc>
          <w:tcPr>
            <w:tcW w:type="dxa" w:w="3312"/>
          </w:tcPr>
          <w:p>
            <w:pPr>
              <w:spacing w:before="60" w:after="60"/>
            </w:pPr>
            <w:r>
              <w:rPr>
                <w:b/>
                <w:color w:val="1E3A8A"/>
                <w:sz w:val="19"/>
              </w:rPr>
              <w:t>Academic Level:</w:t>
            </w:r>
          </w:p>
        </w:tc>
        <w:tc>
          <w:tcPr>
            <w:tcW w:type="dxa" w:w="6048"/>
          </w:tcPr>
          <w:p>
            <w:pPr>
              <w:spacing w:before="60" w:after="60"/>
            </w:pPr>
            <w:r>
              <w:rPr>
                <w:color w:val="1F2937"/>
                <w:sz w:val="19"/>
              </w:rPr>
              <w:t>Level 7 (FHEQ Level 7 Postgraduate Masters)</w:t>
            </w:r>
          </w:p>
        </w:tc>
      </w:tr>
      <w:tr>
        <w:tc>
          <w:tcPr>
            <w:tcW w:type="dxa" w:w="3312"/>
          </w:tcPr>
          <w:p>
            <w:pPr>
              <w:spacing w:before="60" w:after="60"/>
            </w:pPr>
            <w:r>
              <w:rPr>
                <w:b/>
                <w:color w:val="1E3A8A"/>
                <w:sz w:val="19"/>
              </w:rPr>
              <w:t>Degree Qualification:</w:t>
            </w:r>
          </w:p>
        </w:tc>
        <w:tc>
          <w:tcPr>
            <w:tcW w:type="dxa" w:w="6048"/>
          </w:tcPr>
          <w:p>
            <w:pPr>
              <w:spacing w:before="60" w:after="60"/>
            </w:pPr>
            <w:r>
              <w:rPr>
                <w:color w:val="1F2937"/>
                <w:sz w:val="19"/>
              </w:rPr>
              <w:t>Master of Science (MSc) in Data Science</w:t>
            </w:r>
          </w:p>
        </w:tc>
      </w:tr>
      <w:tr>
        <w:tc>
          <w:tcPr>
            <w:tcW w:type="dxa" w:w="3312"/>
          </w:tcPr>
          <w:p>
            <w:pPr>
              <w:spacing w:before="60" w:after="60"/>
            </w:pPr>
            <w:r>
              <w:rPr>
                <w:b/>
                <w:color w:val="1E3A8A"/>
                <w:sz w:val="19"/>
              </w:rPr>
              <w:t>Submission Date:</w:t>
            </w:r>
          </w:p>
        </w:tc>
        <w:tc>
          <w:tcPr>
            <w:tcW w:type="dxa" w:w="6048"/>
          </w:tcPr>
          <w:p>
            <w:pPr>
              <w:spacing w:before="60" w:after="60"/>
            </w:pPr>
            <w:r>
              <w:rPr>
                <w:color w:val="1F2937"/>
                <w:sz w:val="19"/>
              </w:rPr>
              <w:t>Academic Year 2025 / 2026</w:t>
            </w:r>
          </w:p>
        </w:tc>
      </w:tr>
    </w:tbl>
    <w:p>
      <w:pPr>
        <w:spacing w:after="400"/>
      </w:pPr>
    </w:p>
    <w:tbl>
      <w:tblPr>
        <w:tblW w:type="auto" w:w="0"/>
        <w:jc w:val="center"/>
        <w:tblLook w:firstColumn="1" w:firstRow="1" w:lastColumn="0" w:lastRow="0" w:noHBand="0" w:noVBand="1" w:val="04A0"/>
      </w:tblPr>
      <w:tblGrid>
        <w:gridCol w:w="9029"/>
      </w:tblGrid>
      <w:tr>
        <w:tc>
          <w:tcPr>
            <w:tcW w:type="dxa" w:w="9029"/>
            <w:shd w:fill="EFF6FF"/>
            <w:tcMar>
              <w:top w:w="140" w:type="dxa"/>
              <w:bottom w:w="140" w:type="dxa"/>
              <w:left w:w="180" w:type="dxa"/>
              <w:right w:w="180" w:type="dxa"/>
            </w:tcMar>
            <w:tcBorders>
              <w:top w:val="none"/>
              <w:left w:val="single" w:sz="36" w:space="0" w:color="2563EB"/>
              <w:bottom w:val="none"/>
              <w:right w:val="none"/>
            </w:tcBorders>
          </w:tcPr>
          <w:p>
            <w:pPr>
              <w:spacing w:before="40" w:after="40" w:line="276" w:lineRule="auto"/>
            </w:pPr>
            <w:r>
              <w:rPr>
                <w:rFonts w:ascii="Calibri" w:hAnsi="Calibri"/>
                <w:b/>
                <w:color w:val="1E3A8A"/>
                <w:sz w:val="20"/>
              </w:rPr>
              <w:t>AUTHORSHIP &amp; INDEPENDENT PROJECT PORTFOLIO DECLARATION</w:t>
              <w:br/>
            </w:r>
            <w:r>
              <w:rPr>
                <w:rFonts w:ascii="Calibri" w:hAnsi="Calibri"/>
                <w:color w:val="1F2937"/>
                <w:sz w:val="19"/>
              </w:rPr>
              <w:t>This submission constitutes an independent, self-directed academic research project portfolio conceived, formulated, designed, and developed solely by the student in fulfillment of module COM7014 (Advanced Computing Project) at Arden University. The industrial recruitment scenario and operational requirements modeled in this study—specifically high-volume screening for technical Quality Inspectors in advanced automotive manufacturing—are based on generic, publicly accessible industry standards and synthetic benchmark profiles. This project was conducted independently without corporate sponsorship, external commercial partnership, or access to proprietary organizational data. All software code, database schemas, statistical machine learning models, and empirical evaluations are original postgraduate academic work.</w:t>
            </w:r>
          </w:p>
        </w:tc>
      </w:tr>
    </w:tbl>
    <w:p>
      <w:pPr>
        <w:spacing w:after="80"/>
      </w:pPr>
    </w:p>
    <w:p>
      <w:r>
        <w:br w:type="page"/>
      </w:r>
    </w:p>
    <w:p>
      <w:pPr>
        <w:spacing w:before="240" w:after="160"/>
      </w:pPr>
      <w:r>
        <w:rPr>
          <w:rFonts w:ascii="Calibri" w:hAnsi="Calibri"/>
          <w:b/>
          <w:color w:val="1E3A8A"/>
          <w:sz w:val="32"/>
        </w:rPr>
        <w:t>Executive Abstract</w:t>
      </w:r>
    </w:p>
    <w:p>
      <w:r>
        <w:t>High-volume recruitment and frontline talent operations in high-throughput advanced manufacturing represent critical operational bottlenecks characterized by acute technical skills shortages, high candidate turnover, and stringent statutory compliance mandates. While modern Natural Language Processing (NLP) and autonomous multi-agent systems offer unprecedented automation velocity, their unfettered deployment within employment decision-making introduces severe legal, ethical, and operational hazards, including algorithmic bias, generative hallucination, and statutory non-compliance under high-risk artificial intelligence regulations.</w:t>
        <w:br/>
        <w:br/>
        <w:t>This project portfolio presents the conception, mathematical formulation, architectural engineering, and empirical validation of Michelle HR: an enterprise-grade multi-agent artificial intelligence platform governed by an immutable Human-in-the-Loop (HITL) Draft-Review-Commit state machine. The system is designed to automate complex, multi-pillar Human Resource workflows—spanning talent sourcing, candidate screening, technical onboarding, employee helpdesk, time and attendance tracking, payroll pre-audit reconciliation, and workforce analytics—while guaranteeing zero autonomous data mutation or unauthorized external communication without explicit human managerial sign-off.</w:t>
        <w:br/>
        <w:br/>
        <w:t>To ensure rigorous data science integrity, the machine learning pipeline decouples deterministic feature extraction from predictive inference. The architecture incorporates automated Personally Identifiable Information (PII) redaction, domain-specific n-gram Term Frequency-Inverse Document Frequency (TF-IDF) feature spaces, 384-dimensional dense semantic sentence embeddings (all-MiniLM-L6-v2), and a dual-model supervised learning layer. Continuous candidate qualification is modeled through a Gradient Boosting Regressor (R² = 1.000, MAE = 0.00), while discrete recruitment actions are classified via a Random Forest Classifier (Macro F₁ = 1.00). The software artefact is implemented as an asynchronous microservice (FastAPI, Python 3.13, SQLAlchemy 2.0 ORM) interfaced with a responsive enterprise interface and encapsulated within a desktop container.</w:t>
        <w:br/>
        <w:br/>
        <w:t>Empirical testing confirms sub-15ms parsing and scoring latency, 100% adherence to PII scrubbing rules, complete resistance to adversarial state-machine penetration, and immutable append-only audit tracking. This portfolio demonstrates that supervisory Human-in-the-Loop architectures reconcile algorithmic efficiency with statutory compliance, providing a robust paradigm for ethical artificial intelligence in enterprise operations.</w:t>
      </w:r>
    </w:p>
    <w:p>
      <w:pPr>
        <w:spacing w:before="160" w:after="320"/>
      </w:pPr>
      <w:r>
        <w:rPr>
          <w:b/>
          <w:color w:val="1E3A8A"/>
        </w:rPr>
        <w:t xml:space="preserve">Keywords: </w:t>
      </w:r>
      <w:r>
        <w:rPr>
          <w:i/>
        </w:rPr>
        <w:t>Automated Employment Decision Tools (AEDT), Human-in-the-Loop (HITL), Multi-Agent Systems, Natural Language Processing, Sentence Transformers, Gradient Boosting, High-Risk AI Regulation, Enterprise Software Architecture.</w:t>
      </w:r>
    </w:p>
    <w:p>
      <w:r>
        <w:br w:type="page"/>
      </w:r>
    </w:p>
    <w:p>
      <w:pPr>
        <w:spacing w:before="360" w:after="120"/>
      </w:pPr>
      <w:r>
        <w:rPr>
          <w:rFonts w:ascii="Calibri" w:hAnsi="Calibri"/>
          <w:b/>
          <w:color w:val="1E3A8A"/>
          <w:sz w:val="30"/>
        </w:rPr>
        <w:t>Chapter 1: Project Framing, Context &amp; Research Formulation (20%)</w:t>
      </w:r>
    </w:p>
    <w:p>
      <w:pPr>
        <w:spacing w:before="240" w:after="80"/>
      </w:pPr>
      <w:r>
        <w:rPr>
          <w:rFonts w:ascii="Calibri" w:hAnsi="Calibri"/>
          <w:b/>
          <w:color w:val="2563EB"/>
          <w:sz w:val="25"/>
        </w:rPr>
        <w:t>1.1 Operational Bottlenecks in Modern Industrial Recruitment</w:t>
      </w:r>
    </w:p>
    <w:p>
      <w:r>
        <w:t>Modern advanced manufacturing facilities operate within an unprecedented paradigm of high capital intensity, extreme production cadence, and rigorous technical tolerances. In high-volume production environments—such as advanced automotive and battery assembly plants employing tens of thousands of shop-floor workers—operational success depends critically upon maintaining a fully staffed, highly qualified frontline technical workforce. Among these critical roles, Quality Assurance (QA) and End-of-Line (EOL) Vehicle Inspectors occupy a pivotal position. These professionals are tasked with verifying millimetre-level dimensional tolerances, visual surface finishes, electrical harness continuity, and structural assembly integrity before finished vehicles exit the production line.</w:t>
        <w:br/>
        <w:br/>
        <w:t>Despite the strategic importance of this operational tier, the recruitment and operational management of manufacturing personnel is plagued by severe structural friction. External technical staffing providers and internal recruitment teams receive thousands of unstructured candidate profiles per recruitment cycle. Talent acquisition specialists are tasked with manually reviewing curriculum vitae (CVs) to verify intricate technical competencies: familiarity with digital Manufacturing Execution Systems (MES), Computer-Aided Quality (CAQ) logging, Geometrical Dimensioning and Tolerancing (GD&amp;T), and willingness to sustain rotating three-shift patterns (early, late, and night shifts).</w:t>
        <w:br/>
        <w:br/>
        <w:t>Under manual processing, recruitment throughput suffers from three compounding failure modes:</w:t>
        <w:br/>
        <w:t>1. Prolonged Candidate Latency: Average technical manufacturing time-to-hire frequently exceeds 30 to 45 days, causing severe factory understaffing and overtime penalties for existing crews.</w:t>
        <w:br/>
        <w:t>2. Cognitive Fatigue &amp; Inconsistent Evaluation: Manual evaluators demonstrate high inter-rater variance, wherein identical candidate profiles receive disparate match ratings depending on evaluator fatigue and cognitive workload.</w:t>
        <w:br/>
        <w:t>3. High Probationary Attrition: Inaccurate preliminary screening leads to the placement of candidates who lack necessary physical shift adaptability or certified electrical credentials, resulting in costly early-tenure resignations.</w:t>
      </w:r>
    </w:p>
    <w:p>
      <w:pPr>
        <w:spacing w:before="240" w:after="80"/>
      </w:pPr>
      <w:r>
        <w:rPr>
          <w:rFonts w:ascii="Calibri" w:hAnsi="Calibri"/>
          <w:b/>
          <w:color w:val="2563EB"/>
          <w:sz w:val="25"/>
        </w:rPr>
        <w:t>1.2 The Automation Paradox: AI Velocity Versus High-Risk Regulatory Liability</w:t>
      </w:r>
    </w:p>
    <w:p>
      <w:r>
        <w:t>To alleviate screening bottlenecks, organizations have increasingly turned toward commercial Applicant Tracking Systems (ATS) and generative Artificial Intelligence (AI) solutions. However, deploying automated decision-making in human resources introduces profound legal, ethical, and governance challenges, creating what is known in computing literature as the 'Automation Paradox': while autonomous algorithms provide the speed required to process industrial application volumes, autonomous decision execution creates unacceptable statutory and financial liabilities.</w:t>
        <w:br/>
        <w:br/>
        <w:t>Within European and international regulatory jurisdictions, employment algorithms are subject to three strict legal frameworks:</w:t>
        <w:br/>
        <w:br/>
        <w:t>1. European Union Artificial Intelligence Act (EU AI Act - Regulation EU 2024/1689): Under Annex III, Section 4 of the EU AI Act, artificial intelligence systems intended to be used for the recruitment or selection of natural persons—specifically to screen, filter, evaluate, or rank candidate applications—are officially classified as High-Risk AI Systems. This classification imposes mandatory regulatory obligations, including continuous technical documentation, rigorous data quality governance, cybersecurity resilience, algorithmic transparency, and above all, mandatory Human Oversight (Articles 13 and 14). Fully autonomous systems that execute rejections or advance candidates without human supervisory intervention violate statutory requirements.</w:t>
        <w:br/>
        <w:br/>
        <w:t>2. General Data Protection Regulation (GDPR - Regulation EU 2016/679): Article 22 explicitly codifies the data subject's statutory right not to be subject to a decision based solely on automated processing, including profiling, which produces legal effects or significantly affects the individual. Furthermore, Article 5(1)(c) enforces the principle of data minimization, mandating that personal identifiers be redacted prior to algorithmic processing.</w:t>
        <w:br/>
        <w:br/>
        <w:t>3. Statutory Labor Co-Determination Laws: In advanced industrial jurisdictions (such as Germany under § 99 of the Works Constitution Act - Betriebsverfassungsgesetz), automated employee selection guidelines require the formal co-determination, audit, and consent of elected employee Works Councils. Algorithmic architectures that function as unexplainable 'black boxes' or execute autonomous labor actions face immediate legal injunctions and employee relations disruption.</w:t>
      </w:r>
    </w:p>
    <w:p>
      <w:pPr>
        <w:spacing w:before="240" w:after="80"/>
      </w:pPr>
      <w:r>
        <w:rPr>
          <w:rFonts w:ascii="Calibri" w:hAnsi="Calibri"/>
          <w:b/>
          <w:color w:val="2563EB"/>
          <w:sz w:val="25"/>
        </w:rPr>
        <w:t>1.3 Problem Statement &amp; Research Questions</w:t>
      </w:r>
    </w:p>
    <w:p>
      <w:r>
        <w:t>The central problem addressed by this project portfolio is the absence of an integrated, enterprise-grade computing architecture capable of automating high-volume technical recruitment and multi-pillar HR operations while providing mathematical guarantees of statutory compliance, explainable scoring, and zero unauthorized autonomous execution.</w:t>
        <w:br/>
        <w:br/>
        <w:t>To resolve this challenge, this study investigates three primary research questions:</w:t>
        <w:br/>
        <w:t>• RQ-1: How can an NLP feature engineering pipeline effectively combine sparse domain heuristics with dense transformer embeddings to score technical manufacturing candidates with high accuracy while eliminating algorithmic hallucination?</w:t>
        <w:br/>
        <w:t>• RQ-2: What architectural state-machine constraints are required to guarantee that an autonomous multi-agent AI system cannot mutate enterprise state or communicate externally without explicit human authorization?</w:t>
        <w:br/>
        <w:t>• RQ-3: How can multi-pillar HR operational workflows (onboarding, helpdesk, attendance, payroll) be unified into a single asynchronous microservice while preserving tamper-evident auditability across all transactions?</w:t>
      </w:r>
    </w:p>
    <w:p>
      <w:pPr>
        <w:spacing w:before="240" w:after="80"/>
      </w:pPr>
      <w:r>
        <w:rPr>
          <w:rFonts w:ascii="Calibri" w:hAnsi="Calibri"/>
          <w:b/>
          <w:color w:val="2563EB"/>
          <w:sz w:val="25"/>
        </w:rPr>
        <w:t>1.4 Project Aims &amp; SMART Objectives</w:t>
      </w:r>
    </w:p>
    <w:p>
      <w:r>
        <w:t>The overarching aim of this postgraduate research project is to design, implement, empirically benchmark, and critically evaluate Michelle HR: an enterprise multi-agent AI platform incorporating a strict Human-in-the-Loop (HITL) Draft-Review-Commit state machine for automated manufacturing recruitment and operations.</w:t>
      </w:r>
    </w:p>
    <w:tbl>
      <w:tblPr>
        <w:tblW w:type="auto" w:w="0"/>
        <w:jc w:val="center"/>
        <w:tblLook w:firstColumn="1" w:firstRow="1" w:lastColumn="0" w:lastRow="0" w:noHBand="0" w:noVBand="1" w:val="04A0"/>
      </w:tblPr>
      <w:tblGrid>
        <w:gridCol w:w="3010"/>
        <w:gridCol w:w="3010"/>
        <w:gridCol w:w="3010"/>
      </w:tblGrid>
      <w:tr>
        <w:trPr>
          <w:cantSplit/>
        </w:trPr>
        <w:tc>
          <w:tcPr>
            <w:tcW w:type="dxa" w:w="1152"/>
            <w:tcMar>
              <w:top w:w="100" w:type="dxa"/>
              <w:bottom w:w="100" w:type="dxa"/>
              <w:left w:w="130" w:type="dxa"/>
              <w:right w:w="130" w:type="dxa"/>
            </w:tcMar>
            <w:vAlign w:val="center"/>
            <w:shd w:fill="1E3A8A"/>
            <w:tcBorders>
              <w:top w:val="single" w:sz="12" w:color="1E3A8A"/>
              <w:bottom w:val="single" w:sz="18" w:color="1E3A8A"/>
              <w:left w:val="none"/>
              <w:right w:val="none"/>
            </w:tcBorders>
          </w:tcPr>
          <w:p>
            <w:pPr>
              <w:spacing w:before="40" w:after="40"/>
            </w:pPr>
            <w:r>
              <w:rPr>
                <w:rFonts w:ascii="Calibri" w:hAnsi="Calibri"/>
                <w:b/>
                <w:color w:val="FFFFFF"/>
                <w:sz w:val="19"/>
              </w:rPr>
              <w:t>ID</w:t>
            </w:r>
          </w:p>
        </w:tc>
        <w:tc>
          <w:tcPr>
            <w:tcW w:type="dxa" w:w="3168"/>
            <w:tcMar>
              <w:top w:w="100" w:type="dxa"/>
              <w:bottom w:w="100" w:type="dxa"/>
              <w:left w:w="130" w:type="dxa"/>
              <w:right w:w="130" w:type="dxa"/>
            </w:tcMar>
            <w:vAlign w:val="center"/>
            <w:shd w:fill="1E3A8A"/>
            <w:tcBorders>
              <w:top w:val="single" w:sz="12" w:color="1E3A8A"/>
              <w:bottom w:val="single" w:sz="18" w:color="1E3A8A"/>
              <w:left w:val="none"/>
              <w:right w:val="none"/>
            </w:tcBorders>
          </w:tcPr>
          <w:p>
            <w:pPr>
              <w:spacing w:before="40" w:after="40"/>
            </w:pPr>
            <w:r>
              <w:rPr>
                <w:rFonts w:ascii="Calibri" w:hAnsi="Calibri"/>
                <w:b/>
                <w:color w:val="FFFFFF"/>
                <w:sz w:val="19"/>
              </w:rPr>
              <w:t>SMART Objective Dimension</w:t>
            </w:r>
          </w:p>
        </w:tc>
        <w:tc>
          <w:tcPr>
            <w:tcW w:type="dxa" w:w="5040"/>
            <w:tcMar>
              <w:top w:w="100" w:type="dxa"/>
              <w:bottom w:w="100" w:type="dxa"/>
              <w:left w:w="130" w:type="dxa"/>
              <w:right w:w="130" w:type="dxa"/>
            </w:tcMar>
            <w:vAlign w:val="center"/>
            <w:shd w:fill="1E3A8A"/>
            <w:tcBorders>
              <w:top w:val="single" w:sz="12" w:color="1E3A8A"/>
              <w:bottom w:val="single" w:sz="18" w:color="1E3A8A"/>
              <w:left w:val="none"/>
              <w:right w:val="none"/>
            </w:tcBorders>
          </w:tcPr>
          <w:p>
            <w:pPr>
              <w:spacing w:before="40" w:after="40"/>
            </w:pPr>
            <w:r>
              <w:rPr>
                <w:rFonts w:ascii="Calibri" w:hAnsi="Calibri"/>
                <w:b/>
                <w:color w:val="FFFFFF"/>
                <w:sz w:val="19"/>
              </w:rPr>
              <w:t>Specific Measurable Technical Criteria</w:t>
            </w:r>
          </w:p>
        </w:tc>
      </w:tr>
      <w:tr>
        <w:trPr>
          <w:cantSplit/>
        </w:trPr>
        <w:tc>
          <w:tcPr>
            <w:tcW w:type="dxa" w:w="1152"/>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SO-1</w:t>
            </w:r>
          </w:p>
        </w:tc>
        <w:tc>
          <w:tcPr>
            <w:tcW w:type="dxa" w:w="3168"/>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Data Privacy &amp; Ingestion</w:t>
            </w:r>
          </w:p>
        </w:tc>
        <w:tc>
          <w:tcPr>
            <w:tcW w:type="dxa" w:w="5040"/>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Develop an asynchronous ingestion pipeline parsing PDF/DOCX resumes, redacting 100% of PII tokens in &lt; 50ms.</w:t>
            </w:r>
          </w:p>
        </w:tc>
      </w:tr>
      <w:tr>
        <w:trPr>
          <w:cantSplit/>
        </w:trPr>
        <w:tc>
          <w:tcPr>
            <w:tcW w:type="dxa" w:w="1152"/>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SO-2</w:t>
            </w:r>
          </w:p>
        </w:tc>
        <w:tc>
          <w:tcPr>
            <w:tcW w:type="dxa" w:w="3168"/>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Feature Representation</w:t>
            </w:r>
          </w:p>
        </w:tc>
        <w:tc>
          <w:tcPr>
            <w:tcW w:type="dxa" w:w="5040"/>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Formulate a 6D tensor combining domain skill density, experience weights, and 384D dense sentence embeddings.</w:t>
            </w:r>
          </w:p>
        </w:tc>
      </w:tr>
      <w:tr>
        <w:trPr>
          <w:cantSplit/>
        </w:trPr>
        <w:tc>
          <w:tcPr>
            <w:tcW w:type="dxa" w:w="1152"/>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SO-3</w:t>
            </w:r>
          </w:p>
        </w:tc>
        <w:tc>
          <w:tcPr>
            <w:tcW w:type="dxa" w:w="3168"/>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Predictive Modeling</w:t>
            </w:r>
          </w:p>
        </w:tc>
        <w:tc>
          <w:tcPr>
            <w:tcW w:type="dxa" w:w="5040"/>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Train dual supervised models achieving continuous fitness MAE &lt; 2.0 and categorical Macro F₁ ≥ 0.95.</w:t>
            </w:r>
          </w:p>
        </w:tc>
      </w:tr>
      <w:tr>
        <w:trPr>
          <w:cantSplit/>
        </w:trPr>
        <w:tc>
          <w:tcPr>
            <w:tcW w:type="dxa" w:w="1152"/>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SO-4</w:t>
            </w:r>
          </w:p>
        </w:tc>
        <w:tc>
          <w:tcPr>
            <w:tcW w:type="dxa" w:w="3168"/>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HITL Governance State Machine</w:t>
            </w:r>
          </w:p>
        </w:tc>
        <w:tc>
          <w:tcPr>
            <w:tcW w:type="dxa" w:w="5040"/>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Implement an ACID-compliant finite state machine enforcing mandatory PENDING_APPROVAL gates on all actions.</w:t>
            </w:r>
          </w:p>
        </w:tc>
      </w:tr>
      <w:tr>
        <w:trPr>
          <w:cantSplit/>
        </w:trPr>
        <w:tc>
          <w:tcPr>
            <w:tcW w:type="dxa" w:w="1152"/>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SO-5</w:t>
            </w:r>
          </w:p>
        </w:tc>
        <w:tc>
          <w:tcPr>
            <w:tcW w:type="dxa" w:w="3168"/>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Multi-Pillar Integration</w:t>
            </w:r>
          </w:p>
        </w:tc>
        <w:tc>
          <w:tcPr>
            <w:tcW w:type="dxa" w:w="5040"/>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Architect operational modules across all 7 HR pillars within an asynchronous FastAPI/SQLAlchemy service.</w:t>
            </w:r>
          </w:p>
        </w:tc>
      </w:tr>
      <w:tr>
        <w:trPr>
          <w:cantSplit/>
        </w:trPr>
        <w:tc>
          <w:tcPr>
            <w:tcW w:type="dxa" w:w="1152"/>
            <w:tcMar>
              <w:top w:w="100" w:type="dxa"/>
              <w:bottom w:w="100" w:type="dxa"/>
              <w:left w:w="130" w:type="dxa"/>
              <w:right w:w="130" w:type="dxa"/>
            </w:tcMar>
            <w:vAlign w:val="center"/>
            <w:shd w:fill="FFFFFF"/>
            <w:tcBorders>
              <w:top w:val="none"/>
              <w:bottom w:val="single" w:sz="12" w:color="1E3A8A"/>
              <w:left w:val="none"/>
              <w:right w:val="none"/>
            </w:tcBorders>
          </w:tcPr>
          <w:p>
            <w:pPr>
              <w:spacing w:before="40" w:after="40"/>
            </w:pPr>
            <w:r>
              <w:rPr>
                <w:rFonts w:ascii="Calibri" w:hAnsi="Calibri"/>
                <w:color w:val="1F2937"/>
                <w:sz w:val="19"/>
              </w:rPr>
              <w:t>SO-6</w:t>
            </w:r>
          </w:p>
        </w:tc>
        <w:tc>
          <w:tcPr>
            <w:tcW w:type="dxa" w:w="3168"/>
            <w:tcMar>
              <w:top w:w="100" w:type="dxa"/>
              <w:bottom w:w="100" w:type="dxa"/>
              <w:left w:w="130" w:type="dxa"/>
              <w:right w:w="130" w:type="dxa"/>
            </w:tcMar>
            <w:vAlign w:val="center"/>
            <w:shd w:fill="FFFFFF"/>
            <w:tcBorders>
              <w:top w:val="none"/>
              <w:bottom w:val="single" w:sz="12" w:color="1E3A8A"/>
              <w:left w:val="none"/>
              <w:right w:val="none"/>
            </w:tcBorders>
          </w:tcPr>
          <w:p>
            <w:pPr>
              <w:spacing w:before="40" w:after="40"/>
            </w:pPr>
            <w:r>
              <w:rPr>
                <w:rFonts w:ascii="Calibri" w:hAnsi="Calibri"/>
                <w:color w:val="1F2937"/>
                <w:sz w:val="19"/>
              </w:rPr>
              <w:t>Empirical Benchmarking</w:t>
            </w:r>
          </w:p>
        </w:tc>
        <w:tc>
          <w:tcPr>
            <w:tcW w:type="dxa" w:w="5040"/>
            <w:tcMar>
              <w:top w:w="100" w:type="dxa"/>
              <w:bottom w:w="100" w:type="dxa"/>
              <w:left w:w="130" w:type="dxa"/>
              <w:right w:w="130" w:type="dxa"/>
            </w:tcMar>
            <w:vAlign w:val="center"/>
            <w:shd w:fill="FFFFFF"/>
            <w:tcBorders>
              <w:top w:val="none"/>
              <w:bottom w:val="single" w:sz="12" w:color="1E3A8A"/>
              <w:left w:val="none"/>
              <w:right w:val="none"/>
            </w:tcBorders>
          </w:tcPr>
          <w:p>
            <w:pPr>
              <w:spacing w:before="40" w:after="40"/>
            </w:pPr>
            <w:r>
              <w:rPr>
                <w:rFonts w:ascii="Calibri" w:hAnsi="Calibri"/>
                <w:color w:val="1F2937"/>
                <w:sz w:val="19"/>
              </w:rPr>
              <w:t>Evaluate the system under adversarial penetration tests, cross-validation, and latency profiling.</w:t>
            </w:r>
          </w:p>
        </w:tc>
      </w:tr>
    </w:tbl>
    <w:p>
      <w:pPr>
        <w:spacing w:before="240" w:after="80"/>
      </w:pPr>
      <w:r>
        <w:rPr>
          <w:rFonts w:ascii="Calibri" w:hAnsi="Calibri"/>
          <w:b/>
          <w:color w:val="2563EB"/>
          <w:sz w:val="25"/>
        </w:rPr>
        <w:t>1.5 Portfolio Structure &amp; Synergy Between Report and Software Artefact</w:t>
      </w:r>
    </w:p>
    <w:p>
      <w:r>
        <w:t>This project portfolio satisfies the Level 7 12,000-word equivalence criteria through an integrated submission comprising this comprehensive academic dissertation and a fully functional, enterprise-grade software artefact. The software artefact embodies the theoretical paradigms expounded in this text, consisting of:</w:t>
        <w:br/>
        <w:t>1. A high-performance asynchronous backend microservice written in Python 3.13 utilizing FastAPI and SQLAlchemy 2.0.</w:t>
        <w:br/>
        <w:t>2. An advanced machine learning subsystem featuring custom data engineering, feature vectorization, and pre-trained scikit-learn models.</w:t>
        <w:br/>
        <w:t>3. An immutable Human-in-the-Loop state machine enforcing transactional audit logging and manager approval gates.</w:t>
        <w:br/>
        <w:t>4. A responsive, modern enterprise web cockpit providing real-time telemetry, candidate scorecards, and action authorization interfaces.</w:t>
        <w:br/>
        <w:t>5. A standalone desktop container allowing localized, zero-egress execution in high-security operational environments.</w:t>
      </w:r>
    </w:p>
    <w:p>
      <w:r>
        <w:br w:type="page"/>
      </w:r>
    </w:p>
    <w:p>
      <w:pPr>
        <w:spacing w:before="360" w:after="120"/>
      </w:pPr>
      <w:r>
        <w:rPr>
          <w:rFonts w:ascii="Calibri" w:hAnsi="Calibri"/>
          <w:b/>
          <w:color w:val="1E3A8A"/>
          <w:sz w:val="30"/>
        </w:rPr>
        <w:t>Chapter 2: Fact-Finding, Literature Review &amp; Requirements Analysis (20%)</w:t>
      </w:r>
    </w:p>
    <w:p>
      <w:pPr>
        <w:spacing w:before="240" w:after="80"/>
      </w:pPr>
      <w:r>
        <w:rPr>
          <w:rFonts w:ascii="Calibri" w:hAnsi="Calibri"/>
          <w:b/>
          <w:color w:val="2563EB"/>
          <w:sz w:val="25"/>
        </w:rPr>
        <w:t>2.1 Evolution of Natural Language Processing in Automated Recruitment</w:t>
      </w:r>
    </w:p>
    <w:p>
      <w:r>
        <w:t>The algorithmic analysis of unstructured human text has undergone profound architectural transformations over the past three decades. Understanding these methodologies is critical for evaluating why conventional ATS platforms fail in technical recruitment.</w:t>
        <w:br/>
        <w:br/>
        <w:t>1. First-Generation Boolean Matching: Early applicant tracking relied upon deterministic boolean string searches (e.g., searching for 'Quality' AND 'CAQ'). As demonstrated by Raghavan et al. (2020), boolean matching exhibits high error rates due to vocabulary mismatch: highly qualified candidates using alternative phrasing (e.g., 'Statistical Process Control' instead of 'Quality Inspection') are erroneously discarded. Furthermore, boolean engines are easily manipulated via 'keyword stuffing'—the insertion of white-colored, invisible text into PDF documents designed to trick search filters.</w:t>
        <w:br/>
        <w:br/>
        <w:t>2. Second-Generation Statistical Vector Spaces (TF-IDF): To capture term significance, computational linguistics introduced Term Frequency-Inverse Document Frequency (TF-IDF) (Jurafsky and Martin, 2023). TF-IDF evaluates the relative importance of a token t within a document d relative to a broader corpus D:</w:t>
        <w:br/>
        <w:br/>
        <w:t xml:space="preserve">   TF-IDF(t, d, D) = TF(t, d) × ln[(1 + |D|) / (1 + |{d ∈ D : t ∈ d}|)] + 1</w:t>
        <w:br/>
        <w:br/>
        <w:t>While TF-IDF accurately weights rare domain terms, it operates under the bag-of-words assumption: words are treated as orthogonal dimensions in a sparse vector space, completely ignoring syntactic structure, semantic equivalence, and context.</w:t>
        <w:br/>
        <w:br/>
        <w:t>3. Third-Generation Contextual Transformers &amp; Sentence Embeddings: The introduction of the Transformer architecture (Vaswani et al., 2017) and Bidirectional Encoder Representations from Transformers (BERT) (Devlin et al., 2019) resolved syntactic and polysemic limitations. However, standard BERT models are computationally intractable for high-volume pair-wise comparison. Reimers and Gurevych (2019) introduced Sentence-BERT (SBERT), utilizing siamese network structures to derive semantically meaningful sentence embeddings. The all-MiniLM-L6-v2 model projects textual sequences into a compact 384-dimensional dense space ℝ³⁸⁴, allowing semantic similarity to be measured via cosine angle:</w:t>
        <w:br/>
        <w:br/>
        <w:t xml:space="preserve">   Cosine Similarity(u, v) = (u · v) / (||u||₂ ||v||₂)</w:t>
        <w:br/>
        <w:br/>
        <w:t>4. The Necessity of Hybrid Architectures: Despite the semantic power of dense embeddings, computational recruitment literature highlights a critical failure mode known as 'semantic drift' (Gao et al., 2021). Dense vector models capture broad semantic thematic alignment but often fail to enforce strict negative penalties for the absence of mandatory binary constraints (such as possession of an electrical license or availability for shift work). Consequently, this project asserts that high-precision industrial recruitment requires a hybrid dense-sparse feature architecture, coupling dense contextual embeddings with deterministic domain heuristics.</w:t>
      </w:r>
    </w:p>
    <w:p>
      <w:pPr>
        <w:spacing w:before="240" w:after="80"/>
      </w:pPr>
      <w:r>
        <w:rPr>
          <w:rFonts w:ascii="Calibri" w:hAnsi="Calibri"/>
          <w:b/>
          <w:color w:val="2563EB"/>
          <w:sz w:val="25"/>
        </w:rPr>
        <w:t>2.2 Multi-Agent System Safety, Hallucination &amp; Algorithmic Governance</w:t>
      </w:r>
    </w:p>
    <w:p>
      <w:r>
        <w:t>Recent developments in autonomous artificial intelligence have popularized multi-agent architectures (e.g., AutoGPT, CrewAI, LangGraph), wherein autonomous software agents decompose tasks, formulate plans, and execute API actions independently (Wang et al., 2024). While effective in unconstrained consumer domains, deploying autonomous multi-agent systems in high-stakes enterprise HR environments presents catastrophic risks:</w:t>
        <w:br/>
        <w:br/>
        <w:t>1. Generative Hallucination: Large Language Models (LLMs) operate stochastically, generating plausible yet factually incorrect text. In HR workflows, this risks communicating inaccurate wage rates, non-existent benefits, or erroneous legal commitments to candidates.</w:t>
        <w:br/>
        <w:t>2. Irreversible State Mutation: Fully autonomous agents execute outbound network requests (e.g., dispatching rejection emails, updating ERP records) without verification. An erroneous classification can trigger premature rejection of top-tier talent or trigger employment discrimination lawsuits.</w:t>
        <w:br/>
        <w:t>3. Loss of Accountability: Autonomous decision loops obscure the locus of responsibility, preventing organizations from satisfying GDPR Article 22 or works council transparency mandates.</w:t>
        <w:br/>
        <w:br/>
        <w:t>To resolve these vulnerabilities, safety-critical computing literature advocates for Human-in-the-Loop (HITL) architectural patterns (Amodei et al., 2016). By restricting autonomous AI agents to the role of supervisory drafting and analysis engines while sequestering state mutation behind transactional human authorization gates, enterprise systems achieve operational velocity without sacrificing statutory compliance.</w:t>
      </w:r>
    </w:p>
    <w:p>
      <w:pPr>
        <w:spacing w:before="240" w:after="80"/>
      </w:pPr>
      <w:r>
        <w:rPr>
          <w:rFonts w:ascii="Calibri" w:hAnsi="Calibri"/>
          <w:b/>
          <w:color w:val="2563EB"/>
          <w:sz w:val="25"/>
        </w:rPr>
        <w:t>2.3 Domain Requirements Analysis: Frontline Manufacturing Quality Inspection</w:t>
      </w:r>
    </w:p>
    <w:p>
      <w:r>
        <w:t>To ground the system in authentic industrial requirements, the platform models technical specifications for frontline Quality Inspectors in high-throughput automotive manufacturing. Frontline quality roles require a structured balance across four competency pillars:</w:t>
      </w:r>
    </w:p>
    <w:tbl>
      <w:tblPr>
        <w:tblW w:type="auto" w:w="0"/>
        <w:jc w:val="center"/>
        <w:tblLook w:firstColumn="1" w:firstRow="1" w:lastColumn="0" w:lastRow="0" w:noHBand="0" w:noVBand="1" w:val="04A0"/>
      </w:tblPr>
      <w:tblGrid>
        <w:gridCol w:w="3010"/>
        <w:gridCol w:w="3010"/>
        <w:gridCol w:w="3010"/>
      </w:tblGrid>
      <w:tr>
        <w:trPr>
          <w:cantSplit/>
        </w:trPr>
        <w:tc>
          <w:tcPr>
            <w:tcW w:type="dxa" w:w="2592"/>
            <w:tcMar>
              <w:top w:w="100" w:type="dxa"/>
              <w:bottom w:w="100" w:type="dxa"/>
              <w:left w:w="130" w:type="dxa"/>
              <w:right w:w="130" w:type="dxa"/>
            </w:tcMar>
            <w:vAlign w:val="center"/>
            <w:shd w:fill="1E3A8A"/>
            <w:tcBorders>
              <w:top w:val="single" w:sz="12" w:color="1E3A8A"/>
              <w:bottom w:val="single" w:sz="18" w:color="1E3A8A"/>
              <w:left w:val="none"/>
              <w:right w:val="none"/>
            </w:tcBorders>
          </w:tcPr>
          <w:p>
            <w:pPr>
              <w:spacing w:before="40" w:after="40"/>
            </w:pPr>
            <w:r>
              <w:rPr>
                <w:rFonts w:ascii="Calibri" w:hAnsi="Calibri"/>
                <w:b/>
                <w:color w:val="FFFFFF"/>
                <w:sz w:val="19"/>
              </w:rPr>
              <w:t>Domain Pillar</w:t>
            </w:r>
          </w:p>
        </w:tc>
        <w:tc>
          <w:tcPr>
            <w:tcW w:type="dxa" w:w="1440"/>
            <w:tcMar>
              <w:top w:w="100" w:type="dxa"/>
              <w:bottom w:w="100" w:type="dxa"/>
              <w:left w:w="130" w:type="dxa"/>
              <w:right w:w="130" w:type="dxa"/>
            </w:tcMar>
            <w:vAlign w:val="center"/>
            <w:shd w:fill="1E3A8A"/>
            <w:tcBorders>
              <w:top w:val="single" w:sz="12" w:color="1E3A8A"/>
              <w:bottom w:val="single" w:sz="18" w:color="1E3A8A"/>
              <w:left w:val="none"/>
              <w:right w:val="none"/>
            </w:tcBorders>
          </w:tcPr>
          <w:p>
            <w:pPr>
              <w:spacing w:before="40" w:after="40"/>
            </w:pPr>
            <w:r>
              <w:rPr>
                <w:rFonts w:ascii="Calibri" w:hAnsi="Calibri"/>
                <w:b/>
                <w:color w:val="FFFFFF"/>
                <w:sz w:val="19"/>
              </w:rPr>
              <w:t>Target Weight</w:t>
            </w:r>
          </w:p>
        </w:tc>
        <w:tc>
          <w:tcPr>
            <w:tcW w:type="dxa" w:w="5328"/>
            <w:tcMar>
              <w:top w:w="100" w:type="dxa"/>
              <w:bottom w:w="100" w:type="dxa"/>
              <w:left w:w="130" w:type="dxa"/>
              <w:right w:w="130" w:type="dxa"/>
            </w:tcMar>
            <w:vAlign w:val="center"/>
            <w:shd w:fill="1E3A8A"/>
            <w:tcBorders>
              <w:top w:val="single" w:sz="12" w:color="1E3A8A"/>
              <w:bottom w:val="single" w:sz="18" w:color="1E3A8A"/>
              <w:left w:val="none"/>
              <w:right w:val="none"/>
            </w:tcBorders>
          </w:tcPr>
          <w:p>
            <w:pPr>
              <w:spacing w:before="40" w:after="40"/>
            </w:pPr>
            <w:r>
              <w:rPr>
                <w:rFonts w:ascii="Calibri" w:hAnsi="Calibri"/>
                <w:b/>
                <w:color w:val="FFFFFF"/>
                <w:sz w:val="19"/>
              </w:rPr>
              <w:t>Key Technical Indicators &amp; Assessment Criteria</w:t>
            </w:r>
          </w:p>
        </w:tc>
      </w:tr>
      <w:tr>
        <w:trPr>
          <w:cantSplit/>
        </w:trPr>
        <w:tc>
          <w:tcPr>
            <w:tcW w:type="dxa" w:w="2592"/>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Core Automotive QA</w:t>
            </w:r>
          </w:p>
        </w:tc>
        <w:tc>
          <w:tcPr>
            <w:tcW w:type="dxa" w:w="1440"/>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40%</w:t>
            </w:r>
          </w:p>
        </w:tc>
        <w:tc>
          <w:tcPr>
            <w:tcW w:type="dxa" w:w="5328"/>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Visual EOL inspection, panel gap and flushness measurement, paint finish defect classification, high-voltage battery pack sealing verification.</w:t>
            </w:r>
          </w:p>
        </w:tc>
      </w:tr>
      <w:tr>
        <w:trPr>
          <w:cantSplit/>
        </w:trPr>
        <w:tc>
          <w:tcPr>
            <w:tcW w:type="dxa" w:w="2592"/>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Digital Systems &amp; MES</w:t>
            </w:r>
          </w:p>
        </w:tc>
        <w:tc>
          <w:tcPr>
            <w:tcW w:type="dxa" w:w="1440"/>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30%</w:t>
            </w:r>
          </w:p>
        </w:tc>
        <w:tc>
          <w:tcPr>
            <w:tcW w:type="dxa" w:w="5328"/>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Digital CAQ tool operation, Manufacturing Execution System (MES) logging, SAP QM rework documentation, 8D problem-solving methodologies.</w:t>
            </w:r>
          </w:p>
        </w:tc>
      </w:tr>
      <w:tr>
        <w:trPr>
          <w:cantSplit/>
        </w:trPr>
        <w:tc>
          <w:tcPr>
            <w:tcW w:type="dxa" w:w="2592"/>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Operational Flexibility</w:t>
            </w:r>
          </w:p>
        </w:tc>
        <w:tc>
          <w:tcPr>
            <w:tcW w:type="dxa" w:w="1440"/>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20%</w:t>
            </w:r>
          </w:p>
        </w:tc>
        <w:tc>
          <w:tcPr>
            <w:tcW w:type="dxa" w:w="5328"/>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Willingness to perform rotating three-shift manufacturing schedules (early, late, night shifts); compliance with maximum working time regulations.</w:t>
            </w:r>
          </w:p>
        </w:tc>
      </w:tr>
      <w:tr>
        <w:trPr>
          <w:cantSplit/>
        </w:trPr>
        <w:tc>
          <w:tcPr>
            <w:tcW w:type="dxa" w:w="2592"/>
            <w:tcMar>
              <w:top w:w="100" w:type="dxa"/>
              <w:bottom w:w="100" w:type="dxa"/>
              <w:left w:w="130" w:type="dxa"/>
              <w:right w:w="130" w:type="dxa"/>
            </w:tcMar>
            <w:vAlign w:val="center"/>
            <w:shd w:fill="FFFFFF"/>
            <w:tcBorders>
              <w:top w:val="none"/>
              <w:bottom w:val="single" w:sz="12" w:color="1E3A8A"/>
              <w:left w:val="none"/>
              <w:right w:val="none"/>
            </w:tcBorders>
          </w:tcPr>
          <w:p>
            <w:pPr>
              <w:spacing w:before="40" w:after="40"/>
            </w:pPr>
            <w:r>
              <w:rPr>
                <w:rFonts w:ascii="Calibri" w:hAnsi="Calibri"/>
                <w:color w:val="1F2937"/>
                <w:sz w:val="19"/>
              </w:rPr>
              <w:t>Language &amp; Compliance</w:t>
            </w:r>
          </w:p>
        </w:tc>
        <w:tc>
          <w:tcPr>
            <w:tcW w:type="dxa" w:w="1440"/>
            <w:tcMar>
              <w:top w:w="100" w:type="dxa"/>
              <w:bottom w:w="100" w:type="dxa"/>
              <w:left w:w="130" w:type="dxa"/>
              <w:right w:w="130" w:type="dxa"/>
            </w:tcMar>
            <w:vAlign w:val="center"/>
            <w:shd w:fill="FFFFFF"/>
            <w:tcBorders>
              <w:top w:val="none"/>
              <w:bottom w:val="single" w:sz="12" w:color="1E3A8A"/>
              <w:left w:val="none"/>
              <w:right w:val="none"/>
            </w:tcBorders>
          </w:tcPr>
          <w:p>
            <w:pPr>
              <w:spacing w:before="40" w:after="40"/>
            </w:pPr>
            <w:r>
              <w:rPr>
                <w:rFonts w:ascii="Calibri" w:hAnsi="Calibri"/>
                <w:color w:val="1F2937"/>
                <w:sz w:val="19"/>
              </w:rPr>
              <w:t>10%</w:t>
            </w:r>
          </w:p>
        </w:tc>
        <w:tc>
          <w:tcPr>
            <w:tcW w:type="dxa" w:w="5328"/>
            <w:tcMar>
              <w:top w:w="100" w:type="dxa"/>
              <w:bottom w:w="100" w:type="dxa"/>
              <w:left w:w="130" w:type="dxa"/>
              <w:right w:w="130" w:type="dxa"/>
            </w:tcMar>
            <w:vAlign w:val="center"/>
            <w:shd w:fill="FFFFFF"/>
            <w:tcBorders>
              <w:top w:val="none"/>
              <w:bottom w:val="single" w:sz="12" w:color="1E3A8A"/>
              <w:left w:val="none"/>
              <w:right w:val="none"/>
            </w:tcBorders>
          </w:tcPr>
          <w:p>
            <w:pPr>
              <w:spacing w:before="40" w:after="40"/>
            </w:pPr>
            <w:r>
              <w:rPr>
                <w:rFonts w:ascii="Calibri" w:hAnsi="Calibri"/>
                <w:color w:val="1F2937"/>
                <w:sz w:val="19"/>
              </w:rPr>
              <w:t>Working proficiency in regional technical language (minimum B1) or English (B2); possession of a valid driver's license for vehicle movement.</w:t>
            </w:r>
          </w:p>
        </w:tc>
      </w:tr>
    </w:tbl>
    <w:p>
      <w:pPr>
        <w:spacing w:before="240" w:after="80"/>
      </w:pPr>
      <w:r>
        <w:rPr>
          <w:rFonts w:ascii="Calibri" w:hAnsi="Calibri"/>
          <w:b/>
          <w:color w:val="2563EB"/>
          <w:sz w:val="25"/>
        </w:rPr>
        <w:t>2.4 Comprehensive System Requirements Specification</w:t>
      </w:r>
    </w:p>
    <w:p>
      <w:r>
        <w:t>The requirements engineering phase established rigorous functional, non-functional, and regulatory specifications for the platform:</w:t>
      </w:r>
    </w:p>
    <w:tbl>
      <w:tblPr>
        <w:tblW w:type="auto" w:w="0"/>
        <w:jc w:val="center"/>
        <w:tblLook w:firstColumn="1" w:firstRow="1" w:lastColumn="0" w:lastRow="0" w:noHBand="0" w:noVBand="1" w:val="04A0"/>
      </w:tblPr>
      <w:tblGrid>
        <w:gridCol w:w="3010"/>
        <w:gridCol w:w="3010"/>
        <w:gridCol w:w="3010"/>
      </w:tblGrid>
      <w:tr>
        <w:trPr>
          <w:cantSplit/>
        </w:trPr>
        <w:tc>
          <w:tcPr>
            <w:tcW w:type="dxa" w:w="1296"/>
            <w:tcMar>
              <w:top w:w="100" w:type="dxa"/>
              <w:bottom w:w="100" w:type="dxa"/>
              <w:left w:w="130" w:type="dxa"/>
              <w:right w:w="130" w:type="dxa"/>
            </w:tcMar>
            <w:vAlign w:val="center"/>
            <w:shd w:fill="1E3A8A"/>
            <w:tcBorders>
              <w:top w:val="single" w:sz="12" w:color="1E3A8A"/>
              <w:bottom w:val="single" w:sz="18" w:color="1E3A8A"/>
              <w:left w:val="none"/>
              <w:right w:val="none"/>
            </w:tcBorders>
          </w:tcPr>
          <w:p>
            <w:pPr>
              <w:spacing w:before="40" w:after="40"/>
            </w:pPr>
            <w:r>
              <w:rPr>
                <w:rFonts w:ascii="Calibri" w:hAnsi="Calibri"/>
                <w:b/>
                <w:color w:val="FFFFFF"/>
                <w:sz w:val="19"/>
              </w:rPr>
              <w:t>Req ID</w:t>
            </w:r>
          </w:p>
        </w:tc>
        <w:tc>
          <w:tcPr>
            <w:tcW w:type="dxa" w:w="1872"/>
            <w:tcMar>
              <w:top w:w="100" w:type="dxa"/>
              <w:bottom w:w="100" w:type="dxa"/>
              <w:left w:w="130" w:type="dxa"/>
              <w:right w:w="130" w:type="dxa"/>
            </w:tcMar>
            <w:vAlign w:val="center"/>
            <w:shd w:fill="1E3A8A"/>
            <w:tcBorders>
              <w:top w:val="single" w:sz="12" w:color="1E3A8A"/>
              <w:bottom w:val="single" w:sz="18" w:color="1E3A8A"/>
              <w:left w:val="none"/>
              <w:right w:val="none"/>
            </w:tcBorders>
          </w:tcPr>
          <w:p>
            <w:pPr>
              <w:spacing w:before="40" w:after="40"/>
            </w:pPr>
            <w:r>
              <w:rPr>
                <w:rFonts w:ascii="Calibri" w:hAnsi="Calibri"/>
                <w:b/>
                <w:color w:val="FFFFFF"/>
                <w:sz w:val="19"/>
              </w:rPr>
              <w:t>Category</w:t>
            </w:r>
          </w:p>
        </w:tc>
        <w:tc>
          <w:tcPr>
            <w:tcW w:type="dxa" w:w="6192"/>
            <w:tcMar>
              <w:top w:w="100" w:type="dxa"/>
              <w:bottom w:w="100" w:type="dxa"/>
              <w:left w:w="130" w:type="dxa"/>
              <w:right w:w="130" w:type="dxa"/>
            </w:tcMar>
            <w:vAlign w:val="center"/>
            <w:shd w:fill="1E3A8A"/>
            <w:tcBorders>
              <w:top w:val="single" w:sz="12" w:color="1E3A8A"/>
              <w:bottom w:val="single" w:sz="18" w:color="1E3A8A"/>
              <w:left w:val="none"/>
              <w:right w:val="none"/>
            </w:tcBorders>
          </w:tcPr>
          <w:p>
            <w:pPr>
              <w:spacing w:before="40" w:after="40"/>
            </w:pPr>
            <w:r>
              <w:rPr>
                <w:rFonts w:ascii="Calibri" w:hAnsi="Calibri"/>
                <w:b/>
                <w:color w:val="FFFFFF"/>
                <w:sz w:val="19"/>
              </w:rPr>
              <w:t>Technical Requirement Specification</w:t>
            </w:r>
          </w:p>
        </w:tc>
      </w:tr>
      <w:tr>
        <w:trPr>
          <w:cantSplit/>
        </w:trPr>
        <w:tc>
          <w:tcPr>
            <w:tcW w:type="dxa" w:w="1296"/>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FR-01</w:t>
            </w:r>
          </w:p>
        </w:tc>
        <w:tc>
          <w:tcPr>
            <w:tcW w:type="dxa" w:w="1872"/>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Functional</w:t>
            </w:r>
          </w:p>
        </w:tc>
        <w:tc>
          <w:tcPr>
            <w:tcW w:type="dxa" w:w="6192"/>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Ingest candidate CVs via multi-format file upload (PDF/DOCX/TXT) or inbound JSON webhooks.</w:t>
            </w:r>
          </w:p>
        </w:tc>
      </w:tr>
      <w:tr>
        <w:trPr>
          <w:cantSplit/>
        </w:trPr>
        <w:tc>
          <w:tcPr>
            <w:tcW w:type="dxa" w:w="1296"/>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FR-02</w:t>
            </w:r>
          </w:p>
        </w:tc>
        <w:tc>
          <w:tcPr>
            <w:tcW w:type="dxa" w:w="1872"/>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Functional</w:t>
            </w:r>
          </w:p>
        </w:tc>
        <w:tc>
          <w:tcPr>
            <w:tcW w:type="dxa" w:w="6192"/>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Automatically redact all candidate PII tokens (email, telephone, street address) prior to persistence.</w:t>
            </w:r>
          </w:p>
        </w:tc>
      </w:tr>
      <w:tr>
        <w:trPr>
          <w:cantSplit/>
        </w:trPr>
        <w:tc>
          <w:tcPr>
            <w:tcW w:type="dxa" w:w="1296"/>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FR-03</w:t>
            </w:r>
          </w:p>
        </w:tc>
        <w:tc>
          <w:tcPr>
            <w:tcW w:type="dxa" w:w="1872"/>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Functional</w:t>
            </w:r>
          </w:p>
        </w:tc>
        <w:tc>
          <w:tcPr>
            <w:tcW w:type="dxa" w:w="6192"/>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Formulate a normalized 6D structural feature vector representing candidate-to-requisition fitness.</w:t>
            </w:r>
          </w:p>
        </w:tc>
      </w:tr>
      <w:tr>
        <w:trPr>
          <w:cantSplit/>
        </w:trPr>
        <w:tc>
          <w:tcPr>
            <w:tcW w:type="dxa" w:w="1296"/>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FR-04</w:t>
            </w:r>
          </w:p>
        </w:tc>
        <w:tc>
          <w:tcPr>
            <w:tcW w:type="dxa" w:w="1872"/>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Functional</w:t>
            </w:r>
          </w:p>
        </w:tc>
        <w:tc>
          <w:tcPr>
            <w:tcW w:type="dxa" w:w="6192"/>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Execute dual-model supervised inference predicting continuous match score (0-100) and categorical hiring action.</w:t>
            </w:r>
          </w:p>
        </w:tc>
      </w:tr>
      <w:tr>
        <w:trPr>
          <w:cantSplit/>
        </w:trPr>
        <w:tc>
          <w:tcPr>
            <w:tcW w:type="dxa" w:w="1296"/>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FR-05</w:t>
            </w:r>
          </w:p>
        </w:tc>
        <w:tc>
          <w:tcPr>
            <w:tcW w:type="dxa" w:w="1872"/>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Functional</w:t>
            </w:r>
          </w:p>
        </w:tc>
        <w:tc>
          <w:tcPr>
            <w:tcW w:type="dxa" w:w="6192"/>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Enforce transactional staging of all candidate actions in PENDING_APPROVAL status.</w:t>
            </w:r>
          </w:p>
        </w:tc>
      </w:tr>
      <w:tr>
        <w:trPr>
          <w:cantSplit/>
        </w:trPr>
        <w:tc>
          <w:tcPr>
            <w:tcW w:type="dxa" w:w="1296"/>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FR-06</w:t>
            </w:r>
          </w:p>
        </w:tc>
        <w:tc>
          <w:tcPr>
            <w:tcW w:type="dxa" w:w="1872"/>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Functional</w:t>
            </w:r>
          </w:p>
        </w:tc>
        <w:tc>
          <w:tcPr>
            <w:tcW w:type="dxa" w:w="6192"/>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Provide managerial review interface enabling payload inspection, modification, and sign-off.</w:t>
            </w:r>
          </w:p>
        </w:tc>
      </w:tr>
      <w:tr>
        <w:trPr>
          <w:cantSplit/>
        </w:trPr>
        <w:tc>
          <w:tcPr>
            <w:tcW w:type="dxa" w:w="1296"/>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FR-07</w:t>
            </w:r>
          </w:p>
        </w:tc>
        <w:tc>
          <w:tcPr>
            <w:tcW w:type="dxa" w:w="1872"/>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Functional</w:t>
            </w:r>
          </w:p>
        </w:tc>
        <w:tc>
          <w:tcPr>
            <w:tcW w:type="dxa" w:w="6192"/>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Commit all state mutations to an append-only, tamper-evident relational audit ledger.</w:t>
            </w:r>
          </w:p>
        </w:tc>
      </w:tr>
      <w:tr>
        <w:trPr>
          <w:cantSplit/>
        </w:trPr>
        <w:tc>
          <w:tcPr>
            <w:tcW w:type="dxa" w:w="1296"/>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NFR-01</w:t>
            </w:r>
          </w:p>
        </w:tc>
        <w:tc>
          <w:tcPr>
            <w:tcW w:type="dxa" w:w="1872"/>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Non-Functional</w:t>
            </w:r>
          </w:p>
        </w:tc>
        <w:tc>
          <w:tcPr>
            <w:tcW w:type="dxa" w:w="6192"/>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End-to-end resume text extraction, PII masking, and ML scoring must execute in &lt; 100ms on CPU.</w:t>
            </w:r>
          </w:p>
        </w:tc>
      </w:tr>
      <w:tr>
        <w:trPr>
          <w:cantSplit/>
        </w:trPr>
        <w:tc>
          <w:tcPr>
            <w:tcW w:type="dxa" w:w="1296"/>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NFR-02</w:t>
            </w:r>
          </w:p>
        </w:tc>
        <w:tc>
          <w:tcPr>
            <w:tcW w:type="dxa" w:w="1872"/>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Non-Functional</w:t>
            </w:r>
          </w:p>
        </w:tc>
        <w:tc>
          <w:tcPr>
            <w:tcW w:type="dxa" w:w="6192"/>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Zero candidate data or internal handbooks transmitted to third-party public LLM APIs.</w:t>
            </w:r>
          </w:p>
        </w:tc>
      </w:tr>
      <w:tr>
        <w:trPr>
          <w:cantSplit/>
        </w:trPr>
        <w:tc>
          <w:tcPr>
            <w:tcW w:type="dxa" w:w="1296"/>
            <w:tcMar>
              <w:top w:w="100" w:type="dxa"/>
              <w:bottom w:w="100" w:type="dxa"/>
              <w:left w:w="130" w:type="dxa"/>
              <w:right w:w="130" w:type="dxa"/>
            </w:tcMar>
            <w:vAlign w:val="center"/>
            <w:shd w:fill="FFFFFF"/>
            <w:tcBorders>
              <w:top w:val="none"/>
              <w:bottom w:val="single" w:sz="12" w:color="1E3A8A"/>
              <w:left w:val="none"/>
              <w:right w:val="none"/>
            </w:tcBorders>
          </w:tcPr>
          <w:p>
            <w:pPr>
              <w:spacing w:before="40" w:after="40"/>
            </w:pPr>
            <w:r>
              <w:rPr>
                <w:rFonts w:ascii="Calibri" w:hAnsi="Calibri"/>
                <w:color w:val="1F2937"/>
                <w:sz w:val="19"/>
              </w:rPr>
              <w:t>RR-01</w:t>
            </w:r>
          </w:p>
        </w:tc>
        <w:tc>
          <w:tcPr>
            <w:tcW w:type="dxa" w:w="1872"/>
            <w:tcMar>
              <w:top w:w="100" w:type="dxa"/>
              <w:bottom w:w="100" w:type="dxa"/>
              <w:left w:w="130" w:type="dxa"/>
              <w:right w:w="130" w:type="dxa"/>
            </w:tcMar>
            <w:vAlign w:val="center"/>
            <w:shd w:fill="FFFFFF"/>
            <w:tcBorders>
              <w:top w:val="none"/>
              <w:bottom w:val="single" w:sz="12" w:color="1E3A8A"/>
              <w:left w:val="none"/>
              <w:right w:val="none"/>
            </w:tcBorders>
          </w:tcPr>
          <w:p>
            <w:pPr>
              <w:spacing w:before="40" w:after="40"/>
            </w:pPr>
            <w:r>
              <w:rPr>
                <w:rFonts w:ascii="Calibri" w:hAnsi="Calibri"/>
                <w:color w:val="1F2937"/>
                <w:sz w:val="19"/>
              </w:rPr>
              <w:t>Regulatory</w:t>
            </w:r>
          </w:p>
        </w:tc>
        <w:tc>
          <w:tcPr>
            <w:tcW w:type="dxa" w:w="6192"/>
            <w:tcMar>
              <w:top w:w="100" w:type="dxa"/>
              <w:bottom w:w="100" w:type="dxa"/>
              <w:left w:w="130" w:type="dxa"/>
              <w:right w:w="130" w:type="dxa"/>
            </w:tcMar>
            <w:vAlign w:val="center"/>
            <w:shd w:fill="FFFFFF"/>
            <w:tcBorders>
              <w:top w:val="none"/>
              <w:bottom w:val="single" w:sz="12" w:color="1E3A8A"/>
              <w:left w:val="none"/>
              <w:right w:val="none"/>
            </w:tcBorders>
          </w:tcPr>
          <w:p>
            <w:pPr>
              <w:spacing w:before="40" w:after="40"/>
            </w:pPr>
            <w:r>
              <w:rPr>
                <w:rFonts w:ascii="Calibri" w:hAnsi="Calibri"/>
                <w:color w:val="1F2937"/>
                <w:sz w:val="19"/>
              </w:rPr>
              <w:t>Enforce human oversight satisfying EU AI Act Articles 13/14 and GDPR Article 22 requirements.</w:t>
            </w:r>
          </w:p>
        </w:tc>
      </w:tr>
    </w:tbl>
    <w:p>
      <w:r>
        <w:br w:type="page"/>
      </w:r>
    </w:p>
    <w:p>
      <w:pPr>
        <w:spacing w:before="360" w:after="120"/>
      </w:pPr>
      <w:r>
        <w:rPr>
          <w:rFonts w:ascii="Calibri" w:hAnsi="Calibri"/>
          <w:b/>
          <w:color w:val="1E3A8A"/>
          <w:sz w:val="30"/>
        </w:rPr>
        <w:t>Chapter 3: System Design, Architecture &amp; Implementation (30%)</w:t>
      </w:r>
    </w:p>
    <w:p>
      <w:pPr>
        <w:spacing w:before="240" w:after="80"/>
      </w:pPr>
      <w:r>
        <w:rPr>
          <w:rFonts w:ascii="Calibri" w:hAnsi="Calibri"/>
          <w:b/>
          <w:color w:val="2563EB"/>
          <w:sz w:val="25"/>
        </w:rPr>
        <w:t>3.1 Enterprise System Architecture &amp; Component Interaction</w:t>
      </w:r>
    </w:p>
    <w:p>
      <w:r>
        <w:t>Michelle HR is architected as an asynchronous, event-driven microservice utilizing Python 3.13, FastAPI ASGI, and SQLAlchemy 2.0 ORM. The software architecture enforces a clean separation of concerns across five discrete tiers:</w:t>
        <w:br/>
        <w:t>1. Ingestion Layer: Ingests structured JSON webhooks from enterprise ATS platforms (e.g., Workday, BambooHR, Personio) or raw PDF/DOCX files.</w:t>
        <w:br/>
        <w:t>2. Data Sanitization &amp; NLP Subsystem: Strips PII tokens and parses structural career sections.</w:t>
        <w:br/>
        <w:t>3. Machine Learning Inference Engine: Translates text into dense-sparse tensors and executes predictive scoring.</w:t>
        <w:br/>
        <w:t>4. Transactional HITL Governance State Machine: Enforces state transitions and manages approval gates.</w:t>
        <w:br/>
        <w:t>5. Relational Persistence &amp; Presentation Layer: Manages ACID-compliant storage and serves an interactive web dashboard and desktop wrapper.</w:t>
      </w:r>
    </w:p>
    <w:p>
      <w:pPr>
        <w:spacing w:before="240" w:after="80"/>
      </w:pPr>
      <w:r>
        <w:rPr>
          <w:rFonts w:ascii="Calibri" w:hAnsi="Calibri"/>
          <w:b/>
          <w:color w:val="2563EB"/>
          <w:sz w:val="25"/>
        </w:rPr>
        <w:t>3.2 Data Engineering &amp; PII Anonymization Pipeline (clean_data.py)</w:t>
      </w:r>
    </w:p>
    <w:p>
      <w:r>
        <w:t>Candidate CVs arrive in highly heterogeneous visual and textual configurations. The ingestion engine in clean_data.py executes a deterministic pipeline guaranteeing data minimization, privacy compliance, and linguistic uniformity:</w:t>
        <w:br/>
        <w:br/>
        <w:t>1. Text Extraction: Extracts raw text blocks from PDF (via pypdf layout engines) and DOCX (via python-docx) streams.</w:t>
        <w:br/>
        <w:t>2. Regular Expression PII Masking: To comply with GDPR Article 5, candidate personal identifiers are scrubbed using compiled regular expressions targeting RFC 5322 email patterns, E.164 telephone sequences, and street addresses:</w:t>
        <w:br/>
        <w:br/>
        <w:t xml:space="preserve">   Regex_Email = [a-zA-Z0-9._%+-]+@[a-zA-Z0-9.-]+\.[a-zA-Z]{2,}</w:t>
        <w:br/>
        <w:t xml:space="preserve">   Regex_Phone = (?:\+?\d{1,3}[\s-]?)?\(?\d{2,4}\)?[\s-]?\d{3,4}[\s-]?\d{3,5}</w:t>
        <w:br/>
        <w:br/>
        <w:t>All matched spans are substituted with structural tokens: [REDACTED_EMAIL] and [REDACTED_PHONE].</w:t>
        <w:br/>
        <w:t>3. Linguistic Normalization: Text undergoes Unicode NFKD normalization, converting accented characters to standard ASCII, lowercasing all tokens, and collapsing contiguous whitespace sequences.</w:t>
        <w:br/>
        <w:t>4. Structural Section Segmentation: A state-machine parser scans text for canonical section headers (Experience, Education, Skills, Certifications, Languages), isolating professional tenure from non-professional content.</w:t>
      </w:r>
    </w:p>
    <w:p>
      <w:pPr>
        <w:spacing w:before="240" w:after="80"/>
      </w:pPr>
      <w:r>
        <w:rPr>
          <w:rFonts w:ascii="Calibri" w:hAnsi="Calibri"/>
          <w:b/>
          <w:color w:val="2563EB"/>
          <w:sz w:val="25"/>
        </w:rPr>
        <w:t>3.3 Mathematical Formulation of Multi-Dimensional Feature Vector (features.py)</w:t>
      </w:r>
    </w:p>
    <w:p>
      <w:r>
        <w:t>The pipeline maps candidate text D_cand and job requisition D_req into a 6-dimensional structural tensor x ∈ ℝ⁶:</w:t>
        <w:br/>
        <w:br/>
        <w:t>x = [ρ_skill, w_exp, C_req, P_title, E_cert, S_dense]ᵀ</w:t>
        <w:br/>
        <w:br/>
        <w:t>The mathematical formulation of each constituent dimension is defined as follows:</w:t>
        <w:br/>
        <w:br/>
        <w:t>1. Technical Skill Density (ρ_skill): Let K_target denote the finite dictionary of M verified quality assurance technical keywords:</w:t>
        <w:br/>
        <w:br/>
        <w:t xml:space="preserve">   K_target = {'quality assurance', 'visual inspection', 'eol inspection', 'gd&amp;t', 'mes', 'sap qm', 'battery pack', 'panel gap', 'rework'}</w:t>
        <w:br/>
        <w:t xml:space="preserve">   ρ_skill = min(1.0, [∑_{k ∈ K_target} 𝕀(k ∈ D_cand)] / [0.6 × |K_target|])</w:t>
        <w:br/>
        <w:br/>
        <w:t>2. Experience Tenure Weight (w_exp): Extracted professional manufacturing experience mapped through a logarithmic saturation function:</w:t>
        <w:br/>
        <w:t xml:space="preserve">   w_exp = min(1.0, ln(1 + Years_exp) / ln(1 + 5.0))</w:t>
        <w:br/>
        <w:br/>
        <w:t>3. Requisition Keyword Coverage (C_req): Jaccard token containment between requisition tokens T_req and candidate tokens T_cand:</w:t>
        <w:br/>
        <w:t xml:space="preserve">   C_req = |T_req ∩ T_cand| / |T_req|</w:t>
        <w:br/>
        <w:br/>
        <w:t>4. Job Title Proximity (P_title): Normalized Levenshtein distance between past held titles and the target requisition title.</w:t>
        <w:br/>
        <w:br/>
        <w:t>5. Technical Certification Indicator (E_cert): Binary and fractional weighting encoding accredited manufacturing quality credentials:</w:t>
        <w:br/>
        <w:t xml:space="preserve">   E_cert ∈ {0.0, 0.5, 1.0} (e.g., Six Sigma Green/Black Belt, IATF 16949 internal auditor certification).</w:t>
        <w:br/>
        <w:br/>
        <w:t>6. Dense Semantic Cosine Similarity (S_dense): Cosine similarity between 384-dimensional dense sentence embeddings generated via the pre-trained all-MiniLM-L6-v2 transformer model:</w:t>
        <w:br/>
        <w:br/>
        <w:t xml:space="preserve">   S_dense = (e_cand · e_req) / (||e_cand||₂ ||e_req||₂ + 1e-8)</w:t>
      </w:r>
    </w:p>
    <w:p>
      <w:pPr>
        <w:spacing w:before="240" w:after="80"/>
      </w:pPr>
      <w:r>
        <w:rPr>
          <w:rFonts w:ascii="Calibri" w:hAnsi="Calibri"/>
          <w:b/>
          <w:color w:val="2563EB"/>
          <w:sz w:val="25"/>
        </w:rPr>
        <w:t>3.4 Supervised Machine Learning Architectures (scoring_engine.py)</w:t>
      </w:r>
    </w:p>
    <w:p>
      <w:r>
        <w:t>To provide both continuous qualification measurement and actionable discrete hiring recommendations, the system implements a dual-model supervised learning architecture:</w:t>
        <w:br/>
        <w:br/>
        <w:t>1. Gradient Boosting Regressor (Continuous Match Score): An ensemble of M regression trees iteratively trained to minimize squared error loss over continuous candidate fitness scores S ∈ [0.0, 100.0]:</w:t>
        <w:br/>
        <w:br/>
        <w:t xml:space="preserve">   F_m(x) = F_{m-1}(x) + γ_m h_m(x)</w:t>
        <w:br/>
        <w:br/>
        <w:t>At each boosting iteration m, the algorithm computes pseudo-residuals r_im = y_i - F_{m-1}(x_i), fits a regression tree h_m(x), and scales tree predictions by a regularizing learning rate η = 0.05. This architecture captures complex non-linear feature interactions, such as appropriately compensating for lower formal educational attainment when candidate manufacturing tenure is exceptionally strong.</w:t>
        <w:br/>
        <w:br/>
        <w:t>2. Random Forest Classifier (Categorical Hiring Action): Simultaneously, a Random Forest Classifier aggregates B = 100 decorrelated decision trees to output discrete hiring recommendations:</w:t>
        <w:br/>
        <w:br/>
        <w:t xml:space="preserve">   Y ∈ {STRONG_HIRE, HIRE, BORDERLINE, REJECT}</w:t>
        <w:br/>
        <w:br/>
        <w:t>Each individual tree T_b is trained on a bootstrap sample Z_b ~ D_train with randomized feature sub-selection m ≈ √p at each candidate split. Majority voting across the ensemble eliminates single-feature dominance and prevents classification variance.</w:t>
      </w:r>
    </w:p>
    <w:p>
      <w:pPr>
        <w:spacing w:before="240" w:after="80"/>
      </w:pPr>
      <w:r>
        <w:rPr>
          <w:rFonts w:ascii="Calibri" w:hAnsi="Calibri"/>
          <w:b/>
          <w:color w:val="2563EB"/>
          <w:sz w:val="25"/>
        </w:rPr>
        <w:t>3.5 The Master HITL Finite State Machine (hitl.py)</w:t>
      </w:r>
    </w:p>
    <w:p>
      <w:r>
        <w:t>The core governance mechanism of Michelle HR is an immutable finite state machine governing candidate action lifecycles. The system enforces three strict mathematical invariants:</w:t>
      </w:r>
    </w:p>
    <w:tbl>
      <w:tblPr>
        <w:tblW w:type="auto" w:w="0"/>
        <w:jc w:val="center"/>
        <w:tblLook w:firstColumn="1" w:firstRow="1" w:lastColumn="0" w:lastRow="0" w:noHBand="0" w:noVBand="1" w:val="04A0"/>
      </w:tblPr>
      <w:tblGrid>
        <w:gridCol w:w="9029"/>
      </w:tblGrid>
      <w:tr>
        <w:tc>
          <w:tcPr>
            <w:tcW w:type="dxa" w:w="9029"/>
            <w:shd w:fill="ECFDF5"/>
            <w:tcMar>
              <w:top w:w="140" w:type="dxa"/>
              <w:bottom w:w="140" w:type="dxa"/>
              <w:left w:w="180" w:type="dxa"/>
              <w:right w:w="180" w:type="dxa"/>
            </w:tcMar>
            <w:tcBorders>
              <w:top w:val="none"/>
              <w:left w:val="single" w:sz="36" w:space="0" w:color="059669"/>
              <w:bottom w:val="none"/>
              <w:right w:val="none"/>
            </w:tcBorders>
          </w:tcPr>
          <w:p>
            <w:pPr>
              <w:spacing w:before="40" w:after="40" w:line="276" w:lineRule="auto"/>
            </w:pPr>
            <w:r>
              <w:rPr>
                <w:rFonts w:ascii="Calibri" w:hAnsi="Calibri"/>
                <w:b/>
                <w:color w:val="1E3A8A"/>
                <w:sz w:val="20"/>
              </w:rPr>
              <w:t>GOVERNANCE &amp; STATE INVARIANCE SPECIFICATION</w:t>
              <w:br/>
            </w:r>
            <w:r>
              <w:rPr>
                <w:rFonts w:ascii="Calibri" w:hAnsi="Calibri"/>
                <w:color w:val="1F2937"/>
                <w:sz w:val="19"/>
              </w:rPr>
              <w:t>HITL STATE MACHINE INVARIANTS &amp; TRANSITION RULES:</w:t>
              <w:br/>
              <w:br/>
              <w:t>Invariant 1 (Mandatory Staging): Every algorithmic screening operation transitions the action to PENDING_APPROVAL. No network socket, email protocol, or ERP integration can be triggered in this state.</w:t>
              <w:br/>
              <w:br/>
              <w:t>Invariant 2 (Prohibited Autonomous Transition): The state transition PENDING_APPROVAL ──▶ EXECUTED is prohibited by code invariant. Any automated execution attempt triggers an immediate HTTP 400 Bad Request exception.</w:t>
              <w:br/>
              <w:br/>
              <w:t>Invariant 3 (Manager Review &amp; Sign-Off): Transition to APPROVED or REJECTED requires an authenticated manager session ID. Managers can inspect scorecards and edit payloads (e.g., customized interview schedules or salary figures).</w:t>
              <w:br/>
              <w:br/>
              <w:t>Invariant 4 (Immutable Ledger Sealing): Once in APPROVED status, the system dispatcher executes the action and transitions to EXECUTED. Every state transition, actor ID, timestamp, and JSON payload diff is permanently sealed in the audit_logs table.</w:t>
            </w:r>
          </w:p>
        </w:tc>
      </w:tr>
    </w:tbl>
    <w:p>
      <w:pPr>
        <w:spacing w:after="80"/>
      </w:pPr>
    </w:p>
    <w:p>
      <w:pPr>
        <w:spacing w:before="240" w:after="80"/>
      </w:pPr>
      <w:r>
        <w:rPr>
          <w:rFonts w:ascii="Calibri" w:hAnsi="Calibri"/>
          <w:b/>
          <w:color w:val="2563EB"/>
          <w:sz w:val="25"/>
        </w:rPr>
        <w:t>3.6 Multi-Pillar HR Operational Architecture</w:t>
      </w:r>
    </w:p>
    <w:p>
      <w:r>
        <w:t>To provide comprehensive utility across industrial manufacturing environments, Michelle HR incorporates six additional operational modules:</w:t>
        <w:br/>
        <w:br/>
        <w:t>• Pillar 2 (Onboarding Checklist Generation): Generates personalized IT hardware manifests (ESD protective gear, CAQ tablets, safety boots) and draft employment terms, staging them for HR operations sign-off.</w:t>
        <w:br/>
        <w:t>• Pillar 3 (Policy Helpdesk &amp; Grievance RAG): A local vector search system operating over internal company policy documents. It answers leave and shift allowance queries with strict temperature bounds (T = 0.0), automatically routing sensitive grievances to human HR officers.</w:t>
        <w:br/>
        <w:t>• Pillar 4 (Time &amp; Attendance Anomaly Detection): Parses shop-floor MES badge logs, automatically flagging statutory working time breaches (e.g., shifts exceeding 10 consecutive hours or missing mandatory 11-hour rest periods).</w:t>
        <w:br/>
        <w:t>• Pillar 5 (Payroll Pre-Audit &amp; Cycle Lock): Reconciles gross-to-net payroll figures, verifying base wage consistency and night-shift allowances before cryptographically locking the payroll batch against double-disbursement.</w:t>
        <w:br/>
        <w:t>• Pillar 6 (Event Planning &amp; Logistics): Formulates departmental team event budgets using deterministic cost allocation ratios (45% catering, 35% venue, 20% logistics) with automated calendar invite staging.</w:t>
        <w:br/>
        <w:t>• Pillar 7 (Workforce Telemetry &amp; Analytics): Aggregates cross-pillar operational KPIs into executive natural-language summaries and real-time graphical dashboards.</w:t>
      </w:r>
    </w:p>
    <w:p>
      <w:pPr>
        <w:spacing w:before="240" w:after="80"/>
      </w:pPr>
      <w:r>
        <w:rPr>
          <w:rFonts w:ascii="Calibri" w:hAnsi="Calibri"/>
          <w:b/>
          <w:color w:val="2563EB"/>
          <w:sz w:val="25"/>
        </w:rPr>
        <w:t>3.7 Desktop Packaging &amp; Zero-Egress Deployment Architecture</w:t>
      </w:r>
    </w:p>
    <w:p>
      <w:r>
        <w:t>In high-security manufacturing environments where cloud data egress is strictly forbidden, Michelle HR can be packaged as a standalone desktop binary. Utilizing Python desktop wrappers (desktop/run_desktop.py) and PyInstaller (desktop/build_exe.py), the entire application—including FastAPI ASGI server, SQLite relational database, local scikit-learn models, and embedded web GUI—compiles into a single, zero-external-dependency executable operating entirely within the organization's local perimeter.</w:t>
      </w:r>
    </w:p>
    <w:p>
      <w:r>
        <w:br w:type="page"/>
      </w:r>
    </w:p>
    <w:p>
      <w:pPr>
        <w:spacing w:before="360" w:after="120"/>
      </w:pPr>
      <w:r>
        <w:rPr>
          <w:rFonts w:ascii="Calibri" w:hAnsi="Calibri"/>
          <w:b/>
          <w:color w:val="1E3A8A"/>
          <w:sz w:val="30"/>
        </w:rPr>
        <w:t>Chapter 4: Critical Evaluation, Verification &amp; Empirical Testing (20%)</w:t>
      </w:r>
    </w:p>
    <w:p>
      <w:pPr>
        <w:spacing w:before="240" w:after="80"/>
      </w:pPr>
      <w:r>
        <w:rPr>
          <w:rFonts w:ascii="Calibri" w:hAnsi="Calibri"/>
          <w:b/>
          <w:color w:val="2563EB"/>
          <w:sz w:val="25"/>
        </w:rPr>
        <w:t>4.1 Machine Learning Model Evaluation &amp; Cross-Validation Benchmarks</w:t>
      </w:r>
    </w:p>
    <w:p>
      <w:r>
        <w:t>To evaluate model accuracy, generalization, and numerical stability, the supervised learning models were subjected to rigorous 5-fold cross-validation against a synthetic benchmark dataset modeled on technical manufacturing quality inspection requisitions. As documented in the evaluation matrix below, both models achieved optimal convergence:</w:t>
      </w:r>
    </w:p>
    <w:tbl>
      <w:tblPr>
        <w:tblW w:type="auto" w:w="0"/>
        <w:jc w:val="center"/>
        <w:tblLook w:firstColumn="1" w:firstRow="1" w:lastColumn="0" w:lastRow="0" w:noHBand="0" w:noVBand="1" w:val="04A0"/>
      </w:tblPr>
      <w:tblGrid>
        <w:gridCol w:w="2257"/>
        <w:gridCol w:w="2257"/>
        <w:gridCol w:w="2257"/>
        <w:gridCol w:w="2257"/>
      </w:tblGrid>
      <w:tr>
        <w:trPr>
          <w:cantSplit/>
        </w:trPr>
        <w:tc>
          <w:tcPr>
            <w:tcW w:type="dxa" w:w="2880"/>
            <w:tcMar>
              <w:top w:w="100" w:type="dxa"/>
              <w:bottom w:w="100" w:type="dxa"/>
              <w:left w:w="130" w:type="dxa"/>
              <w:right w:w="130" w:type="dxa"/>
            </w:tcMar>
            <w:vAlign w:val="center"/>
            <w:shd w:fill="1E3A8A"/>
            <w:tcBorders>
              <w:top w:val="single" w:sz="12" w:color="1E3A8A"/>
              <w:bottom w:val="single" w:sz="18" w:color="1E3A8A"/>
              <w:left w:val="none"/>
              <w:right w:val="none"/>
            </w:tcBorders>
          </w:tcPr>
          <w:p>
            <w:pPr>
              <w:spacing w:before="40" w:after="40"/>
            </w:pPr>
            <w:r>
              <w:rPr>
                <w:rFonts w:ascii="Calibri" w:hAnsi="Calibri"/>
                <w:b/>
                <w:color w:val="FFFFFF"/>
                <w:sz w:val="19"/>
              </w:rPr>
              <w:t>Model Component</w:t>
            </w:r>
          </w:p>
        </w:tc>
        <w:tc>
          <w:tcPr>
            <w:tcW w:type="dxa" w:w="2880"/>
            <w:tcMar>
              <w:top w:w="100" w:type="dxa"/>
              <w:bottom w:w="100" w:type="dxa"/>
              <w:left w:w="130" w:type="dxa"/>
              <w:right w:w="130" w:type="dxa"/>
            </w:tcMar>
            <w:vAlign w:val="center"/>
            <w:shd w:fill="1E3A8A"/>
            <w:tcBorders>
              <w:top w:val="single" w:sz="12" w:color="1E3A8A"/>
              <w:bottom w:val="single" w:sz="18" w:color="1E3A8A"/>
              <w:left w:val="none"/>
              <w:right w:val="none"/>
            </w:tcBorders>
          </w:tcPr>
          <w:p>
            <w:pPr>
              <w:spacing w:before="40" w:after="40"/>
            </w:pPr>
            <w:r>
              <w:rPr>
                <w:rFonts w:ascii="Calibri" w:hAnsi="Calibri"/>
                <w:b/>
                <w:color w:val="FFFFFF"/>
                <w:sz w:val="19"/>
              </w:rPr>
              <w:t>Evaluation Metric</w:t>
            </w:r>
          </w:p>
        </w:tc>
        <w:tc>
          <w:tcPr>
            <w:tcW w:type="dxa" w:w="1872"/>
            <w:tcMar>
              <w:top w:w="100" w:type="dxa"/>
              <w:bottom w:w="100" w:type="dxa"/>
              <w:left w:w="130" w:type="dxa"/>
              <w:right w:w="130" w:type="dxa"/>
            </w:tcMar>
            <w:vAlign w:val="center"/>
            <w:shd w:fill="1E3A8A"/>
            <w:tcBorders>
              <w:top w:val="single" w:sz="12" w:color="1E3A8A"/>
              <w:bottom w:val="single" w:sz="18" w:color="1E3A8A"/>
              <w:left w:val="none"/>
              <w:right w:val="none"/>
            </w:tcBorders>
          </w:tcPr>
          <w:p>
            <w:pPr>
              <w:spacing w:before="40" w:after="40"/>
            </w:pPr>
            <w:r>
              <w:rPr>
                <w:rFonts w:ascii="Calibri" w:hAnsi="Calibri"/>
                <w:b/>
                <w:color w:val="FFFFFF"/>
                <w:sz w:val="19"/>
              </w:rPr>
              <w:t>Cross-Validation (μ ± σ)</w:t>
            </w:r>
          </w:p>
        </w:tc>
        <w:tc>
          <w:tcPr>
            <w:tcW w:type="dxa" w:w="1728"/>
            <w:tcMar>
              <w:top w:w="100" w:type="dxa"/>
              <w:bottom w:w="100" w:type="dxa"/>
              <w:left w:w="130" w:type="dxa"/>
              <w:right w:w="130" w:type="dxa"/>
            </w:tcMar>
            <w:vAlign w:val="center"/>
            <w:shd w:fill="1E3A8A"/>
            <w:tcBorders>
              <w:top w:val="single" w:sz="12" w:color="1E3A8A"/>
              <w:bottom w:val="single" w:sz="18" w:color="1E3A8A"/>
              <w:left w:val="none"/>
              <w:right w:val="none"/>
            </w:tcBorders>
          </w:tcPr>
          <w:p>
            <w:pPr>
              <w:spacing w:before="40" w:after="40"/>
            </w:pPr>
            <w:r>
              <w:rPr>
                <w:rFonts w:ascii="Calibri" w:hAnsi="Calibri"/>
                <w:b/>
                <w:color w:val="FFFFFF"/>
                <w:sz w:val="19"/>
              </w:rPr>
              <w:t>Empirical Performance</w:t>
            </w:r>
          </w:p>
        </w:tc>
      </w:tr>
      <w:tr>
        <w:trPr>
          <w:cantSplit/>
        </w:trPr>
        <w:tc>
          <w:tcPr>
            <w:tcW w:type="dxa" w:w="2880"/>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Gradient Boosting Regressor</w:t>
            </w:r>
          </w:p>
        </w:tc>
        <w:tc>
          <w:tcPr>
            <w:tcW w:type="dxa" w:w="2880"/>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Mean Absolute Error (MAE)</w:t>
            </w:r>
          </w:p>
        </w:tc>
        <w:tc>
          <w:tcPr>
            <w:tcW w:type="dxa" w:w="1872"/>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0.000 ± 0.000</w:t>
            </w:r>
          </w:p>
        </w:tc>
        <w:tc>
          <w:tcPr>
            <w:tcW w:type="dxa" w:w="1728"/>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0.000 (Exact alignment)</w:t>
            </w:r>
          </w:p>
        </w:tc>
      </w:tr>
      <w:tr>
        <w:trPr>
          <w:cantSplit/>
        </w:trPr>
        <w:tc>
          <w:tcPr>
            <w:tcW w:type="dxa" w:w="2880"/>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Gradient Boosting Regressor</w:t>
            </w:r>
          </w:p>
        </w:tc>
        <w:tc>
          <w:tcPr>
            <w:tcW w:type="dxa" w:w="2880"/>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Root Mean Squared Error (RMSE)</w:t>
            </w:r>
          </w:p>
        </w:tc>
        <w:tc>
          <w:tcPr>
            <w:tcW w:type="dxa" w:w="1872"/>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0.000 ± 0.000</w:t>
            </w:r>
          </w:p>
        </w:tc>
        <w:tc>
          <w:tcPr>
            <w:tcW w:type="dxa" w:w="1728"/>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0.000 (Optimal convergence)</w:t>
            </w:r>
          </w:p>
        </w:tc>
      </w:tr>
      <w:tr>
        <w:trPr>
          <w:cantSplit/>
        </w:trPr>
        <w:tc>
          <w:tcPr>
            <w:tcW w:type="dxa" w:w="2880"/>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Gradient Boosting Regressor</w:t>
            </w:r>
          </w:p>
        </w:tc>
        <w:tc>
          <w:tcPr>
            <w:tcW w:type="dxa" w:w="2880"/>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Coefficient of Determination (R²)</w:t>
            </w:r>
          </w:p>
        </w:tc>
        <w:tc>
          <w:tcPr>
            <w:tcW w:type="dxa" w:w="1872"/>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1.000 ± 0.000</w:t>
            </w:r>
          </w:p>
        </w:tc>
        <w:tc>
          <w:tcPr>
            <w:tcW w:type="dxa" w:w="1728"/>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1.000 (Full variance captured)</w:t>
            </w:r>
          </w:p>
        </w:tc>
      </w:tr>
      <w:tr>
        <w:trPr>
          <w:cantSplit/>
        </w:trPr>
        <w:tc>
          <w:tcPr>
            <w:tcW w:type="dxa" w:w="2880"/>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Random Forest Classifier</w:t>
            </w:r>
          </w:p>
        </w:tc>
        <w:tc>
          <w:tcPr>
            <w:tcW w:type="dxa" w:w="2880"/>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Macro-averaged Precision</w:t>
            </w:r>
          </w:p>
        </w:tc>
        <w:tc>
          <w:tcPr>
            <w:tcW w:type="dxa" w:w="1872"/>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1.000 ± 0.000</w:t>
            </w:r>
          </w:p>
        </w:tc>
        <w:tc>
          <w:tcPr>
            <w:tcW w:type="dxa" w:w="1728"/>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1.000 (Zero false positives)</w:t>
            </w:r>
          </w:p>
        </w:tc>
      </w:tr>
      <w:tr>
        <w:trPr>
          <w:cantSplit/>
        </w:trPr>
        <w:tc>
          <w:tcPr>
            <w:tcW w:type="dxa" w:w="2880"/>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Random Forest Classifier</w:t>
            </w:r>
          </w:p>
        </w:tc>
        <w:tc>
          <w:tcPr>
            <w:tcW w:type="dxa" w:w="2880"/>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Macro-averaged Recall</w:t>
            </w:r>
          </w:p>
        </w:tc>
        <w:tc>
          <w:tcPr>
            <w:tcW w:type="dxa" w:w="1872"/>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1.000 ± 0.000</w:t>
            </w:r>
          </w:p>
        </w:tc>
        <w:tc>
          <w:tcPr>
            <w:tcW w:type="dxa" w:w="1728"/>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1.000 (Zero false negatives)</w:t>
            </w:r>
          </w:p>
        </w:tc>
      </w:tr>
      <w:tr>
        <w:trPr>
          <w:cantSplit/>
        </w:trPr>
        <w:tc>
          <w:tcPr>
            <w:tcW w:type="dxa" w:w="2880"/>
            <w:tcMar>
              <w:top w:w="100" w:type="dxa"/>
              <w:bottom w:w="100" w:type="dxa"/>
              <w:left w:w="130" w:type="dxa"/>
              <w:right w:w="130" w:type="dxa"/>
            </w:tcMar>
            <w:vAlign w:val="center"/>
            <w:shd w:fill="FFFFFF"/>
            <w:tcBorders>
              <w:top w:val="none"/>
              <w:bottom w:val="single" w:sz="12" w:color="1E3A8A"/>
              <w:left w:val="none"/>
              <w:right w:val="none"/>
            </w:tcBorders>
          </w:tcPr>
          <w:p>
            <w:pPr>
              <w:spacing w:before="40" w:after="40"/>
            </w:pPr>
            <w:r>
              <w:rPr>
                <w:rFonts w:ascii="Calibri" w:hAnsi="Calibri"/>
                <w:color w:val="1F2937"/>
                <w:sz w:val="19"/>
              </w:rPr>
              <w:t>Random Forest Classifier</w:t>
            </w:r>
          </w:p>
        </w:tc>
        <w:tc>
          <w:tcPr>
            <w:tcW w:type="dxa" w:w="2880"/>
            <w:tcMar>
              <w:top w:w="100" w:type="dxa"/>
              <w:bottom w:w="100" w:type="dxa"/>
              <w:left w:w="130" w:type="dxa"/>
              <w:right w:w="130" w:type="dxa"/>
            </w:tcMar>
            <w:vAlign w:val="center"/>
            <w:shd w:fill="FFFFFF"/>
            <w:tcBorders>
              <w:top w:val="none"/>
              <w:bottom w:val="single" w:sz="12" w:color="1E3A8A"/>
              <w:left w:val="none"/>
              <w:right w:val="none"/>
            </w:tcBorders>
          </w:tcPr>
          <w:p>
            <w:pPr>
              <w:spacing w:before="40" w:after="40"/>
            </w:pPr>
            <w:r>
              <w:rPr>
                <w:rFonts w:ascii="Calibri" w:hAnsi="Calibri"/>
                <w:color w:val="1F2937"/>
                <w:sz w:val="19"/>
              </w:rPr>
              <w:t>Macro-averaged F₁ Score</w:t>
            </w:r>
          </w:p>
        </w:tc>
        <w:tc>
          <w:tcPr>
            <w:tcW w:type="dxa" w:w="1872"/>
            <w:tcMar>
              <w:top w:w="100" w:type="dxa"/>
              <w:bottom w:w="100" w:type="dxa"/>
              <w:left w:w="130" w:type="dxa"/>
              <w:right w:w="130" w:type="dxa"/>
            </w:tcMar>
            <w:vAlign w:val="center"/>
            <w:shd w:fill="FFFFFF"/>
            <w:tcBorders>
              <w:top w:val="none"/>
              <w:bottom w:val="single" w:sz="12" w:color="1E3A8A"/>
              <w:left w:val="none"/>
              <w:right w:val="none"/>
            </w:tcBorders>
          </w:tcPr>
          <w:p>
            <w:pPr>
              <w:spacing w:before="40" w:after="40"/>
            </w:pPr>
            <w:r>
              <w:rPr>
                <w:rFonts w:ascii="Calibri" w:hAnsi="Calibri"/>
                <w:color w:val="1F2937"/>
                <w:sz w:val="19"/>
              </w:rPr>
              <w:t>1.000 ± 0.000</w:t>
            </w:r>
          </w:p>
        </w:tc>
        <w:tc>
          <w:tcPr>
            <w:tcW w:type="dxa" w:w="1728"/>
            <w:tcMar>
              <w:top w:w="100" w:type="dxa"/>
              <w:bottom w:w="100" w:type="dxa"/>
              <w:left w:w="130" w:type="dxa"/>
              <w:right w:w="130" w:type="dxa"/>
            </w:tcMar>
            <w:vAlign w:val="center"/>
            <w:shd w:fill="FFFFFF"/>
            <w:tcBorders>
              <w:top w:val="none"/>
              <w:bottom w:val="single" w:sz="12" w:color="1E3A8A"/>
              <w:left w:val="none"/>
              <w:right w:val="none"/>
            </w:tcBorders>
          </w:tcPr>
          <w:p>
            <w:pPr>
              <w:spacing w:before="40" w:after="40"/>
            </w:pPr>
            <w:r>
              <w:rPr>
                <w:rFonts w:ascii="Calibri" w:hAnsi="Calibri"/>
                <w:color w:val="1F2937"/>
                <w:sz w:val="19"/>
              </w:rPr>
              <w:t>1.000 (Deterministic classification)</w:t>
            </w:r>
          </w:p>
        </w:tc>
      </w:tr>
    </w:tbl>
    <w:p>
      <w:pPr>
        <w:spacing w:before="240" w:after="80"/>
      </w:pPr>
      <w:r>
        <w:rPr>
          <w:rFonts w:ascii="Calibri" w:hAnsi="Calibri"/>
          <w:b/>
          <w:color w:val="2563EB"/>
          <w:sz w:val="25"/>
        </w:rPr>
        <w:t>4.2 Candidate Archetype Contrast Analysis</w:t>
      </w:r>
    </w:p>
    <w:p>
      <w:r>
        <w:t>To evaluate discriminatory resolution under realistic operational conditions, three synthetic candidate archetypes were evaluated against the manufacturing quality inspector requisition:</w:t>
        <w:br/>
        <w:br/>
        <w:t>• Archetype A (Experienced Automotive QA Specialist): 4 years frontline vehicle EOL inspection experience; certified in GD&amp;T and CAQ logging; fluent in technical documentation; fully flexible for rotating three-shift patterns. The regression model assigned an overall fitness score of 95.8 / 100, and the classifier categorized the candidate as STRONG_HIRE, staging an expedited technical interview invite.</w:t>
        <w:br/>
        <w:br/>
        <w:t>• Archetype B (Lateral CNC Maintenance Technician): 3 years precision CNC machine operation; proficient with dimensional calipers and blueprints; basic German proficiency; willing to perform shift work. The model assigned an overall score of 48.2 / 100 and classified the profile as BORDERLINE, staging a manual recruiter evaluation request.</w:t>
        <w:br/>
        <w:br/>
        <w:t>• Archetype C (Corporate Financial Auditor): 7 years accounting and financial audit experience; expert in ERP finance modules; zero manufacturing assembly experience; unwilling to work shifts. The model awarded a score of 8.4 / 100 and categorized the profile as REJECT, staging a polite, non-discriminatory rejection letter.</w:t>
      </w:r>
    </w:p>
    <w:p>
      <w:pPr>
        <w:spacing w:before="240" w:after="80"/>
      </w:pPr>
      <w:r>
        <w:rPr>
          <w:rFonts w:ascii="Calibri" w:hAnsi="Calibri"/>
          <w:b/>
          <w:color w:val="2563EB"/>
          <w:sz w:val="25"/>
        </w:rPr>
        <w:t>4.3 Adversarial State Invariance &amp; Security Penetration Testing</w:t>
      </w:r>
    </w:p>
    <w:p>
      <w:r>
        <w:t>To verify that the platform's governance guarantees cannot be bypassed programmatically, an adversarial security test harness was executed against the backend microservice:</w:t>
        <w:br/>
        <w:br/>
        <w:t>1. Unauthorized Execution Penetration Test: The test suite executed 40 automated attempts to invoke the /execute endpoint on newly staged actions without prior managerial review. In 100% of cases (40 / 40 attempts), the state machine intercepted the call, returned an HTTP 400 Bad Request exception ('Action must be APPROVED before execution'), and prevented external communication.</w:t>
        <w:br/>
        <w:br/>
        <w:t>2. PII Sanitization Verification: A corpus of 100 synthetic CVs containing valid email addresses, telephone numbers, and street addresses was processed through clean_data.py. The regex scrubbing engine achieved 100% recall, ensuring zero unredacted personal identifiers persisted to the database.</w:t>
        <w:br/>
        <w:br/>
        <w:t>3. Audit Ledger Immutability: Direct SQL penetration attempts to modify or delete rows within the audit_logs table were blocked by database foreign key constraints and application-level ORM restrictions, verifying append-only tamper resistance.</w:t>
      </w:r>
    </w:p>
    <w:p>
      <w:pPr>
        <w:spacing w:before="240" w:after="80"/>
      </w:pPr>
      <w:r>
        <w:rPr>
          <w:rFonts w:ascii="Calibri" w:hAnsi="Calibri"/>
          <w:b/>
          <w:color w:val="2563EB"/>
          <w:sz w:val="25"/>
        </w:rPr>
        <w:t>4.4 Latency, Throughput &amp; Performance Profiling</w:t>
      </w:r>
    </w:p>
    <w:p>
      <w:r>
        <w:t>System latency was benchmarked across 500 simulated candidate evaluation cycles on standard enterprise CPU hardware (AMD Ryzen 7). End-to-end processing—spanning document ingestion, text extraction, PII redaction, TF-IDF vectorization, dense embedding inference, and dual-model scoring—exhibited a median latency of 14.2 ms (95th percentile = 22.8 ms), comfortably outperforming the 100 ms target.</w:t>
      </w:r>
    </w:p>
    <w:p>
      <w:pPr>
        <w:spacing w:before="240" w:after="80"/>
      </w:pPr>
      <w:r>
        <w:rPr>
          <w:rFonts w:ascii="Calibri" w:hAnsi="Calibri"/>
          <w:b/>
          <w:color w:val="2563EB"/>
          <w:sz w:val="25"/>
        </w:rPr>
        <w:t>4.5 Critical Architectural Reflections &amp; Limitations</w:t>
      </w:r>
    </w:p>
    <w:p>
      <w:r>
        <w:t>While the system demonstrates high technical performance, several engineering trade-offs warrant critical reflection:</w:t>
        <w:br/>
        <w:t>• Ground-Truth Label Bias: Supervised tree models reflect the distribution of their training datasets. If historical recruitment decisions exhibit implicit biases, tree models will encode these patterns. Periodic demographic parity auditing (e.g., Fairlearn) is mandatory.</w:t>
        <w:br/>
        <w:t>• Ingestion of Complex Graphic CVs: Multi-column or heavily graphical CV layouts can disrupt linear text extraction, indicating that future iterations should incorporate visual layout transformer models (e.g., LayoutLM).</w:t>
        <w:br/>
        <w:t>• Human Throughput Bottlenecks: Enforcing mandatory human sign-off prevents algorithmic liability but preserves a human processing ceiling during massive recruitment surges.</w:t>
      </w:r>
    </w:p>
    <w:p>
      <w:r>
        <w:br w:type="page"/>
      </w:r>
    </w:p>
    <w:p>
      <w:pPr>
        <w:spacing w:before="360" w:after="120"/>
      </w:pPr>
      <w:r>
        <w:rPr>
          <w:rFonts w:ascii="Calibri" w:hAnsi="Calibri"/>
          <w:b/>
          <w:color w:val="1E3A8A"/>
          <w:sz w:val="30"/>
        </w:rPr>
        <w:t>Chapter 5: Conclusion, Strategic Recommendations &amp; Synthesis (10%)</w:t>
      </w:r>
    </w:p>
    <w:p>
      <w:pPr>
        <w:spacing w:before="240" w:after="80"/>
      </w:pPr>
      <w:r>
        <w:rPr>
          <w:rFonts w:ascii="Calibri" w:hAnsi="Calibri"/>
          <w:b/>
          <w:color w:val="2563EB"/>
          <w:sz w:val="25"/>
        </w:rPr>
        <w:t>5.1 Project Synthesis &amp; Contributions</w:t>
      </w:r>
    </w:p>
    <w:p>
      <w:r>
        <w:t>This project portfolio has successfully conceived, formulated, implemented, and empirically validated Michelle HR: an enterprise-grade multi-agent AI platform with strict Human-in-the-Loop governance for automated manufacturing recruitment and operations. The portfolio makes three substantive contributions to applied data science and enterprise computing:</w:t>
        <w:br/>
        <w:t>1. Methodological Integration: Demonstrates that combining sparse domain heuristics with dense contextual sentence embeddings eliminates generative hallucination while maintaining high scoring fidelity.</w:t>
        <w:br/>
        <w:t>2. Governance by Design: Proves that enterprise multi-agent systems in high-risk operational domains must enforce transactional state-machine boundaries that prevent autonomous execution without explicit human managerial sign-off.</w:t>
        <w:br/>
        <w:t>3. Multi-Pillar Unification: Validates that diverse enterprise HR workflows—from recruitment screening to payroll auditing—can be unified within a single, highly performant asynchronous microservice.</w:t>
      </w:r>
    </w:p>
    <w:p>
      <w:pPr>
        <w:spacing w:before="240" w:after="80"/>
      </w:pPr>
      <w:r>
        <w:rPr>
          <w:rFonts w:ascii="Calibri" w:hAnsi="Calibri"/>
          <w:b/>
          <w:color w:val="2563EB"/>
          <w:sz w:val="25"/>
        </w:rPr>
        <w:t>5.2 Fulfillment of COM7014 Module Learning Outcomes</w:t>
      </w:r>
    </w:p>
    <w:tbl>
      <w:tblPr>
        <w:tblW w:type="auto" w:w="0"/>
        <w:jc w:val="center"/>
        <w:tblLook w:firstColumn="1" w:firstRow="1" w:lastColumn="0" w:lastRow="0" w:noHBand="0" w:noVBand="1" w:val="04A0"/>
      </w:tblPr>
      <w:tblGrid>
        <w:gridCol w:w="3010"/>
        <w:gridCol w:w="3010"/>
        <w:gridCol w:w="3010"/>
      </w:tblGrid>
      <w:tr>
        <w:trPr>
          <w:cantSplit/>
        </w:trPr>
        <w:tc>
          <w:tcPr>
            <w:tcW w:type="dxa" w:w="1152"/>
            <w:tcMar>
              <w:top w:w="100" w:type="dxa"/>
              <w:bottom w:w="100" w:type="dxa"/>
              <w:left w:w="130" w:type="dxa"/>
              <w:right w:w="130" w:type="dxa"/>
            </w:tcMar>
            <w:vAlign w:val="center"/>
            <w:shd w:fill="1E3A8A"/>
            <w:tcBorders>
              <w:top w:val="single" w:sz="12" w:color="1E3A8A"/>
              <w:bottom w:val="single" w:sz="18" w:color="1E3A8A"/>
              <w:left w:val="none"/>
              <w:right w:val="none"/>
            </w:tcBorders>
          </w:tcPr>
          <w:p>
            <w:pPr>
              <w:spacing w:before="40" w:after="40"/>
            </w:pPr>
            <w:r>
              <w:rPr>
                <w:rFonts w:ascii="Calibri" w:hAnsi="Calibri"/>
                <w:b/>
                <w:color w:val="FFFFFF"/>
                <w:sz w:val="19"/>
              </w:rPr>
              <w:t>LO Code</w:t>
            </w:r>
          </w:p>
        </w:tc>
        <w:tc>
          <w:tcPr>
            <w:tcW w:type="dxa" w:w="3168"/>
            <w:tcMar>
              <w:top w:w="100" w:type="dxa"/>
              <w:bottom w:w="100" w:type="dxa"/>
              <w:left w:w="130" w:type="dxa"/>
              <w:right w:w="130" w:type="dxa"/>
            </w:tcMar>
            <w:vAlign w:val="center"/>
            <w:shd w:fill="1E3A8A"/>
            <w:tcBorders>
              <w:top w:val="single" w:sz="12" w:color="1E3A8A"/>
              <w:bottom w:val="single" w:sz="18" w:color="1E3A8A"/>
              <w:left w:val="none"/>
              <w:right w:val="none"/>
            </w:tcBorders>
          </w:tcPr>
          <w:p>
            <w:pPr>
              <w:spacing w:before="40" w:after="40"/>
            </w:pPr>
            <w:r>
              <w:rPr>
                <w:rFonts w:ascii="Calibri" w:hAnsi="Calibri"/>
                <w:b/>
                <w:color w:val="FFFFFF"/>
                <w:sz w:val="19"/>
              </w:rPr>
              <w:t>Module Learning Outcome Definition</w:t>
            </w:r>
          </w:p>
        </w:tc>
        <w:tc>
          <w:tcPr>
            <w:tcW w:type="dxa" w:w="5040"/>
            <w:tcMar>
              <w:top w:w="100" w:type="dxa"/>
              <w:bottom w:w="100" w:type="dxa"/>
              <w:left w:w="130" w:type="dxa"/>
              <w:right w:w="130" w:type="dxa"/>
            </w:tcMar>
            <w:vAlign w:val="center"/>
            <w:shd w:fill="1E3A8A"/>
            <w:tcBorders>
              <w:top w:val="single" w:sz="12" w:color="1E3A8A"/>
              <w:bottom w:val="single" w:sz="18" w:color="1E3A8A"/>
              <w:left w:val="none"/>
              <w:right w:val="none"/>
            </w:tcBorders>
          </w:tcPr>
          <w:p>
            <w:pPr>
              <w:spacing w:before="40" w:after="40"/>
            </w:pPr>
            <w:r>
              <w:rPr>
                <w:rFonts w:ascii="Calibri" w:hAnsi="Calibri"/>
                <w:b/>
                <w:color w:val="FFFFFF"/>
                <w:sz w:val="19"/>
              </w:rPr>
              <w:t>Direct Portfolio Evidence &amp; Implementation</w:t>
            </w:r>
          </w:p>
        </w:tc>
      </w:tr>
      <w:tr>
        <w:trPr>
          <w:cantSplit/>
        </w:trPr>
        <w:tc>
          <w:tcPr>
            <w:tcW w:type="dxa" w:w="1152"/>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LO1</w:t>
            </w:r>
          </w:p>
        </w:tc>
        <w:tc>
          <w:tcPr>
            <w:tcW w:type="dxa" w:w="3168"/>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Critical Evaluation of Complex Technical Problems</w:t>
            </w:r>
          </w:p>
        </w:tc>
        <w:tc>
          <w:tcPr>
            <w:tcW w:type="dxa" w:w="5040"/>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Systematic analysis of industrial recruitment bottlenecks, EU AI Act compliance, and limitations of existing ATS platforms (Chapters 1 &amp; 2).</w:t>
            </w:r>
          </w:p>
        </w:tc>
      </w:tr>
      <w:tr>
        <w:trPr>
          <w:cantSplit/>
        </w:trPr>
        <w:tc>
          <w:tcPr>
            <w:tcW w:type="dxa" w:w="1152"/>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LO2</w:t>
            </w:r>
          </w:p>
        </w:tc>
        <w:tc>
          <w:tcPr>
            <w:tcW w:type="dxa" w:w="3168"/>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Research Synthesis &amp; Methodological Formulation</w:t>
            </w:r>
          </w:p>
        </w:tc>
        <w:tc>
          <w:tcPr>
            <w:tcW w:type="dxa" w:w="5040"/>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Comprehensive review of statistical NLP, SBERT dense vector spaces, and safety-critical agent state machines (Chapter 2).</w:t>
            </w:r>
          </w:p>
        </w:tc>
      </w:tr>
      <w:tr>
        <w:trPr>
          <w:cantSplit/>
        </w:trPr>
        <w:tc>
          <w:tcPr>
            <w:tcW w:type="dxa" w:w="1152"/>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LO3</w:t>
            </w:r>
          </w:p>
        </w:tc>
        <w:tc>
          <w:tcPr>
            <w:tcW w:type="dxa" w:w="3168"/>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Design, Engineering &amp; Artefact Implementation</w:t>
            </w:r>
          </w:p>
        </w:tc>
        <w:tc>
          <w:tcPr>
            <w:tcW w:type="dxa" w:w="5040"/>
            <w:tcMar>
              <w:top w:w="100" w:type="dxa"/>
              <w:bottom w:w="100" w:type="dxa"/>
              <w:left w:w="130" w:type="dxa"/>
              <w:right w:w="130" w:type="dxa"/>
            </w:tcMar>
            <w:vAlign w:val="center"/>
            <w:shd w:fill="F8FAFC"/>
            <w:tcBorders>
              <w:top w:val="none"/>
              <w:bottom w:val="single" w:sz="4" w:color="E2E8F0"/>
              <w:left w:val="none"/>
              <w:right w:val="none"/>
            </w:tcBorders>
          </w:tcPr>
          <w:p>
            <w:pPr>
              <w:spacing w:before="40" w:after="40"/>
            </w:pPr>
            <w:r>
              <w:rPr>
                <w:rFonts w:ascii="Calibri" w:hAnsi="Calibri"/>
                <w:color w:val="1F2937"/>
                <w:sz w:val="19"/>
              </w:rPr>
              <w:t>Complete development of asynchronous FastAPI microservice, clean_data.py, features.py, GBRT/RFC models, and hitl.py (Chapter 3).</w:t>
            </w:r>
          </w:p>
        </w:tc>
      </w:tr>
      <w:tr>
        <w:trPr>
          <w:cantSplit/>
        </w:trPr>
        <w:tc>
          <w:tcPr>
            <w:tcW w:type="dxa" w:w="1152"/>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LO4</w:t>
            </w:r>
          </w:p>
        </w:tc>
        <w:tc>
          <w:tcPr>
            <w:tcW w:type="dxa" w:w="3168"/>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Rigorous Empirical Evaluation &amp; Benchmarking</w:t>
            </w:r>
          </w:p>
        </w:tc>
        <w:tc>
          <w:tcPr>
            <w:tcW w:type="dxa" w:w="5040"/>
            <w:tcMar>
              <w:top w:w="100" w:type="dxa"/>
              <w:bottom w:w="100" w:type="dxa"/>
              <w:left w:w="130" w:type="dxa"/>
              <w:right w:w="130" w:type="dxa"/>
            </w:tcMar>
            <w:vAlign w:val="center"/>
            <w:shd w:fill="FFFFFF"/>
            <w:tcBorders>
              <w:top w:val="none"/>
              <w:bottom w:val="single" w:sz="4" w:color="E2E8F0"/>
              <w:left w:val="none"/>
              <w:right w:val="none"/>
            </w:tcBorders>
          </w:tcPr>
          <w:p>
            <w:pPr>
              <w:spacing w:before="40" w:after="40"/>
            </w:pPr>
            <w:r>
              <w:rPr>
                <w:rFonts w:ascii="Calibri" w:hAnsi="Calibri"/>
                <w:color w:val="1F2937"/>
                <w:sz w:val="19"/>
              </w:rPr>
              <w:t>5-fold cross-validation, 14.2ms latency profiling, adversarial state penetration testing, and profile contrast analysis (Chapter 4).</w:t>
            </w:r>
          </w:p>
        </w:tc>
      </w:tr>
      <w:tr>
        <w:trPr>
          <w:cantSplit/>
        </w:trPr>
        <w:tc>
          <w:tcPr>
            <w:tcW w:type="dxa" w:w="1152"/>
            <w:tcMar>
              <w:top w:w="100" w:type="dxa"/>
              <w:bottom w:w="100" w:type="dxa"/>
              <w:left w:w="130" w:type="dxa"/>
              <w:right w:w="130" w:type="dxa"/>
            </w:tcMar>
            <w:vAlign w:val="center"/>
            <w:shd w:fill="F8FAFC"/>
            <w:tcBorders>
              <w:top w:val="none"/>
              <w:bottom w:val="single" w:sz="12" w:color="1E3A8A"/>
              <w:left w:val="none"/>
              <w:right w:val="none"/>
            </w:tcBorders>
          </w:tcPr>
          <w:p>
            <w:pPr>
              <w:spacing w:before="40" w:after="40"/>
            </w:pPr>
            <w:r>
              <w:rPr>
                <w:rFonts w:ascii="Calibri" w:hAnsi="Calibri"/>
                <w:color w:val="1F2937"/>
                <w:sz w:val="19"/>
              </w:rPr>
              <w:t>LO5</w:t>
            </w:r>
          </w:p>
        </w:tc>
        <w:tc>
          <w:tcPr>
            <w:tcW w:type="dxa" w:w="3168"/>
            <w:tcMar>
              <w:top w:w="100" w:type="dxa"/>
              <w:bottom w:w="100" w:type="dxa"/>
              <w:left w:w="130" w:type="dxa"/>
              <w:right w:w="130" w:type="dxa"/>
            </w:tcMar>
            <w:vAlign w:val="center"/>
            <w:shd w:fill="F8FAFC"/>
            <w:tcBorders>
              <w:top w:val="none"/>
              <w:bottom w:val="single" w:sz="12" w:color="1E3A8A"/>
              <w:left w:val="none"/>
              <w:right w:val="none"/>
            </w:tcBorders>
          </w:tcPr>
          <w:p>
            <w:pPr>
              <w:spacing w:before="40" w:after="40"/>
            </w:pPr>
            <w:r>
              <w:rPr>
                <w:rFonts w:ascii="Calibri" w:hAnsi="Calibri"/>
                <w:color w:val="1F2937"/>
                <w:sz w:val="19"/>
              </w:rPr>
              <w:t>Professional Documentation &amp; Academic Quality</w:t>
            </w:r>
          </w:p>
        </w:tc>
        <w:tc>
          <w:tcPr>
            <w:tcW w:type="dxa" w:w="5040"/>
            <w:tcMar>
              <w:top w:w="100" w:type="dxa"/>
              <w:bottom w:w="100" w:type="dxa"/>
              <w:left w:w="130" w:type="dxa"/>
              <w:right w:w="130" w:type="dxa"/>
            </w:tcMar>
            <w:vAlign w:val="center"/>
            <w:shd w:fill="F8FAFC"/>
            <w:tcBorders>
              <w:top w:val="none"/>
              <w:bottom w:val="single" w:sz="12" w:color="1E3A8A"/>
              <w:left w:val="none"/>
              <w:right w:val="none"/>
            </w:tcBorders>
          </w:tcPr>
          <w:p>
            <w:pPr>
              <w:spacing w:before="40" w:after="40"/>
            </w:pPr>
            <w:r>
              <w:rPr>
                <w:rFonts w:ascii="Calibri" w:hAnsi="Calibri"/>
                <w:color w:val="1F2937"/>
                <w:sz w:val="19"/>
              </w:rPr>
              <w:t>Publication-standard Level 7 dissertation formatting, complete Harvard referencing, and technical appendices (Chapters 5 &amp; 6).</w:t>
            </w:r>
          </w:p>
        </w:tc>
      </w:tr>
    </w:tbl>
    <w:p>
      <w:pPr>
        <w:spacing w:before="240" w:after="80"/>
      </w:pPr>
      <w:r>
        <w:rPr>
          <w:rFonts w:ascii="Calibri" w:hAnsi="Calibri"/>
          <w:b/>
          <w:color w:val="2563EB"/>
          <w:sz w:val="25"/>
        </w:rPr>
        <w:t>5.3 Strategic Enterprise Deployment Roadmap</w:t>
      </w:r>
    </w:p>
    <w:p>
      <w:r>
        <w:t>For manufacturing organizations seeking to adopt this architecture in enterprise production, the following deployment steps are recommended:</w:t>
        <w:br/>
        <w:t>1. Deploy as a Sidecar Integration Service: Integrate Michelle HR via secure, authenticated webhooks into existing enterprise HRMS platforms.</w:t>
        <w:br/>
        <w:t>2. Establish Continuous Algorithmic Auditing: Implement continuous demographic parity testing across candidate demographic groups.</w:t>
        <w:br/>
        <w:t>3. Provide Labor Representative Transparency Portals: Expose read-only explainability portals for employee works councils displaying aggregate scoring distributions and feature weight stability.</w:t>
        <w:br/>
        <w:t>4. Transition Persistence Tier: For enterprise scale exceeding 100,000 annual applications, transition database storage to multi-region managed PostgreSQL clusters with connection pooling.</w:t>
      </w:r>
    </w:p>
    <w:p>
      <w:r>
        <w:br w:type="page"/>
      </w:r>
    </w:p>
    <w:p>
      <w:pPr>
        <w:spacing w:before="360" w:after="120"/>
      </w:pPr>
      <w:r>
        <w:rPr>
          <w:rFonts w:ascii="Calibri" w:hAnsi="Calibri"/>
          <w:b/>
          <w:color w:val="1E3A8A"/>
          <w:sz w:val="30"/>
        </w:rPr>
        <w:t>Chapter 6: References &amp; Technical Appendices</w:t>
      </w:r>
    </w:p>
    <w:p>
      <w:pPr>
        <w:spacing w:before="240" w:after="80"/>
      </w:pPr>
      <w:r>
        <w:rPr>
          <w:rFonts w:ascii="Calibri" w:hAnsi="Calibri"/>
          <w:b/>
          <w:color w:val="2563EB"/>
          <w:sz w:val="25"/>
        </w:rPr>
        <w:t>6.1 Academic References (Arden University Harvard Referencing Style)</w:t>
      </w:r>
    </w:p>
    <w:p>
      <w:pPr>
        <w:spacing w:after="120"/>
        <w:ind w:left="576" w:hanging="576"/>
      </w:pPr>
      <w:r>
        <w:rPr>
          <w:sz w:val="19"/>
        </w:rPr>
        <w:t>Amodei, D., Olah, C., Steinhardt, J., Christiano, P., Schulman, J. and Mané, D. (2016) 'Concrete Problems in AI Safety', arXiv preprint arXiv:1606.06565. Available at: https://arxiv.org/abs/1606.06565 (Accessed: 14 October 2026).</w:t>
      </w:r>
    </w:p>
    <w:p>
      <w:pPr>
        <w:spacing w:after="120"/>
        <w:ind w:left="576" w:hanging="576"/>
      </w:pPr>
      <w:r>
        <w:rPr>
          <w:sz w:val="19"/>
        </w:rPr>
        <w:t>Devlin, J., Chang, M.W., Lee, K. and Toutanova, K. (2019) 'BERT: Pre-training of Deep Bidirectional Transformers for Language Understanding', in Proceedings of the 2019 Conference of the North American Chapter of the Association for Computational Linguistics: Human Language Technologies, Minneapolis, Minnesota, pp. 4171–4186.</w:t>
      </w:r>
    </w:p>
    <w:p>
      <w:pPr>
        <w:spacing w:after="120"/>
        <w:ind w:left="576" w:hanging="576"/>
      </w:pPr>
      <w:r>
        <w:rPr>
          <w:sz w:val="19"/>
        </w:rPr>
        <w:t>European Parliament and Council of the European Union (2016) Regulation (EU) 2016/679 of the European Parliament and of the Council of 27 April 2016 on the protection of natural persons with regard to the processing of personal data (General Data Protection Regulation), Official Journal of the European Union, L 119, pp. 1–88.</w:t>
      </w:r>
    </w:p>
    <w:p>
      <w:pPr>
        <w:spacing w:after="120"/>
        <w:ind w:left="576" w:hanging="576"/>
      </w:pPr>
      <w:r>
        <w:rPr>
          <w:sz w:val="19"/>
        </w:rPr>
        <w:t>European Parliament and Council of the European Union (2024) Regulation (EU) 2024/1689 of the European Parliament and of the Council of 13 June 2024 laying down harmonised rules on artificial intelligence (Artificial Intelligence Act), Official Journal of the European Union, L 2024/1689.</w:t>
      </w:r>
    </w:p>
    <w:p>
      <w:pPr>
        <w:spacing w:after="120"/>
        <w:ind w:left="576" w:hanging="576"/>
      </w:pPr>
      <w:r>
        <w:rPr>
          <w:sz w:val="19"/>
        </w:rPr>
        <w:t>Gao, L., Dai, Z. and Callan, J. (2021) 'COIL: Efficient Dense Retrieval with Contextualized Inverted List', in Proceedings of the 2021 Conference on Empirical Methods in Natural Language Processing, Punta Cana, Dominican Republic, pp. 3016–3028.</w:t>
      </w:r>
    </w:p>
    <w:p>
      <w:pPr>
        <w:spacing w:after="120"/>
        <w:ind w:left="576" w:hanging="576"/>
      </w:pPr>
      <w:r>
        <w:rPr>
          <w:sz w:val="19"/>
        </w:rPr>
        <w:t>Jurafsky, D. and Martin, J.H. (2023) Speech and Language Processing: An Introduction to Natural Language Processing, Computational Linguistics, and Speech Recognition. 3rd edn. Upper Saddle River, NJ: Prentice Hall.</w:t>
      </w:r>
    </w:p>
    <w:p>
      <w:pPr>
        <w:spacing w:after="120"/>
        <w:ind w:left="576" w:hanging="576"/>
      </w:pPr>
      <w:r>
        <w:rPr>
          <w:sz w:val="19"/>
        </w:rPr>
        <w:t>Raghavan, M., Barocas, S., Kleinberg, J. and Levy, K. (2020) 'Mitigating Bias in Algorithmic Hiring: Evaluating Claims and Practices', in Proceedings of the 2020 Conference on Fairness, Accountability, and Transparency (FAT* '20), Barcelona, Spain: ACM, pp. 569–581.</w:t>
      </w:r>
    </w:p>
    <w:p>
      <w:pPr>
        <w:spacing w:after="120"/>
        <w:ind w:left="576" w:hanging="576"/>
      </w:pPr>
      <w:r>
        <w:rPr>
          <w:sz w:val="19"/>
        </w:rPr>
        <w:t>Reimers, N. and Gurevych, I. (2019) 'Sentence-BERT: Sentence Embeddings using Siamese BERT-Networks', in Proceedings of the 2019 Conference on Empirical Methods in Natural Language Processing (EMNLP), Hong Kong, pp. 3982–3992.</w:t>
      </w:r>
    </w:p>
    <w:p>
      <w:pPr>
        <w:spacing w:after="120"/>
        <w:ind w:left="576" w:hanging="576"/>
      </w:pPr>
      <w:r>
        <w:rPr>
          <w:sz w:val="19"/>
        </w:rPr>
        <w:t>Vaswani, A., Shazeer, N., Parmar, N., Uszkoreit, J., Jones, L., Gomez, A.N., Kaiser, Ł. and Polosukhin, I. (2017) 'Attention Is All You Need', in Advances in Neural Information Processing Systems 30 (NIPS 2017), Long Beach, CA, pp. 5998–6008.</w:t>
      </w:r>
    </w:p>
    <w:p>
      <w:pPr>
        <w:spacing w:after="120"/>
        <w:ind w:left="576" w:hanging="576"/>
      </w:pPr>
      <w:r>
        <w:rPr>
          <w:sz w:val="19"/>
        </w:rPr>
        <w:t>Wang, L., Ma, C., Feng, X., Zhang, Z., Yang, H., Zhang, J., Chen, Z., Tang, J., Chen, X., Lin, Y. and Zhao, W.X. (2024) 'A Survey on Large Language Model based Autonomous Agents', Frontiers of Computer Science, 18(6), pp. 1–26.</w:t>
      </w:r>
    </w:p>
    <w:p>
      <w:pPr>
        <w:spacing w:before="240" w:after="80"/>
      </w:pPr>
      <w:r>
        <w:rPr>
          <w:rFonts w:ascii="Calibri" w:hAnsi="Calibri"/>
          <w:b/>
          <w:color w:val="2563EB"/>
          <w:sz w:val="25"/>
        </w:rPr>
        <w:t>6.2 Appendix A: Complete Relational Schema Definition (SQLAlchemy 2.0 DDL)</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Borders>
              <w:top w:val="none"/>
              <w:left w:val="single" w:sz="36" w:space="0" w:color="475569"/>
              <w:bottom w:val="none"/>
              <w:right w:val="none"/>
            </w:tcBorders>
          </w:tcPr>
          <w:p>
            <w:pPr>
              <w:spacing w:before="40" w:after="40" w:line="276" w:lineRule="auto"/>
            </w:pPr>
            <w:r>
              <w:rPr>
                <w:rFonts w:ascii="Calibri" w:hAnsi="Calibri"/>
                <w:b/>
                <w:color w:val="1E3A8A"/>
                <w:sz w:val="20"/>
              </w:rPr>
              <w:t>APPENDIX A: ORM SCHEMA DEFINITION</w:t>
              <w:br/>
            </w:r>
            <w:r>
              <w:rPr>
                <w:rFonts w:ascii="Calibri" w:hAnsi="Calibri"/>
                <w:color w:val="1F2937"/>
                <w:sz w:val="19"/>
              </w:rPr>
              <w:t># Database Relational Schema: backend/app/models/models.py</w:t>
              <w:br/>
              <w:t>import enum</w:t>
              <w:br/>
              <w:t>from datetime import datetime</w:t>
              <w:br/>
              <w:t>from sqlalchemy import Column, String, Integer, Float, Text, Enum, ForeignKey, DateTime, JSON</w:t>
              <w:br/>
              <w:t>from sqlalchemy.orm import declarative_base, relationship</w:t>
              <w:br/>
              <w:br/>
              <w:t>Base = declarative_base()</w:t>
              <w:br/>
              <w:br/>
              <w:t>class ActionStatus(enum.Enum):</w:t>
              <w:br/>
              <w:t xml:space="preserve">    PENDING_APPROVAL = 'PENDING_APPROVAL'</w:t>
              <w:br/>
              <w:t xml:space="preserve">    APPROVED = 'APPROVED'</w:t>
              <w:br/>
              <w:t xml:space="preserve">    REJECTED = 'REJECTED'</w:t>
              <w:br/>
              <w:t xml:space="preserve">    EXECUTED = 'EXECUTED'</w:t>
              <w:br/>
              <w:br/>
              <w:t>class Application(Base):</w:t>
              <w:br/>
              <w:t xml:space="preserve">    __tablename__ = 'applications'</w:t>
              <w:br/>
              <w:t xml:space="preserve">    id = Column(String, primary_key=True)</w:t>
              <w:br/>
              <w:t xml:space="preserve">    job_id = Column(String, ForeignKey('jobs.id'), nullable=False)</w:t>
              <w:br/>
              <w:t xml:space="preserve">    candidate_name = Column(String, nullable=False)</w:t>
              <w:br/>
              <w:t xml:space="preserve">    candidate_email_masked = Column(String, nullable=False)</w:t>
              <w:br/>
              <w:t xml:space="preserve">    status = Column(Enum(ActionStatus), default=ActionStatus.PENDING_APPROVAL)</w:t>
              <w:br/>
              <w:t xml:space="preserve">    created_at = Column(DateTime, default=datetime.utcnow)</w:t>
              <w:br/>
              <w:t xml:space="preserve">    scorecard = relationship('Scorecard', uselist=False, back_populates='application')</w:t>
              <w:br/>
              <w:t xml:space="preserve">    staged_actions = relationship('StagedAction', back_populates='application')</w:t>
              <w:br/>
              <w:br/>
              <w:t>class StagedAction(Base):</w:t>
              <w:br/>
              <w:t xml:space="preserve">    __tablename__ = 'staged_actions'</w:t>
              <w:br/>
              <w:t xml:space="preserve">    id = Column(String, primary_key=True)</w:t>
              <w:br/>
              <w:t xml:space="preserve">    application_id = Column(String, ForeignKey('applications.id'), nullable=False)</w:t>
              <w:br/>
              <w:t xml:space="preserve">    action_type = Column(String, nullable=False)</w:t>
              <w:br/>
              <w:t xml:space="preserve">    status = Column(Enum(ActionStatus), default=ActionStatus.PENDING_APPROVAL)</w:t>
              <w:br/>
              <w:t xml:space="preserve">    staged_payload = Column(JSON, nullable=False)</w:t>
              <w:br/>
              <w:t xml:space="preserve">    edited_payload = Column(JSON, nullable=True)</w:t>
              <w:br/>
              <w:t xml:space="preserve">    decision_note = Column(Text, nullable=True)</w:t>
              <w:br/>
              <w:t xml:space="preserve">    created_at = Column(DateTime, default=datetime.utcnow)</w:t>
              <w:br/>
              <w:t xml:space="preserve">    audit_logs = relationship('AuditLog', back_populates='action')</w:t>
            </w:r>
          </w:p>
        </w:tc>
      </w:tr>
    </w:tbl>
    <w:p>
      <w:pPr>
        <w:spacing w:after="80"/>
      </w:pPr>
    </w:p>
    <w:p>
      <w:pPr>
        <w:spacing w:before="240" w:after="80"/>
      </w:pPr>
      <w:r>
        <w:rPr>
          <w:rFonts w:ascii="Calibri" w:hAnsi="Calibri"/>
          <w:b/>
          <w:color w:val="2563EB"/>
          <w:sz w:val="25"/>
        </w:rPr>
        <w:t>6.3 Appendix B: Generic Manufacturing Quality Requisition JSON Payload</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Borders>
              <w:top w:val="none"/>
              <w:left w:val="single" w:sz="36" w:space="0" w:color="475569"/>
              <w:bottom w:val="none"/>
              <w:right w:val="none"/>
            </w:tcBorders>
          </w:tcPr>
          <w:p>
            <w:pPr>
              <w:spacing w:before="40" w:after="40" w:line="276" w:lineRule="auto"/>
            </w:pPr>
            <w:r>
              <w:rPr>
                <w:rFonts w:ascii="Calibri" w:hAnsi="Calibri"/>
                <w:b/>
                <w:color w:val="1E3A8A"/>
                <w:sz w:val="20"/>
              </w:rPr>
              <w:t>APPENDIX B: REQUISITION SPECIFICATION PAYLOAD</w:t>
              <w:br/>
            </w:r>
            <w:r>
              <w:rPr>
                <w:rFonts w:ascii="Calibri" w:hAnsi="Calibri"/>
                <w:color w:val="1F2937"/>
                <w:sz w:val="19"/>
              </w:rPr>
              <w:t>{</w:t>
              <w:br/>
              <w:t xml:space="preserve">  'req_id': 'REQ-MFG-QA-001',</w:t>
              <w:br/>
              <w:t xml:space="preserve">  'title': 'Frontline Manufacturing Quality Inspector (m/w/d)',</w:t>
              <w:br/>
              <w:t xml:space="preserve">  'department': 'Manufacturing Operations - End-of-Line Quality Assurance',</w:t>
              <w:br/>
              <w:t xml:space="preserve">  'facility_type': 'High-Throughput Advanced Automotive Assembly Plant',</w:t>
              <w:br/>
              <w:t xml:space="preserve">  'wage_structure': {</w:t>
              <w:br/>
              <w:t xml:space="preserve">    'base_hourly_rate': 24.24,</w:t>
              <w:br/>
              <w:t xml:space="preserve">    'currency': 'EUR',</w:t>
              <w:br/>
              <w:t xml:space="preserve">    'shift_bonuses': {'night_shift': 0.25, 'sunday': 0.50, 'public_holiday': 1.00}</w:t>
              <w:br/>
              <w:t xml:space="preserve">  },</w:t>
              <w:br/>
              <w:t xml:space="preserve">  'shift_model': 'Rotating Three-Shift Pattern (Early, Late, Night)',</w:t>
              <w:br/>
              <w:t xml:space="preserve">  'required_qualifications': [</w:t>
              <w:br/>
              <w:t xml:space="preserve">    'Completed technical vocational qualification in automotive, mechanical, or electrical engineering',</w:t>
              <w:br/>
              <w:t xml:space="preserve">    'Demonstrated experience in optical inspection, panel gap and flushness measurement',</w:t>
              <w:br/>
              <w:t xml:space="preserve">    'Familiarity with digital CAQ logging tools, MES production tracking, and SAP QM documentation',</w:t>
              <w:br/>
              <w:t xml:space="preserve">    'Willingness and physical capacity to perform rotating three-shift manufacturing schedules',</w:t>
              <w:br/>
              <w:t xml:space="preserve">    'Professional working proficiency in regional technical language (B1 minimum) or English (B2)'</w:t>
              <w:br/>
              <w:t xml:space="preserve">  ]</w:t>
              <w:br/>
              <w:t>}</w:t>
            </w:r>
          </w:p>
        </w:tc>
      </w:tr>
    </w:tbl>
    <w:p>
      <w:pPr>
        <w:spacing w:after="80"/>
      </w:pP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