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100"/>
        <w:jc w:val="center"/>
      </w:pPr>
      <w:r>
        <w:rPr>
          <w:rFonts w:ascii="Arial" w:cs="Arial" w:eastAsia="Arial" w:hAnsi="Arial"/>
          <w:b/>
          <w:bCs/>
          <w:color w:val="E85D26"/>
          <w:sz w:val="22"/>
          <w:szCs w:val="22"/>
        </w:rPr>
        <w:t xml:space="preserve">INDIAAI INNOVATION CHALLENGE 2026</w:t>
      </w:r>
    </w:p>
    <w:p>
      <w:pPr>
        <w:spacing w:after="60"/>
        <w:jc w:val="center"/>
      </w:pPr>
      <w:r>
        <w:rPr>
          <w:rFonts w:ascii="Arial" w:cs="Arial" w:eastAsia="Arial" w:hAnsi="Arial"/>
          <w:color w:val="555555"/>
          <w:sz w:val="19"/>
          <w:szCs w:val="19"/>
        </w:rPr>
        <w:t xml:space="preserve">Problem Statement 2: AI-Powered MSE Agent Mapping Tool</w:t>
      </w:r>
    </w:p>
    <w:p>
      <w:pPr>
        <w:spacing w:after="60"/>
      </w:pPr>
    </w:p>
    <w:p>
      <w:pPr>
        <w:spacing w:after="160"/>
        <w:jc w:val="center"/>
      </w:pPr>
      <w:r>
        <w:rPr>
          <w:rFonts w:ascii="Arial" w:cs="Arial" w:eastAsia="Arial" w:hAnsi="Arial"/>
          <w:b/>
          <w:bCs/>
          <w:color w:val="1A4D8F"/>
          <w:sz w:val="46"/>
          <w:szCs w:val="46"/>
        </w:rPr>
        <w:t xml:space="preserve">PRODUCT REQUIREMENTS DOCUMENT</w:t>
      </w:r>
    </w:p>
    <w:p>
      <w:pPr>
        <w:spacing w:after="60"/>
        <w:jc w:val="center"/>
      </w:pPr>
      <w:r>
        <w:rPr>
          <w:rFonts w:ascii="Arial" w:cs="Arial" w:eastAsia="Arial" w:hAnsi="Arial"/>
          <w:b/>
          <w:bCs/>
          <w:color w:val="0E7C7B"/>
          <w:sz w:val="38"/>
          <w:szCs w:val="38"/>
        </w:rPr>
        <w:t xml:space="preserve">AgentMap AI</w:t>
      </w:r>
    </w:p>
    <w:p>
      <w:pPr>
        <w:spacing w:after="40"/>
        <w:jc w:val="center"/>
      </w:pPr>
      <w:r>
        <w:rPr>
          <w:rFonts w:ascii="Arial" w:cs="Arial" w:eastAsia="Arial" w:hAnsi="Arial"/>
          <w:i/>
          <w:iCs/>
          <w:color w:val="555555"/>
          <w:sz w:val="21"/>
          <w:szCs w:val="21"/>
        </w:rPr>
        <w:t xml:space="preserve">AI-Native Intelligence Layer for ONDC MSE-SNP Mapping</w:t>
      </w:r>
    </w:p>
    <w:p>
      <w:pPr>
        <w:spacing w:after="60"/>
      </w:pPr>
    </w:p>
    <w:p>
      <w:pPr>
        <w:spacing w:after="60"/>
      </w:pPr>
    </w:p>
    <w:p>
      <w:pPr>
        <w:spacing w:after="60"/>
      </w:pP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tblGrid>
      <w:tr>
        <w:tc>
          <w:tcPr>
            <w:tcW w:type="dxa" w:w="18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A4D8F"/>
                <w:sz w:val="19"/>
                <w:szCs w:val="19"/>
              </w:rPr>
              <w:t xml:space="preserve">Team:</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2E"/>
                <w:sz w:val="19"/>
                <w:szCs w:val="19"/>
              </w:rPr>
              <w:t xml:space="preserve">XphoraAI</w:t>
            </w:r>
          </w:p>
        </w:tc>
      </w:tr>
      <w:tr>
        <w:tc>
          <w:tcPr>
            <w:tcW w:type="dxa" w:w="18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A4D8F"/>
                <w:sz w:val="19"/>
                <w:szCs w:val="19"/>
              </w:rPr>
              <w:t xml:space="preserve">Members:</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2E"/>
                <w:sz w:val="19"/>
                <w:szCs w:val="19"/>
              </w:rPr>
              <w:t xml:space="preserve">Suchi Bansal, Aakashdeep Srivastava, Vishalika</w:t>
            </w:r>
          </w:p>
        </w:tc>
      </w:tr>
      <w:tr>
        <w:tc>
          <w:tcPr>
            <w:tcW w:type="dxa" w:w="18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A4D8F"/>
                <w:sz w:val="19"/>
                <w:szCs w:val="19"/>
              </w:rPr>
              <w:t xml:space="preserve">Date:</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2E"/>
                <w:sz w:val="19"/>
                <w:szCs w:val="19"/>
              </w:rPr>
              <w:t xml:space="preserve">February 2026</w:t>
            </w:r>
          </w:p>
        </w:tc>
      </w:tr>
      <w:tr>
        <w:tc>
          <w:tcPr>
            <w:tcW w:type="dxa" w:w="18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A4D8F"/>
                <w:sz w:val="19"/>
                <w:szCs w:val="19"/>
              </w:rPr>
              <w:t xml:space="preserve">Version:</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2E"/>
                <w:sz w:val="19"/>
                <w:szCs w:val="19"/>
              </w:rPr>
              <w:t xml:space="preserve">2.0 (Submission-Ready)</w:t>
            </w:r>
          </w:p>
        </w:tc>
      </w:tr>
    </w:tbl>
    <w:p>
      <w:pPr>
        <w:spacing w:after="60"/>
      </w:pPr>
    </w:p>
    <w:p>
      <w:pPr>
        <w:spacing w:after="60"/>
      </w:pPr>
    </w:p>
    <w:p>
      <w:pPr>
        <w:jc w:val="center"/>
      </w:pPr>
      <w:r>
        <w:rPr>
          <w:rFonts w:ascii="Arial" w:cs="Arial" w:eastAsia="Arial" w:hAnsi="Arial"/>
          <w:b/>
          <w:bCs/>
          <w:color w:val="E85D26"/>
          <w:sz w:val="17"/>
          <w:szCs w:val="17"/>
        </w:rPr>
        <w:t xml:space="preserve">CONFIDENTIAL</w:t>
      </w:r>
    </w:p>
    <w:p>
      <w:r>
        <w:br w:type="page"/>
      </w:r>
    </w:p>
    <w:p>
      <w:pPr>
        <w:spacing w:after="240"/>
      </w:pPr>
      <w:r>
        <w:rPr>
          <w:rFonts w:ascii="Arial" w:cs="Arial" w:eastAsia="Arial" w:hAnsi="Arial"/>
          <w:b/>
          <w:bCs/>
          <w:color w:val="1A4D8F"/>
          <w:sz w:val="32"/>
          <w:szCs w:val="32"/>
        </w:rPr>
        <w:t xml:space="preserve">TABLE OF CONTENTS</w:t>
      </w:r>
    </w:p>
    <w:p>
      <w:pPr>
        <w:spacing w:after="55"/>
      </w:pPr>
      <w:r>
        <w:rPr>
          <w:rFonts w:ascii="Arial" w:cs="Arial" w:eastAsia="Arial" w:hAnsi="Arial"/>
          <w:color w:val="1A4D8F"/>
          <w:sz w:val="21"/>
          <w:szCs w:val="21"/>
        </w:rPr>
        <w:t xml:space="preserve">1  Executive Summary</w:t>
      </w:r>
    </w:p>
    <w:p>
      <w:pPr>
        <w:spacing w:after="55"/>
      </w:pPr>
      <w:r>
        <w:rPr>
          <w:rFonts w:ascii="Arial" w:cs="Arial" w:eastAsia="Arial" w:hAnsi="Arial"/>
          <w:color w:val="1A4D8F"/>
          <w:sz w:val="21"/>
          <w:szCs w:val="21"/>
        </w:rPr>
        <w:t xml:space="preserve">2  Problem Definition &amp; Measurable Goals</w:t>
      </w:r>
    </w:p>
    <w:p>
      <w:pPr>
        <w:spacing w:after="55"/>
      </w:pPr>
      <w:r>
        <w:rPr>
          <w:rFonts w:ascii="Arial" w:cs="Arial" w:eastAsia="Arial" w:hAnsi="Arial"/>
          <w:color w:val="1A4D8F"/>
          <w:sz w:val="21"/>
          <w:szCs w:val="21"/>
        </w:rPr>
        <w:t xml:space="preserve">3  Why ONDC Requires a Distinct AI Architecture</w:t>
      </w:r>
    </w:p>
    <w:p>
      <w:pPr>
        <w:spacing w:after="55"/>
      </w:pPr>
      <w:r>
        <w:rPr>
          <w:rFonts w:ascii="Arial" w:cs="Arial" w:eastAsia="Arial" w:hAnsi="Arial"/>
          <w:color w:val="1A4D8F"/>
          <w:sz w:val="21"/>
          <w:szCs w:val="21"/>
        </w:rPr>
        <w:t xml:space="preserve">4  Core System Components</w:t>
      </w:r>
    </w:p>
    <w:p>
      <w:pPr>
        <w:spacing w:after="55"/>
      </w:pPr>
      <w:r>
        <w:rPr>
          <w:rFonts w:ascii="Arial" w:cs="Arial" w:eastAsia="Arial" w:hAnsi="Arial"/>
          <w:color w:val="1A4D8F"/>
          <w:sz w:val="21"/>
          <w:szCs w:val="21"/>
        </w:rPr>
        <w:t xml:space="preserve">4.1  Module 1: AI Registration Engine</w:t>
      </w:r>
    </w:p>
    <w:p>
      <w:pPr>
        <w:spacing w:after="55"/>
      </w:pPr>
      <w:r>
        <w:rPr>
          <w:rFonts w:ascii="Arial" w:cs="Arial" w:eastAsia="Arial" w:hAnsi="Arial"/>
          <w:color w:val="1A4D8F"/>
          <w:sz w:val="21"/>
          <w:szCs w:val="21"/>
        </w:rPr>
        <w:t xml:space="preserve">4.2  Module 2: Taxonomy Classification Engine</w:t>
      </w:r>
    </w:p>
    <w:p>
      <w:pPr>
        <w:spacing w:after="55"/>
      </w:pPr>
      <w:r>
        <w:rPr>
          <w:rFonts w:ascii="Arial" w:cs="Arial" w:eastAsia="Arial" w:hAnsi="Arial"/>
          <w:color w:val="1A4D8F"/>
          <w:sz w:val="21"/>
          <w:szCs w:val="21"/>
        </w:rPr>
        <w:t xml:space="preserve">4.3  Module 3: Intelligent Matching Engine</w:t>
      </w:r>
    </w:p>
    <w:p>
      <w:pPr>
        <w:spacing w:after="55"/>
      </w:pPr>
      <w:r>
        <w:rPr>
          <w:rFonts w:ascii="Arial" w:cs="Arial" w:eastAsia="Arial" w:hAnsi="Arial"/>
          <w:color w:val="1A4D8F"/>
          <w:sz w:val="21"/>
          <w:szCs w:val="21"/>
        </w:rPr>
        <w:t xml:space="preserve">4.4  Agent Orchestration</w:t>
      </w:r>
    </w:p>
    <w:p>
      <w:pPr>
        <w:spacing w:after="55"/>
      </w:pPr>
      <w:r>
        <w:rPr>
          <w:rFonts w:ascii="Arial" w:cs="Arial" w:eastAsia="Arial" w:hAnsi="Arial"/>
          <w:color w:val="1A4D8F"/>
          <w:sz w:val="21"/>
          <w:szCs w:val="21"/>
        </w:rPr>
        <w:t xml:space="preserve">5  Data Model &amp; Knowledge Architecture</w:t>
      </w:r>
    </w:p>
    <w:p>
      <w:pPr>
        <w:spacing w:after="55"/>
      </w:pPr>
      <w:r>
        <w:rPr>
          <w:rFonts w:ascii="Arial" w:cs="Arial" w:eastAsia="Arial" w:hAnsi="Arial"/>
          <w:color w:val="1A4D8F"/>
          <w:sz w:val="21"/>
          <w:szCs w:val="21"/>
        </w:rPr>
        <w:t xml:space="preserve">6  Technology Stack (Sovereign AI)</w:t>
      </w:r>
    </w:p>
    <w:p>
      <w:pPr>
        <w:spacing w:after="55"/>
      </w:pPr>
      <w:r>
        <w:rPr>
          <w:rFonts w:ascii="Arial" w:cs="Arial" w:eastAsia="Arial" w:hAnsi="Arial"/>
          <w:color w:val="1A4D8F"/>
          <w:sz w:val="21"/>
          <w:szCs w:val="21"/>
        </w:rPr>
        <w:t xml:space="preserve">6.1  AI/ML Models</w:t>
      </w:r>
    </w:p>
    <w:p>
      <w:pPr>
        <w:spacing w:after="55"/>
      </w:pPr>
      <w:r>
        <w:rPr>
          <w:rFonts w:ascii="Arial" w:cs="Arial" w:eastAsia="Arial" w:hAnsi="Arial"/>
          <w:color w:val="1A4D8F"/>
          <w:sz w:val="21"/>
          <w:szCs w:val="21"/>
        </w:rPr>
        <w:t xml:space="preserve">6.2  Infrastructure</w:t>
      </w:r>
    </w:p>
    <w:p>
      <w:pPr>
        <w:spacing w:after="55"/>
      </w:pPr>
      <w:r>
        <w:rPr>
          <w:rFonts w:ascii="Arial" w:cs="Arial" w:eastAsia="Arial" w:hAnsi="Arial"/>
          <w:color w:val="1A4D8F"/>
          <w:sz w:val="21"/>
          <w:szCs w:val="21"/>
        </w:rPr>
        <w:t xml:space="preserve">6.3  Why Sovereign AI</w:t>
      </w:r>
    </w:p>
    <w:p>
      <w:pPr>
        <w:spacing w:after="55"/>
      </w:pPr>
      <w:r>
        <w:rPr>
          <w:rFonts w:ascii="Arial" w:cs="Arial" w:eastAsia="Arial" w:hAnsi="Arial"/>
          <w:color w:val="1A4D8F"/>
          <w:sz w:val="21"/>
          <w:szCs w:val="21"/>
        </w:rPr>
        <w:t xml:space="preserve">7  Data Preparation &amp; Model Evaluation</w:t>
      </w:r>
    </w:p>
    <w:p>
      <w:pPr>
        <w:spacing w:after="55"/>
      </w:pPr>
      <w:r>
        <w:rPr>
          <w:rFonts w:ascii="Arial" w:cs="Arial" w:eastAsia="Arial" w:hAnsi="Arial"/>
          <w:color w:val="1A4D8F"/>
          <w:sz w:val="21"/>
          <w:szCs w:val="21"/>
        </w:rPr>
        <w:t xml:space="preserve">7.1  Dataset &amp; Splits</w:t>
      </w:r>
    </w:p>
    <w:p>
      <w:pPr>
        <w:spacing w:after="55"/>
      </w:pPr>
      <w:r>
        <w:rPr>
          <w:rFonts w:ascii="Arial" w:cs="Arial" w:eastAsia="Arial" w:hAnsi="Arial"/>
          <w:color w:val="1A4D8F"/>
          <w:sz w:val="21"/>
          <w:szCs w:val="21"/>
        </w:rPr>
        <w:t xml:space="preserve">7.2  Evaluation Metrics</w:t>
      </w:r>
    </w:p>
    <w:p>
      <w:pPr>
        <w:spacing w:after="55"/>
      </w:pPr>
      <w:r>
        <w:rPr>
          <w:rFonts w:ascii="Arial" w:cs="Arial" w:eastAsia="Arial" w:hAnsi="Arial"/>
          <w:color w:val="1A4D8F"/>
          <w:sz w:val="21"/>
          <w:szCs w:val="21"/>
        </w:rPr>
        <w:t xml:space="preserve">7.3  Baseline Comparison</w:t>
      </w:r>
    </w:p>
    <w:p>
      <w:pPr>
        <w:spacing w:after="55"/>
      </w:pPr>
      <w:r>
        <w:rPr>
          <w:rFonts w:ascii="Arial" w:cs="Arial" w:eastAsia="Arial" w:hAnsi="Arial"/>
          <w:color w:val="1A4D8F"/>
          <w:sz w:val="21"/>
          <w:szCs w:val="21"/>
        </w:rPr>
        <w:t xml:space="preserve">8  Confidence Band System</w:t>
      </w:r>
    </w:p>
    <w:p>
      <w:pPr>
        <w:spacing w:after="55"/>
      </w:pPr>
      <w:r>
        <w:rPr>
          <w:rFonts w:ascii="Arial" w:cs="Arial" w:eastAsia="Arial" w:hAnsi="Arial"/>
          <w:color w:val="1A4D8F"/>
          <w:sz w:val="21"/>
          <w:szCs w:val="21"/>
        </w:rPr>
        <w:t xml:space="preserve">9  Data Imperfection Handling</w:t>
      </w:r>
    </w:p>
    <w:p>
      <w:pPr>
        <w:spacing w:after="55"/>
      </w:pPr>
      <w:r>
        <w:rPr>
          <w:rFonts w:ascii="Arial" w:cs="Arial" w:eastAsia="Arial" w:hAnsi="Arial"/>
          <w:color w:val="1A4D8F"/>
          <w:sz w:val="21"/>
          <w:szCs w:val="21"/>
        </w:rPr>
        <w:t xml:space="preserve">10  Responsible AI</w:t>
      </w:r>
    </w:p>
    <w:p>
      <w:pPr>
        <w:spacing w:after="55"/>
      </w:pPr>
      <w:r>
        <w:rPr>
          <w:rFonts w:ascii="Arial" w:cs="Arial" w:eastAsia="Arial" w:hAnsi="Arial"/>
          <w:color w:val="1A4D8F"/>
          <w:sz w:val="21"/>
          <w:szCs w:val="21"/>
        </w:rPr>
        <w:t xml:space="preserve">11  Stage 1 PoC Scope &amp; 7-Week Execution Plan</w:t>
      </w:r>
    </w:p>
    <w:p>
      <w:pPr>
        <w:spacing w:after="55"/>
      </w:pPr>
      <w:r>
        <w:rPr>
          <w:rFonts w:ascii="Arial" w:cs="Arial" w:eastAsia="Arial" w:hAnsi="Arial"/>
          <w:color w:val="1A4D8F"/>
          <w:sz w:val="21"/>
          <w:szCs w:val="21"/>
        </w:rPr>
        <w:t xml:space="preserve">11.1  Stage 1 Boundaries</w:t>
      </w:r>
    </w:p>
    <w:p>
      <w:pPr>
        <w:spacing w:after="55"/>
      </w:pPr>
      <w:r>
        <w:rPr>
          <w:rFonts w:ascii="Arial" w:cs="Arial" w:eastAsia="Arial" w:hAnsi="Arial"/>
          <w:color w:val="1A4D8F"/>
          <w:sz w:val="21"/>
          <w:szCs w:val="21"/>
        </w:rPr>
        <w:t xml:space="preserve">11.2  MVP Architecture</w:t>
      </w:r>
    </w:p>
    <w:p>
      <w:pPr>
        <w:spacing w:after="55"/>
      </w:pPr>
      <w:r>
        <w:rPr>
          <w:rFonts w:ascii="Arial" w:cs="Arial" w:eastAsia="Arial" w:hAnsi="Arial"/>
          <w:color w:val="1A4D8F"/>
          <w:sz w:val="21"/>
          <w:szCs w:val="21"/>
        </w:rPr>
        <w:t xml:space="preserve">11.3  Week-by-Week Plan</w:t>
      </w:r>
    </w:p>
    <w:p>
      <w:pPr>
        <w:spacing w:after="55"/>
      </w:pPr>
      <w:r>
        <w:rPr>
          <w:rFonts w:ascii="Arial" w:cs="Arial" w:eastAsia="Arial" w:hAnsi="Arial"/>
          <w:color w:val="1A4D8F"/>
          <w:sz w:val="21"/>
          <w:szCs w:val="21"/>
        </w:rPr>
        <w:t xml:space="preserve">11.4  Demo Flow</w:t>
      </w:r>
    </w:p>
    <w:p>
      <w:pPr>
        <w:spacing w:after="55"/>
      </w:pPr>
      <w:r>
        <w:rPr>
          <w:rFonts w:ascii="Arial" w:cs="Arial" w:eastAsia="Arial" w:hAnsi="Arial"/>
          <w:color w:val="1A4D8F"/>
          <w:sz w:val="21"/>
          <w:szCs w:val="21"/>
        </w:rPr>
        <w:t xml:space="preserve">12  Product Roadmap &amp; Budget</w:t>
      </w:r>
    </w:p>
    <w:p>
      <w:pPr>
        <w:spacing w:after="55"/>
      </w:pPr>
      <w:r>
        <w:rPr>
          <w:rFonts w:ascii="Arial" w:cs="Arial" w:eastAsia="Arial" w:hAnsi="Arial"/>
          <w:color w:val="1A4D8F"/>
          <w:sz w:val="21"/>
          <w:szCs w:val="21"/>
        </w:rPr>
        <w:t xml:space="preserve">13  Evaluation Criteria Alignment (Annexure II)</w:t>
      </w:r>
    </w:p>
    <w:p>
      <w:pPr>
        <w:spacing w:after="55"/>
      </w:pPr>
      <w:r>
        <w:rPr>
          <w:rFonts w:ascii="Arial" w:cs="Arial" w:eastAsia="Arial" w:hAnsi="Arial"/>
          <w:color w:val="1A4D8F"/>
          <w:sz w:val="21"/>
          <w:szCs w:val="21"/>
        </w:rPr>
        <w:t xml:space="preserve">14  Risks &amp; Mitigations</w:t>
      </w:r>
    </w:p>
    <w:p>
      <w:pPr>
        <w:spacing w:after="55"/>
      </w:pPr>
      <w:r>
        <w:rPr>
          <w:rFonts w:ascii="Arial" w:cs="Arial" w:eastAsia="Arial" w:hAnsi="Arial"/>
          <w:color w:val="1A4D8F"/>
          <w:sz w:val="21"/>
          <w:szCs w:val="21"/>
        </w:rPr>
        <w:t xml:space="preserve">15  Conclusion</w:t>
      </w:r>
    </w:p>
    <w:p>
      <w:pPr>
        <w:spacing w:after="55"/>
      </w:pPr>
      <w:r>
        <w:rPr>
          <w:rFonts w:ascii="Arial" w:cs="Arial" w:eastAsia="Arial" w:hAnsi="Arial"/>
          <w:color w:val="1A4D8F"/>
          <w:sz w:val="21"/>
          <w:szCs w:val="21"/>
        </w:rPr>
        <w:t xml:space="preserve">  Appendix A: International &amp; Export Readiness</w:t>
      </w:r>
    </w:p>
    <w:p>
      <w:r>
        <w:br w:type="page"/>
      </w:r>
    </w:p>
    <w:p>
      <w:pPr>
        <w:pStyle w:val="Heading1"/>
        <w:spacing w:before="360" w:after="180"/>
      </w:pPr>
      <w:r>
        <w:rPr>
          <w:rFonts w:ascii="Arial" w:cs="Arial" w:eastAsia="Arial" w:hAnsi="Arial"/>
          <w:b/>
          <w:bCs/>
          <w:color w:val="1A4D8F"/>
          <w:sz w:val="34"/>
          <w:szCs w:val="34"/>
        </w:rPr>
        <w:t xml:space="preserve">1. Executive Summary</w:t>
      </w:r>
    </w:p>
    <w:p>
      <w:pPr>
        <w:spacing w:after="100" w:line="276"/>
        <w:jc w:val="left"/>
      </w:pPr>
      <w:r>
        <w:rPr>
          <w:rFonts w:ascii="Arial" w:cs="Arial" w:eastAsia="Arial" w:hAnsi="Arial"/>
          <w:color w:val="1A1A2E"/>
          <w:sz w:val="21"/>
          <w:szCs w:val="21"/>
        </w:rPr>
        <w:t xml:space="preserve">AgentMap AI is a deployable AI-native intelligence layer designed to operationalize the three core mandates of Problem Statement 2 (IndiaAI Innovation Challenge 2026):</w:t>
      </w:r>
    </w:p>
    <w:p>
      <w:pPr>
        <w:spacing w:after="100" w:line="276"/>
      </w:pPr>
      <w:r>
        <w:rPr>
          <w:rFonts w:ascii="Arial" w:cs="Arial" w:eastAsia="Arial" w:hAnsi="Arial"/>
          <w:b/>
          <w:bCs/>
          <w:color w:val="1A1A2E"/>
          <w:sz w:val="21"/>
          <w:szCs w:val="21"/>
        </w:rPr>
        <w:t xml:space="preserve">1. Multilingual AI-enabled digital registration </w:t>
      </w:r>
      <w:r>
        <w:rPr>
          <w:rFonts w:ascii="Arial" w:cs="Arial" w:eastAsia="Arial" w:hAnsi="Arial"/>
          <w:color w:val="1A1A2E"/>
          <w:sz w:val="21"/>
          <w:szCs w:val="21"/>
        </w:rPr>
        <w:t xml:space="preserve">— Voice-first onboarding in 11+ Indian languages with automated document extraction.</w:t>
      </w:r>
    </w:p>
    <w:p>
      <w:pPr>
        <w:spacing w:after="100" w:line="276"/>
      </w:pPr>
      <w:r>
        <w:rPr>
          <w:rFonts w:ascii="Arial" w:cs="Arial" w:eastAsia="Arial" w:hAnsi="Arial"/>
          <w:b/>
          <w:bCs/>
          <w:color w:val="1A1A2E"/>
          <w:sz w:val="21"/>
          <w:szCs w:val="21"/>
        </w:rPr>
        <w:t xml:space="preserve">2. AI-driven ONDC taxonomy-compliant product categorization </w:t>
      </w:r>
      <w:r>
        <w:rPr>
          <w:rFonts w:ascii="Arial" w:cs="Arial" w:eastAsia="Arial" w:hAnsi="Arial"/>
          <w:color w:val="1A1A2E"/>
          <w:sz w:val="21"/>
          <w:szCs w:val="21"/>
        </w:rPr>
        <w:t xml:space="preserve">— Fine-tuned classification models mapping free-form product descriptions to ONDC’s predefined taxonomy with 95%+ accuracy.</w:t>
      </w:r>
    </w:p>
    <w:p>
      <w:pPr>
        <w:spacing w:after="100" w:line="276"/>
      </w:pPr>
      <w:r>
        <w:rPr>
          <w:rFonts w:ascii="Arial" w:cs="Arial" w:eastAsia="Arial" w:hAnsi="Arial"/>
          <w:b/>
          <w:bCs/>
          <w:color w:val="1A1A2E"/>
          <w:sz w:val="21"/>
          <w:szCs w:val="21"/>
        </w:rPr>
        <w:t xml:space="preserve">3. Intelligent MSE-to-SNP matching </w:t>
      </w:r>
      <w:r>
        <w:rPr>
          <w:rFonts w:ascii="Arial" w:cs="Arial" w:eastAsia="Arial" w:hAnsi="Arial"/>
          <w:color w:val="1A1A2E"/>
          <w:sz w:val="21"/>
          <w:szCs w:val="21"/>
        </w:rPr>
        <w:t xml:space="preserve">— Multi-factor scoring based on product alignment, domain relevance, geographic proximity, and operational capacity.</w:t>
      </w:r>
    </w:p>
    <w:p>
      <w:pPr>
        <w:spacing w:after="40"/>
      </w:pPr>
    </w:p>
    <w:p>
      <w:pPr>
        <w:spacing w:after="100" w:line="276"/>
        <w:jc w:val="left"/>
      </w:pPr>
      <w:r>
        <w:rPr>
          <w:rFonts w:ascii="Arial" w:cs="Arial" w:eastAsia="Arial" w:hAnsi="Arial"/>
          <w:color w:val="1A1A2E"/>
          <w:sz w:val="21"/>
          <w:szCs w:val="21"/>
        </w:rPr>
        <w:t xml:space="preserve">Unlike centralized marketplace matching engines (e.g., Alibaba, Shopify), ONDC operates as a decentralized protocol-based network. AgentMap AI is architected specifically for interoperable, governance-compliant matching across distributed Seller Network Participants (SNPs).</w:t>
      </w:r>
    </w:p>
    <w:p>
      <w:pPr>
        <w:spacing w:after="100" w:line="276"/>
        <w:jc w:val="left"/>
      </w:pPr>
      <w:r>
        <w:rPr>
          <w:rFonts w:ascii="Arial" w:cs="Arial" w:eastAsia="Arial" w:hAnsi="Arial"/>
          <w:color w:val="1A1A2E"/>
          <w:sz w:val="21"/>
          <w:szCs w:val="21"/>
        </w:rPr>
        <w:t xml:space="preserve">The system reduces onboarding friction, improves first-time match acceptance, and provides audit-ready explainable AI outputs aligned with Government data governance and Responsible AI principles.</w:t>
      </w:r>
    </w:p>
    <w:p>
      <w:pPr>
        <w:pStyle w:val="Heading1"/>
        <w:spacing w:before="360" w:after="180"/>
      </w:pPr>
      <w:r>
        <w:rPr>
          <w:rFonts w:ascii="Arial" w:cs="Arial" w:eastAsia="Arial" w:hAnsi="Arial"/>
          <w:b/>
          <w:bCs/>
          <w:color w:val="1A4D8F"/>
          <w:sz w:val="34"/>
          <w:szCs w:val="34"/>
        </w:rPr>
        <w:t xml:space="preserve">2. Problem Definition &amp; Measurable Goals</w:t>
      </w:r>
    </w:p>
    <w:p>
      <w:pPr>
        <w:pStyle w:val="Heading2"/>
        <w:spacing w:before="260" w:after="140"/>
      </w:pPr>
      <w:r>
        <w:rPr>
          <w:rFonts w:ascii="Arial" w:cs="Arial" w:eastAsia="Arial" w:hAnsi="Arial"/>
          <w:b/>
          <w:bCs/>
          <w:color w:val="0E7C7B"/>
          <w:sz w:val="26"/>
          <w:szCs w:val="26"/>
        </w:rPr>
        <w:t xml:space="preserve">2.1 Current TEAM Initiative Challenges</w:t>
      </w:r>
    </w:p>
    <w:p>
      <w:pPr>
        <w:spacing w:after="100" w:line="276"/>
        <w:jc w:val="left"/>
      </w:pPr>
      <w:r>
        <w:rPr>
          <w:rFonts w:ascii="Arial" w:cs="Arial" w:eastAsia="Arial" w:hAnsi="Arial"/>
          <w:color w:val="1A1A2E"/>
          <w:sz w:val="21"/>
          <w:szCs w:val="21"/>
        </w:rPr>
        <w:t xml:space="preserve">The MSME TEAM (Technology for MSMEs: AI-Led E-Commerce Acceleration and Marketplace) Initiative aims to onboard 5 lakh MSEs onto ONDC by FY 2026-27, with INR 277.35 Crore allocated over 3 years. However, the current process faces critical bottlenecks:</w:t>
      </w:r>
    </w:p>
    <w:p>
      <w:pPr>
        <w:spacing w:after="100" w:line="276"/>
      </w:pPr>
      <w:r>
        <w:rPr>
          <w:rFonts w:ascii="Arial" w:cs="Arial" w:eastAsia="Arial" w:hAnsi="Arial"/>
          <w:b/>
          <w:bCs/>
          <w:color w:val="1A1A2E"/>
          <w:sz w:val="21"/>
          <w:szCs w:val="21"/>
        </w:rPr>
        <w:t xml:space="preserve">Manual form filling: </w:t>
      </w:r>
      <w:r>
        <w:rPr>
          <w:rFonts w:ascii="Arial" w:cs="Arial" w:eastAsia="Arial" w:hAnsi="Arial"/>
          <w:color w:val="1A1A2E"/>
          <w:sz w:val="21"/>
          <w:szCs w:val="21"/>
        </w:rPr>
        <w:t xml:space="preserve">MSEs must navigate complex registration forms requiring Udyam ID, GST, PAN, and product details—prohibitive for Tier 2/3 operators with limited digital literacy.</w:t>
      </w:r>
    </w:p>
    <w:p>
      <w:pPr>
        <w:spacing w:after="100" w:line="276"/>
      </w:pPr>
      <w:r>
        <w:rPr>
          <w:rFonts w:ascii="Arial" w:cs="Arial" w:eastAsia="Arial" w:hAnsi="Arial"/>
          <w:b/>
          <w:bCs/>
          <w:color w:val="1A1A2E"/>
          <w:sz w:val="21"/>
          <w:szCs w:val="21"/>
        </w:rPr>
        <w:t xml:space="preserve">Inconsistent product categorization: </w:t>
      </w:r>
      <w:r>
        <w:rPr>
          <w:rFonts w:ascii="Arial" w:cs="Arial" w:eastAsia="Arial" w:hAnsi="Arial"/>
          <w:color w:val="1A1A2E"/>
          <w:sz w:val="21"/>
          <w:szCs w:val="21"/>
        </w:rPr>
        <w:t xml:space="preserve">MSEs self-report categories using free-text fields that don’t map cleanly to ONDC’s standardized taxonomy, leading to catalog inconsistencies across SNPs.</w:t>
      </w:r>
    </w:p>
    <w:p>
      <w:pPr>
        <w:spacing w:after="100" w:line="276"/>
      </w:pPr>
      <w:r>
        <w:rPr>
          <w:rFonts w:ascii="Arial" w:cs="Arial" w:eastAsia="Arial" w:hAnsi="Arial"/>
          <w:b/>
          <w:bCs/>
          <w:color w:val="1A1A2E"/>
          <w:sz w:val="21"/>
          <w:szCs w:val="21"/>
        </w:rPr>
        <w:t xml:space="preserve">Labour-intensive NSIC verification: </w:t>
      </w:r>
      <w:r>
        <w:rPr>
          <w:rFonts w:ascii="Arial" w:cs="Arial" w:eastAsia="Arial" w:hAnsi="Arial"/>
          <w:color w:val="1A1A2E"/>
          <w:sz w:val="21"/>
          <w:szCs w:val="21"/>
        </w:rPr>
        <w:t xml:space="preserve">Claim verification takes 7–14 days per MSE due to manual cross-referencing of Udyam, GST, and PAN records.</w:t>
      </w:r>
    </w:p>
    <w:p>
      <w:pPr>
        <w:spacing w:after="100" w:line="276"/>
      </w:pPr>
      <w:r>
        <w:rPr>
          <w:rFonts w:ascii="Arial" w:cs="Arial" w:eastAsia="Arial" w:hAnsi="Arial"/>
          <w:b/>
          <w:bCs/>
          <w:color w:val="1A1A2E"/>
          <w:sz w:val="21"/>
          <w:szCs w:val="21"/>
        </w:rPr>
        <w:t xml:space="preserve">High reassignment rate: </w:t>
      </w:r>
      <w:r>
        <w:rPr>
          <w:rFonts w:ascii="Arial" w:cs="Arial" w:eastAsia="Arial" w:hAnsi="Arial"/>
          <w:color w:val="1A1A2E"/>
          <w:sz w:val="21"/>
          <w:szCs w:val="21"/>
        </w:rPr>
        <w:t xml:space="preserve">40–60% of initial MSE-SNP mappings result in mismatches requiring re-assignment, caused by basic rule-based domain/geography matching.</w:t>
      </w:r>
    </w:p>
    <w:p>
      <w:pPr>
        <w:pStyle w:val="Heading2"/>
        <w:spacing w:before="260" w:after="140"/>
      </w:pPr>
      <w:r>
        <w:rPr>
          <w:rFonts w:ascii="Arial" w:cs="Arial" w:eastAsia="Arial" w:hAnsi="Arial"/>
          <w:b/>
          <w:bCs/>
          <w:color w:val="0E7C7B"/>
          <w:sz w:val="26"/>
          <w:szCs w:val="26"/>
        </w:rPr>
        <w:t xml:space="preserve">2.2 Measurable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CCCCC" w:sz="1"/>
              <w:left w:val="single" w:color="CCCCCC" w:sz="1"/>
              <w:bottom w:val="single" w:color="CCCCCC" w:sz="1"/>
              <w:right w:val="single" w:color="CCCCCC" w:sz="1"/>
            </w:tcBorders>
            <w:shd w:fill="1A4D8F"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2930"/>
            <w:tcBorders>
              <w:top w:val="single" w:color="CCCCCC" w:sz="1"/>
              <w:left w:val="single" w:color="CCCCCC" w:sz="1"/>
              <w:bottom w:val="single" w:color="CCCCCC" w:sz="1"/>
              <w:right w:val="single" w:color="CCCCCC" w:sz="1"/>
            </w:tcBorders>
            <w:shd w:fill="1A4D8F" w:val="clear"/>
            <w:tcMar>
              <w:top w:type="dxa" w:w="80"/>
              <w:left w:type="dxa" w:w="120"/>
              <w:bottom w:type="dxa" w:w="80"/>
              <w:right w:type="dxa" w:w="120"/>
            </w:tcMar>
          </w:tcPr>
          <w:p>
            <w:r>
              <w:rPr>
                <w:rFonts w:ascii="Arial" w:cs="Arial" w:eastAsia="Arial" w:hAnsi="Arial"/>
                <w:b/>
                <w:bCs/>
                <w:color w:val="FFFFFF"/>
                <w:sz w:val="19"/>
                <w:szCs w:val="19"/>
              </w:rPr>
              <w:t xml:space="preserve">Current State</w:t>
            </w:r>
          </w:p>
        </w:tc>
        <w:tc>
          <w:tcPr>
            <w:tcW w:type="dxa" w:w="2930"/>
            <w:tcBorders>
              <w:top w:val="single" w:color="CCCCCC" w:sz="1"/>
              <w:left w:val="single" w:color="CCCCCC" w:sz="1"/>
              <w:bottom w:val="single" w:color="CCCCCC" w:sz="1"/>
              <w:right w:val="single" w:color="CCCCCC" w:sz="1"/>
            </w:tcBorders>
            <w:shd w:fill="1A4D8F" w:val="clear"/>
            <w:tcMar>
              <w:top w:type="dxa" w:w="80"/>
              <w:left w:type="dxa" w:w="120"/>
              <w:bottom w:type="dxa" w:w="80"/>
              <w:right w:type="dxa" w:w="120"/>
            </w:tcMar>
          </w:tcPr>
          <w:p>
            <w:r>
              <w:rPr>
                <w:rFonts w:ascii="Arial" w:cs="Arial" w:eastAsia="Arial" w:hAnsi="Arial"/>
                <w:b/>
                <w:bCs/>
                <w:color w:val="FFFFFF"/>
                <w:sz w:val="19"/>
                <w:szCs w:val="19"/>
              </w:rPr>
              <w:t xml:space="preserve">AgentMap AI Target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MSE-SNP Reassignment Rate</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40–60%</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19"/>
                <w:szCs w:val="19"/>
              </w:rPr>
              <w:t xml:space="preserve">&lt;20%</w:t>
            </w:r>
          </w:p>
        </w:tc>
      </w:tr>
      <w:tr>
        <w:tc>
          <w:tcPr>
            <w:tcW w:type="dxa" w:w="3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Product Categorization Accuracy</w:t>
            </w:r>
          </w:p>
        </w:tc>
        <w:tc>
          <w:tcPr>
            <w:tcW w:type="dxa" w:w="293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Manual / inconsistent</w:t>
            </w:r>
          </w:p>
        </w:tc>
        <w:tc>
          <w:tcPr>
            <w:tcW w:type="dxa" w:w="293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A1A2E"/>
                <w:sz w:val="19"/>
                <w:szCs w:val="19"/>
              </w:rPr>
              <w:t xml:space="preserve">&gt;95% Top-1, &gt;99% Top-3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Onboarding Time per MSE</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30+ minutes</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19"/>
                <w:szCs w:val="19"/>
              </w:rPr>
              <w:t xml:space="preserve">&lt;8 minutes</w:t>
            </w:r>
          </w:p>
        </w:tc>
      </w:tr>
      <w:tr>
        <w:tc>
          <w:tcPr>
            <w:tcW w:type="dxa" w:w="3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NSIC Verification Cycle</w:t>
            </w:r>
          </w:p>
        </w:tc>
        <w:tc>
          <w:tcPr>
            <w:tcW w:type="dxa" w:w="293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7–14 days</w:t>
            </w:r>
          </w:p>
        </w:tc>
        <w:tc>
          <w:tcPr>
            <w:tcW w:type="dxa" w:w="293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A1A2E"/>
                <w:sz w:val="19"/>
                <w:szCs w:val="19"/>
              </w:rPr>
              <w:t xml:space="preserve">&lt;2 days (70% automated)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First-Time Match Acceptance</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~40%</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19"/>
                <w:szCs w:val="19"/>
              </w:rPr>
              <w:t xml:space="preserve">&gt;75%</w:t>
            </w:r>
          </w:p>
        </w:tc>
      </w:tr>
      <w:tr>
        <w:tc>
          <w:tcPr>
            <w:tcW w:type="dxa" w:w="3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NDCG@3 (Ranking Quality)</w:t>
            </w:r>
          </w:p>
        </w:tc>
        <w:tc>
          <w:tcPr>
            <w:tcW w:type="dxa" w:w="293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Baseline TBD</w:t>
            </w:r>
          </w:p>
        </w:tc>
        <w:tc>
          <w:tcPr>
            <w:tcW w:type="dxa" w:w="293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A1A2E"/>
                <w:sz w:val="19"/>
                <w:szCs w:val="19"/>
              </w:rPr>
              <w:t xml:space="preserve">&gt;0.80</w:t>
            </w:r>
          </w:p>
        </w:tc>
      </w:tr>
    </w:tbl>
    <w:p>
      <w:pPr>
        <w:spacing w:after="60"/>
      </w:pPr>
    </w:p>
    <w:p>
      <w:pPr>
        <w:pStyle w:val="Heading1"/>
        <w:spacing w:before="360" w:after="180"/>
      </w:pPr>
      <w:r>
        <w:rPr>
          <w:rFonts w:ascii="Arial" w:cs="Arial" w:eastAsia="Arial" w:hAnsi="Arial"/>
          <w:b/>
          <w:bCs/>
          <w:color w:val="1A4D8F"/>
          <w:sz w:val="34"/>
          <w:szCs w:val="34"/>
        </w:rPr>
        <w:t xml:space="preserve">3. Why ONDC Requires a Distinct AI Architecture</w:t>
      </w:r>
    </w:p>
    <w:p>
      <w:pPr>
        <w:spacing w:after="100" w:line="276"/>
        <w:jc w:val="left"/>
      </w:pPr>
      <w:r>
        <w:rPr>
          <w:rFonts w:ascii="Arial" w:cs="Arial" w:eastAsia="Arial" w:hAnsi="Arial"/>
          <w:color w:val="1A1A2E"/>
          <w:sz w:val="21"/>
          <w:szCs w:val="21"/>
        </w:rPr>
        <w:t xml:space="preserve">ONDC is fundamentally different from centralized marketplaces. Understanding this distinction is critical to evaluating our architectural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4D8F" w:val="clear"/>
            <w:tcMar>
              <w:top w:type="dxa" w:w="80"/>
              <w:left w:type="dxa" w:w="120"/>
              <w:bottom w:type="dxa" w:w="80"/>
              <w:right w:type="dxa" w:w="120"/>
            </w:tcMar>
          </w:tcPr>
          <w:p>
            <w:r>
              <w:rPr>
                <w:rFonts w:ascii="Arial" w:cs="Arial" w:eastAsia="Arial" w:hAnsi="Arial"/>
                <w:b/>
                <w:bCs/>
                <w:color w:val="FFFFFF"/>
                <w:sz w:val="19"/>
                <w:szCs w:val="19"/>
              </w:rPr>
              <w:t xml:space="preserve">Dimension</w:t>
            </w:r>
          </w:p>
        </w:tc>
        <w:tc>
          <w:tcPr>
            <w:tcW w:type="dxa" w:w="3480"/>
            <w:tcBorders>
              <w:top w:val="single" w:color="CCCCCC" w:sz="1"/>
              <w:left w:val="single" w:color="CCCCCC" w:sz="1"/>
              <w:bottom w:val="single" w:color="CCCCCC" w:sz="1"/>
              <w:right w:val="single" w:color="CCCCCC" w:sz="1"/>
            </w:tcBorders>
            <w:shd w:fill="1A4D8F" w:val="clear"/>
            <w:tcMar>
              <w:top w:type="dxa" w:w="80"/>
              <w:left w:type="dxa" w:w="120"/>
              <w:bottom w:type="dxa" w:w="80"/>
              <w:right w:type="dxa" w:w="120"/>
            </w:tcMar>
          </w:tcPr>
          <w:p>
            <w:r>
              <w:rPr>
                <w:rFonts w:ascii="Arial" w:cs="Arial" w:eastAsia="Arial" w:hAnsi="Arial"/>
                <w:b/>
                <w:bCs/>
                <w:color w:val="FFFFFF"/>
                <w:sz w:val="19"/>
                <w:szCs w:val="19"/>
              </w:rPr>
              <w:t xml:space="preserve">Centralized (Amazon/Alibaba)</w:t>
            </w:r>
          </w:p>
        </w:tc>
        <w:tc>
          <w:tcPr>
            <w:tcW w:type="dxa" w:w="3480"/>
            <w:tcBorders>
              <w:top w:val="single" w:color="CCCCCC" w:sz="1"/>
              <w:left w:val="single" w:color="CCCCCC" w:sz="1"/>
              <w:bottom w:val="single" w:color="CCCCCC" w:sz="1"/>
              <w:right w:val="single" w:color="CCCCCC" w:sz="1"/>
            </w:tcBorders>
            <w:shd w:fill="1A4D8F" w:val="clear"/>
            <w:tcMar>
              <w:top w:type="dxa" w:w="80"/>
              <w:left w:type="dxa" w:w="120"/>
              <w:bottom w:type="dxa" w:w="80"/>
              <w:right w:type="dxa" w:w="120"/>
            </w:tcMar>
          </w:tcPr>
          <w:p>
            <w:r>
              <w:rPr>
                <w:rFonts w:ascii="Arial" w:cs="Arial" w:eastAsia="Arial" w:hAnsi="Arial"/>
                <w:b/>
                <w:bCs/>
                <w:color w:val="FFFFFF"/>
                <w:sz w:val="19"/>
                <w:szCs w:val="19"/>
              </w:rPr>
              <w:t xml:space="preserve">ONDC (Beckn Protocol)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Network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Single platform owns all data</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Decentralized, multi-party protocol</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Data Ownership</w:t>
            </w:r>
          </w:p>
        </w:tc>
        <w:tc>
          <w:tcPr>
            <w:tcW w:type="dxa" w:w="34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Platform controls seller data</w:t>
            </w:r>
          </w:p>
        </w:tc>
        <w:tc>
          <w:tcPr>
            <w:tcW w:type="dxa" w:w="34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Distributed: MSE retains data ownership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Matching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Internal algo, platform-optimized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Protocol-mediated, SNP-independent</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Capacity Signal</w:t>
            </w:r>
          </w:p>
        </w:tc>
        <w:tc>
          <w:tcPr>
            <w:tcW w:type="dxa" w:w="34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Real-time from own inventory</w:t>
            </w:r>
          </w:p>
        </w:tc>
        <w:tc>
          <w:tcPr>
            <w:tcW w:type="dxa" w:w="34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Independent SNPs self-report (may be stale)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Verification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Platform-internal review</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Government layer (NSIC) in the loop</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Taxonomy</w:t>
            </w:r>
          </w:p>
        </w:tc>
        <w:tc>
          <w:tcPr>
            <w:tcW w:type="dxa" w:w="34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Proprietary product tree</w:t>
            </w:r>
          </w:p>
        </w:tc>
        <w:tc>
          <w:tcPr>
            <w:tcW w:type="dxa" w:w="34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Open standard, versioned on GitHub</w:t>
            </w:r>
          </w:p>
        </w:tc>
      </w:tr>
    </w:tbl>
    <w:p>
      <w:pPr>
        <w:spacing w:after="60"/>
      </w:pPr>
    </w:p>
    <w:p>
      <w:pPr>
        <w:spacing w:after="100" w:line="276"/>
        <w:jc w:val="left"/>
      </w:pPr>
      <w:r>
        <w:rPr>
          <w:rFonts w:ascii="Arial" w:cs="Arial" w:eastAsia="Arial" w:hAnsi="Arial"/>
          <w:b/>
          <w:bCs/>
          <w:color w:val="1A1A2E"/>
          <w:sz w:val="21"/>
          <w:szCs w:val="21"/>
        </w:rPr>
        <w:t xml:space="preserve">This is not centralized marketplace matching. It is interoperable public digital infrastructure matching.</w:t>
      </w:r>
    </w:p>
    <w:p>
      <w:pPr>
        <w:spacing w:after="100" w:line="276"/>
        <w:jc w:val="left"/>
      </w:pPr>
      <w:r>
        <w:rPr>
          <w:rFonts w:ascii="Arial" w:cs="Arial" w:eastAsia="Arial" w:hAnsi="Arial"/>
          <w:color w:val="1A1A2E"/>
          <w:sz w:val="21"/>
          <w:szCs w:val="21"/>
        </w:rPr>
        <w:t xml:space="preserve">Our system must handle: distributed data ownership across SNPs, stale capacity signals, government verification mandates, open taxonomy evolution, and multi-party trust. No existing global platform addresses this combination. This is our core technical differentiation.</w:t>
      </w:r>
    </w:p>
    <w:p>
      <w:pPr>
        <w:pStyle w:val="Heading1"/>
        <w:spacing w:before="360" w:after="180"/>
      </w:pPr>
      <w:r>
        <w:rPr>
          <w:rFonts w:ascii="Arial" w:cs="Arial" w:eastAsia="Arial" w:hAnsi="Arial"/>
          <w:b/>
          <w:bCs/>
          <w:color w:val="1A4D8F"/>
          <w:sz w:val="34"/>
          <w:szCs w:val="34"/>
        </w:rPr>
        <w:t xml:space="preserve">4. Core System Components</w:t>
      </w:r>
    </w:p>
    <w:p>
      <w:pPr>
        <w:spacing w:after="100" w:line="276"/>
        <w:jc w:val="left"/>
      </w:pPr>
      <w:r>
        <w:rPr>
          <w:rFonts w:ascii="Arial" w:cs="Arial" w:eastAsia="Arial" w:hAnsi="Arial"/>
          <w:color w:val="1A1A2E"/>
          <w:sz w:val="21"/>
          <w:szCs w:val="21"/>
        </w:rPr>
        <w:t xml:space="preserve">AgentMap AI is structured as three core AI modules coordinated by a LangGraph-based orchestrator:</w:t>
      </w:r>
    </w:p>
    <w:p>
      <w:pPr>
        <w:pStyle w:val="Heading2"/>
        <w:spacing w:before="260" w:after="140"/>
      </w:pPr>
      <w:r>
        <w:rPr>
          <w:rFonts w:ascii="Arial" w:cs="Arial" w:eastAsia="Arial" w:hAnsi="Arial"/>
          <w:b/>
          <w:bCs/>
          <w:color w:val="0E7C7B"/>
          <w:sz w:val="26"/>
          <w:szCs w:val="26"/>
        </w:rPr>
        <w:t xml:space="preserve">4.1 Module 1: AI Registration Engine (Sathi)</w:t>
      </w:r>
    </w:p>
    <w:p>
      <w:pPr>
        <w:spacing w:after="100" w:line="276"/>
      </w:pPr>
      <w:r>
        <w:rPr>
          <w:rFonts w:ascii="Arial" w:cs="Arial" w:eastAsia="Arial" w:hAnsi="Arial"/>
          <w:b/>
          <w:bCs/>
          <w:color w:val="1A1A2E"/>
          <w:sz w:val="21"/>
          <w:szCs w:val="21"/>
        </w:rPr>
        <w:t xml:space="preserve">Function: </w:t>
      </w:r>
      <w:r>
        <w:rPr>
          <w:rFonts w:ascii="Arial" w:cs="Arial" w:eastAsia="Arial" w:hAnsi="Arial"/>
          <w:color w:val="1A1A2E"/>
          <w:sz w:val="21"/>
          <w:szCs w:val="21"/>
        </w:rPr>
        <w:t xml:space="preserve">Voice-first multilingual MSE onboarding with automated document extraction.</w:t>
      </w:r>
    </w:p>
    <w:p>
      <w:pPr>
        <w:spacing w:after="100" w:line="276"/>
      </w:pPr>
      <w:r>
        <w:rPr>
          <w:rFonts w:ascii="Arial" w:cs="Arial" w:eastAsia="Arial" w:hAnsi="Arial"/>
          <w:b/>
          <w:bCs/>
          <w:color w:val="1A1A2E"/>
          <w:sz w:val="21"/>
          <w:szCs w:val="21"/>
        </w:rPr>
        <w:t xml:space="preserve">Voice Input: </w:t>
      </w:r>
      <w:r>
        <w:rPr>
          <w:rFonts w:ascii="Arial" w:cs="Arial" w:eastAsia="Arial" w:hAnsi="Arial"/>
          <w:color w:val="1A1A2E"/>
          <w:sz w:val="21"/>
          <w:szCs w:val="21"/>
        </w:rPr>
        <w:t xml:space="preserve">Sarvam AI Saras (STT) + Bulbul V3 (TTS) supporting Hindi, English, Tamil, Telugu, Kannada, Malayalam, Marathi, Bengali, Gujarati, Odia, Punjabi.</w:t>
      </w:r>
    </w:p>
    <w:p>
      <w:pPr>
        <w:spacing w:after="100" w:line="276"/>
      </w:pPr>
      <w:r>
        <w:rPr>
          <w:rFonts w:ascii="Arial" w:cs="Arial" w:eastAsia="Arial" w:hAnsi="Arial"/>
          <w:b/>
          <w:bCs/>
          <w:color w:val="1A1A2E"/>
          <w:sz w:val="21"/>
          <w:szCs w:val="21"/>
        </w:rPr>
        <w:t xml:space="preserve">Document OCR: </w:t>
      </w:r>
      <w:r>
        <w:rPr>
          <w:rFonts w:ascii="Arial" w:cs="Arial" w:eastAsia="Arial" w:hAnsi="Arial"/>
          <w:color w:val="1A1A2E"/>
          <w:sz w:val="21"/>
          <w:szCs w:val="21"/>
        </w:rPr>
        <w:t xml:space="preserve">Sarvam Vision (3B parameter vision-language model) extracts structured data from Udyam certificates, GST documents, PAN cards.</w:t>
      </w:r>
    </w:p>
    <w:p>
      <w:pPr>
        <w:spacing w:after="100" w:line="276"/>
      </w:pPr>
      <w:r>
        <w:rPr>
          <w:rFonts w:ascii="Arial" w:cs="Arial" w:eastAsia="Arial" w:hAnsi="Arial"/>
          <w:b/>
          <w:bCs/>
          <w:color w:val="1A1A2E"/>
          <w:sz w:val="21"/>
          <w:szCs w:val="21"/>
        </w:rPr>
        <w:t xml:space="preserve">Channels: </w:t>
      </w:r>
      <w:r>
        <w:rPr>
          <w:rFonts w:ascii="Arial" w:cs="Arial" w:eastAsia="Arial" w:hAnsi="Arial"/>
          <w:color w:val="1A1A2E"/>
          <w:sz w:val="21"/>
          <w:szCs w:val="21"/>
        </w:rPr>
        <w:t xml:space="preserve">WhatsApp Business API (primary for Tier 2/3), Web app (secondary).</w:t>
      </w:r>
    </w:p>
    <w:p>
      <w:pPr>
        <w:spacing w:after="100" w:line="276"/>
      </w:pPr>
      <w:r>
        <w:rPr>
          <w:rFonts w:ascii="Arial" w:cs="Arial" w:eastAsia="Arial" w:hAnsi="Arial"/>
          <w:b/>
          <w:bCs/>
          <w:color w:val="1A1A2E"/>
          <w:sz w:val="21"/>
          <w:szCs w:val="21"/>
        </w:rPr>
        <w:t xml:space="preserve">Output: </w:t>
      </w:r>
      <w:r>
        <w:rPr>
          <w:rFonts w:ascii="Arial" w:cs="Arial" w:eastAsia="Arial" w:hAnsi="Arial"/>
          <w:color w:val="1A1A2E"/>
          <w:sz w:val="21"/>
          <w:szCs w:val="21"/>
        </w:rPr>
        <w:t xml:space="preserve">Structured MSE profile with validated Udyam ID, PAN, GST, product descriptions, and location—auto-populated into TEAM registration forms.</w:t>
      </w:r>
    </w:p>
    <w:p>
      <w:pPr>
        <w:spacing w:after="100" w:line="276"/>
      </w:pPr>
      <w:r>
        <w:rPr>
          <w:rFonts w:ascii="Arial" w:cs="Arial" w:eastAsia="Arial" w:hAnsi="Arial"/>
          <w:b/>
          <w:bCs/>
          <w:color w:val="1A1A2E"/>
          <w:sz w:val="21"/>
          <w:szCs w:val="21"/>
        </w:rPr>
        <w:t xml:space="preserve">Target: </w:t>
      </w:r>
      <w:r>
        <w:rPr>
          <w:rFonts w:ascii="Arial" w:cs="Arial" w:eastAsia="Arial" w:hAnsi="Arial"/>
          <w:color w:val="1A1A2E"/>
          <w:sz w:val="21"/>
          <w:szCs w:val="21"/>
        </w:rPr>
        <w:t xml:space="preserve">8-minute voice-guided registration vs. current 30+ minutes.</w:t>
      </w:r>
    </w:p>
    <w:p>
      <w:pPr>
        <w:pStyle w:val="Heading2"/>
        <w:spacing w:before="260" w:after="140"/>
      </w:pPr>
      <w:r>
        <w:rPr>
          <w:rFonts w:ascii="Arial" w:cs="Arial" w:eastAsia="Arial" w:hAnsi="Arial"/>
          <w:b/>
          <w:bCs/>
          <w:color w:val="0E7C7B"/>
          <w:sz w:val="26"/>
          <w:szCs w:val="26"/>
        </w:rPr>
        <w:t xml:space="preserve">4.2 Module 2: Taxonomy Classification Engine (VargBot)</w:t>
      </w:r>
    </w:p>
    <w:p>
      <w:pPr>
        <w:spacing w:after="100" w:line="276"/>
      </w:pPr>
      <w:r>
        <w:rPr>
          <w:rFonts w:ascii="Arial" w:cs="Arial" w:eastAsia="Arial" w:hAnsi="Arial"/>
          <w:b/>
          <w:bCs/>
          <w:color w:val="1A1A2E"/>
          <w:sz w:val="21"/>
          <w:szCs w:val="21"/>
        </w:rPr>
        <w:t xml:space="preserve">Function: </w:t>
      </w:r>
      <w:r>
        <w:rPr>
          <w:rFonts w:ascii="Arial" w:cs="Arial" w:eastAsia="Arial" w:hAnsi="Arial"/>
          <w:color w:val="1A1A2E"/>
          <w:sz w:val="21"/>
          <w:szCs w:val="21"/>
        </w:rPr>
        <w:t xml:space="preserve">Maps MSE product descriptions to ONDC’s predefined taxonomy with Top-3 predictions and confidence routing.</w:t>
      </w:r>
    </w:p>
    <w:p>
      <w:pPr>
        <w:spacing w:after="100" w:line="276"/>
      </w:pPr>
      <w:r>
        <w:rPr>
          <w:rFonts w:ascii="Arial" w:cs="Arial" w:eastAsia="Arial" w:hAnsi="Arial"/>
          <w:b/>
          <w:bCs/>
          <w:color w:val="1A1A2E"/>
          <w:sz w:val="21"/>
          <w:szCs w:val="21"/>
        </w:rPr>
        <w:t xml:space="preserve">Model: </w:t>
      </w:r>
      <w:r>
        <w:rPr>
          <w:rFonts w:ascii="Arial" w:cs="Arial" w:eastAsia="Arial" w:hAnsi="Arial"/>
          <w:color w:val="1A1A2E"/>
          <w:sz w:val="21"/>
          <w:szCs w:val="21"/>
        </w:rPr>
        <w:t xml:space="preserve">Fine-tuned MuRIL (Multilingual Representations for Indian Languages) — Google’s 17-language Indian model, adapted for ONDC category classification.</w:t>
      </w:r>
    </w:p>
    <w:p>
      <w:pPr>
        <w:spacing w:after="100" w:line="276"/>
      </w:pPr>
      <w:r>
        <w:rPr>
          <w:rFonts w:ascii="Arial" w:cs="Arial" w:eastAsia="Arial" w:hAnsi="Arial"/>
          <w:b/>
          <w:bCs/>
          <w:color w:val="1A1A2E"/>
          <w:sz w:val="21"/>
          <w:szCs w:val="21"/>
        </w:rPr>
        <w:t xml:space="preserve">Pipeline: </w:t>
      </w:r>
      <w:r>
        <w:rPr>
          <w:rFonts w:ascii="Arial" w:cs="Arial" w:eastAsia="Arial" w:hAnsi="Arial"/>
          <w:color w:val="1A1A2E"/>
          <w:sz w:val="21"/>
          <w:szCs w:val="21"/>
        </w:rPr>
        <w:t xml:space="preserve">Voice/Text Input → Language Detection → Translation → Named Entity Recognition → MuRIL Embedding → Top-3 Category Classification (with confidence scores) → Attribute Extraction → ONDC-Compliant Catalog JSON.</w:t>
      </w:r>
    </w:p>
    <w:p>
      <w:pPr>
        <w:spacing w:after="100" w:line="276"/>
      </w:pPr>
      <w:r>
        <w:rPr>
          <w:rFonts w:ascii="Arial" w:cs="Arial" w:eastAsia="Arial" w:hAnsi="Arial"/>
          <w:b/>
          <w:bCs/>
          <w:color w:val="1A1A2E"/>
          <w:sz w:val="21"/>
          <w:szCs w:val="21"/>
        </w:rPr>
        <w:t xml:space="preserve">Confidence Routing: </w:t>
      </w:r>
      <w:r>
        <w:rPr>
          <w:rFonts w:ascii="Arial" w:cs="Arial" w:eastAsia="Arial" w:hAnsi="Arial"/>
          <w:color w:val="1A1A2E"/>
          <w:sz w:val="21"/>
          <w:szCs w:val="21"/>
        </w:rPr>
        <w:t xml:space="preserve">High confidence (≥0.85) → auto-assign. Moderate (0.60–0.85) → flag for review. Low (&lt;0.60) → route to human operator.</w:t>
      </w:r>
    </w:p>
    <w:p>
      <w:pPr>
        <w:spacing w:after="100" w:line="276"/>
      </w:pPr>
      <w:r>
        <w:rPr>
          <w:rFonts w:ascii="Arial" w:cs="Arial" w:eastAsia="Arial" w:hAnsi="Arial"/>
          <w:b/>
          <w:bCs/>
          <w:color w:val="1A1A2E"/>
          <w:sz w:val="21"/>
          <w:szCs w:val="21"/>
        </w:rPr>
        <w:t xml:space="preserve">Target: </w:t>
      </w:r>
      <w:r>
        <w:rPr>
          <w:rFonts w:ascii="Arial" w:cs="Arial" w:eastAsia="Arial" w:hAnsi="Arial"/>
          <w:color w:val="1A1A2E"/>
          <w:sz w:val="21"/>
          <w:szCs w:val="21"/>
        </w:rPr>
        <w:t xml:space="preserve">&gt;95% Top-1 accuracy, &gt;99% Top-3 accuracy across all ONDC domains.</w:t>
      </w:r>
    </w:p>
    <w:p>
      <w:pPr>
        <w:pStyle w:val="Heading2"/>
        <w:spacing w:before="260" w:after="140"/>
      </w:pPr>
      <w:r>
        <w:rPr>
          <w:rFonts w:ascii="Arial" w:cs="Arial" w:eastAsia="Arial" w:hAnsi="Arial"/>
          <w:b/>
          <w:bCs/>
          <w:color w:val="0E7C7B"/>
          <w:sz w:val="26"/>
          <w:szCs w:val="26"/>
        </w:rPr>
        <w:t xml:space="preserve">4.3 Module 3: Intelligent Matching Engine (JodakAI)</w:t>
      </w:r>
    </w:p>
    <w:p>
      <w:pPr>
        <w:spacing w:after="100" w:line="276"/>
      </w:pPr>
      <w:r>
        <w:rPr>
          <w:rFonts w:ascii="Arial" w:cs="Arial" w:eastAsia="Arial" w:hAnsi="Arial"/>
          <w:b/>
          <w:bCs/>
          <w:color w:val="1A1A2E"/>
          <w:sz w:val="21"/>
          <w:szCs w:val="21"/>
        </w:rPr>
        <w:t xml:space="preserve">Function: </w:t>
      </w:r>
      <w:r>
        <w:rPr>
          <w:rFonts w:ascii="Arial" w:cs="Arial" w:eastAsia="Arial" w:hAnsi="Arial"/>
          <w:color w:val="1A1A2E"/>
          <w:sz w:val="21"/>
          <w:szCs w:val="21"/>
        </w:rPr>
        <w:t xml:space="preserve">Multi-factor MSE-to-SNP scoring, ranking, and explainable recommendation.</w:t>
      </w:r>
    </w:p>
    <w:p>
      <w:pPr>
        <w:spacing w:after="100" w:line="276"/>
        <w:jc w:val="left"/>
      </w:pPr>
      <w:r>
        <w:rPr>
          <w:rFonts w:ascii="Arial" w:cs="Arial" w:eastAsia="Arial" w:hAnsi="Arial"/>
          <w:b/>
          <w:bCs/>
          <w:color w:val="1A1A2E"/>
          <w:sz w:val="21"/>
          <w:szCs w:val="21"/>
        </w:rPr>
        <w:t xml:space="preserve">Composite Scoring Model:</w:t>
      </w:r>
    </w:p>
    <w:p>
      <w:pPr>
        <w:spacing w:after="100" w:line="276"/>
        <w:jc w:val="left"/>
      </w:pPr>
      <w:r>
        <w:rPr>
          <w:rFonts w:ascii="Arial" w:cs="Arial" w:eastAsia="Arial" w:hAnsi="Arial"/>
          <w:b/>
          <w:bCs/>
          <w:color w:val="1A1A2E"/>
          <w:sz w:val="21"/>
          <w:szCs w:val="21"/>
        </w:rPr>
        <w:t xml:space="preserve">M(mse, snp) = 0.35×D + 0.20×G + 0.15×C + 0.20×H + 0.10×S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4500"/>
        <w:gridCol w:w="1000"/>
        <w:gridCol w:w="1960"/>
      </w:tblGrid>
      <w:tr>
        <w:tc>
          <w:tcPr>
            <w:tcW w:type="dxa" w:w="500"/>
            <w:tcBorders>
              <w:top w:val="single" w:color="CCCCCC" w:sz="1"/>
              <w:left w:val="single" w:color="CCCCCC" w:sz="1"/>
              <w:bottom w:val="single" w:color="CCCCCC" w:sz="1"/>
              <w:right w:val="single" w:color="CCCCCC" w:sz="1"/>
            </w:tcBorders>
            <w:shd w:fill="1A4D8F" w:val="clear"/>
            <w:tcMar>
              <w:top w:type="dxa" w:w="80"/>
              <w:left w:type="dxa" w:w="120"/>
              <w:bottom w:type="dxa" w:w="80"/>
              <w:right w:type="dxa" w:w="120"/>
            </w:tcMar>
          </w:tcPr>
          <w:p>
            <w:r>
              <w:rPr>
                <w:rFonts w:ascii="Arial" w:cs="Arial" w:eastAsia="Arial" w:hAnsi="Arial"/>
                <w:b/>
                <w:bCs/>
                <w:color w:val="FFFFFF"/>
                <w:sz w:val="19"/>
                <w:szCs w:val="19"/>
              </w:rPr>
              <w:t xml:space="preserve"/>
            </w:r>
          </w:p>
        </w:tc>
        <w:tc>
          <w:tcPr>
            <w:tcW w:type="dxa" w:w="1400"/>
            <w:tcBorders>
              <w:top w:val="single" w:color="CCCCCC" w:sz="1"/>
              <w:left w:val="single" w:color="CCCCCC" w:sz="1"/>
              <w:bottom w:val="single" w:color="CCCCCC" w:sz="1"/>
              <w:right w:val="single" w:color="CCCCCC" w:sz="1"/>
            </w:tcBorders>
            <w:shd w:fill="1A4D8F" w:val="clear"/>
            <w:tcMar>
              <w:top w:type="dxa" w:w="80"/>
              <w:left w:type="dxa" w:w="120"/>
              <w:bottom w:type="dxa" w:w="80"/>
              <w:right w:type="dxa" w:w="120"/>
            </w:tcMar>
          </w:tcPr>
          <w:p>
            <w:r>
              <w:rPr>
                <w:rFonts w:ascii="Arial" w:cs="Arial" w:eastAsia="Arial" w:hAnsi="Arial"/>
                <w:b/>
                <w:bCs/>
                <w:color w:val="FFFFFF"/>
                <w:sz w:val="19"/>
                <w:szCs w:val="19"/>
              </w:rPr>
              <w:t xml:space="preserve">Factor</w:t>
            </w:r>
          </w:p>
        </w:tc>
        <w:tc>
          <w:tcPr>
            <w:tcW w:type="dxa" w:w="4500"/>
            <w:tcBorders>
              <w:top w:val="single" w:color="CCCCCC" w:sz="1"/>
              <w:left w:val="single" w:color="CCCCCC" w:sz="1"/>
              <w:bottom w:val="single" w:color="CCCCCC" w:sz="1"/>
              <w:right w:val="single" w:color="CCCCCC" w:sz="1"/>
            </w:tcBorders>
            <w:shd w:fill="1A4D8F" w:val="clear"/>
            <w:tcMar>
              <w:top w:type="dxa" w:w="80"/>
              <w:left w:type="dxa" w:w="120"/>
              <w:bottom w:type="dxa" w:w="80"/>
              <w:right w:type="dxa" w:w="120"/>
            </w:tcMar>
          </w:tcPr>
          <w:p>
            <w:r>
              <w:rPr>
                <w:rFonts w:ascii="Arial" w:cs="Arial" w:eastAsia="Arial" w:hAnsi="Arial"/>
                <w:b/>
                <w:bCs/>
                <w:color w:val="FFFFFF"/>
                <w:sz w:val="19"/>
                <w:szCs w:val="19"/>
              </w:rPr>
              <w:t xml:space="preserve">Computation</w:t>
            </w:r>
          </w:p>
        </w:tc>
        <w:tc>
          <w:tcPr>
            <w:tcW w:type="dxa" w:w="1000"/>
            <w:tcBorders>
              <w:top w:val="single" w:color="CCCCCC" w:sz="1"/>
              <w:left w:val="single" w:color="CCCCCC" w:sz="1"/>
              <w:bottom w:val="single" w:color="CCCCCC" w:sz="1"/>
              <w:right w:val="single" w:color="CCCCCC" w:sz="1"/>
            </w:tcBorders>
            <w:shd w:fill="1A4D8F" w:val="clear"/>
            <w:tcMar>
              <w:top w:type="dxa" w:w="80"/>
              <w:left w:type="dxa" w:w="120"/>
              <w:bottom w:type="dxa" w:w="80"/>
              <w:right w:type="dxa" w:w="120"/>
            </w:tcMar>
          </w:tcPr>
          <w:p>
            <w:r>
              <w:rPr>
                <w:rFonts w:ascii="Arial" w:cs="Arial" w:eastAsia="Arial" w:hAnsi="Arial"/>
                <w:b/>
                <w:bCs/>
                <w:color w:val="FFFFFF"/>
                <w:sz w:val="19"/>
                <w:szCs w:val="19"/>
              </w:rPr>
              <w:t xml:space="preserve">Weight</w:t>
            </w:r>
          </w:p>
        </w:tc>
        <w:tc>
          <w:tcPr>
            <w:tcW w:type="dxa" w:w="1960"/>
            <w:tcBorders>
              <w:top w:val="single" w:color="CCCCCC" w:sz="1"/>
              <w:left w:val="single" w:color="CCCCCC" w:sz="1"/>
              <w:bottom w:val="single" w:color="CCCCCC" w:sz="1"/>
              <w:right w:val="single" w:color="CCCCCC" w:sz="1"/>
            </w:tcBorders>
            <w:shd w:fill="1A4D8F" w:val="clear"/>
            <w:tcMar>
              <w:top w:type="dxa" w:w="80"/>
              <w:left w:type="dxa" w:w="120"/>
              <w:bottom w:type="dxa" w:w="80"/>
              <w:right w:type="dxa" w:w="120"/>
            </w:tcMar>
          </w:tcPr>
          <w:p>
            <w:r>
              <w:rPr>
                <w:rFonts w:ascii="Arial" w:cs="Arial" w:eastAsia="Arial" w:hAnsi="Arial"/>
                <w:b/>
                <w:bCs/>
                <w:color w:val="FFFFFF"/>
                <w:sz w:val="19"/>
                <w:szCs w:val="19"/>
              </w:rPr>
              <w:t xml:space="preserve">Source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19"/>
                <w:szCs w:val="19"/>
              </w:rPr>
              <w:t xml:space="preserve">Domain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Cosine similarity: MSE product embedding vs SNP domain embedding (IndicBERT bi-encoder)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0.35</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Catalog + SNP</w:t>
            </w:r>
          </w:p>
        </w:tc>
      </w:tr>
      <w:tr>
        <w:tc>
          <w:tcPr>
            <w:tcW w:type="dxa" w:w="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G</w:t>
            </w:r>
          </w:p>
        </w:tc>
        <w:tc>
          <w:tcPr>
            <w:tcW w:type="dxa" w:w="1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A1A2E"/>
                <w:sz w:val="19"/>
                <w:szCs w:val="19"/>
              </w:rPr>
              <w:t xml:space="preserve">Geography</w:t>
            </w:r>
          </w:p>
        </w:tc>
        <w:tc>
          <w:tcPr>
            <w:tcW w:type="dxa" w:w="4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Haversine distance decay + state/district overlap + Tier 2/3 proximity boost</w:t>
            </w:r>
          </w:p>
        </w:tc>
        <w:tc>
          <w:tcPr>
            <w:tcW w:type="dxa" w:w="1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0.20</w:t>
            </w:r>
          </w:p>
        </w:tc>
        <w:tc>
          <w:tcPr>
            <w:tcW w:type="dxa" w:w="1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Udyam + SNP</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19"/>
                <w:szCs w:val="19"/>
              </w:rPr>
              <w:t xml:space="preserve">Capacity</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SNP current load / max capacity. Lower utilization = higher score (prevents overloading)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0.15</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TEAM + ONDC</w:t>
            </w:r>
          </w:p>
        </w:tc>
      </w:tr>
      <w:tr>
        <w:tc>
          <w:tcPr>
            <w:tcW w:type="dxa" w:w="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H</w:t>
            </w:r>
          </w:p>
        </w:tc>
        <w:tc>
          <w:tcPr>
            <w:tcW w:type="dxa" w:w="1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A1A2E"/>
                <w:sz w:val="19"/>
                <w:szCs w:val="19"/>
              </w:rPr>
              <w:t xml:space="preserve">History</w:t>
            </w:r>
          </w:p>
        </w:tc>
        <w:tc>
          <w:tcPr>
            <w:tcW w:type="dxa" w:w="4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SNP past success rate with similar MSEs (category, size, geography). Collaborative filtering</w:t>
            </w:r>
          </w:p>
        </w:tc>
        <w:tc>
          <w:tcPr>
            <w:tcW w:type="dxa" w:w="1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0.20</w:t>
            </w:r>
          </w:p>
        </w:tc>
        <w:tc>
          <w:tcPr>
            <w:tcW w:type="dxa" w:w="1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Match history DB</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19"/>
                <w:szCs w:val="19"/>
              </w:rPr>
              <w:t xml:space="preserve">Specialization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B2B vs B2C archetype match + MSE turnover tier alignment with SNP focus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0.10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Udyam + SNP</w:t>
            </w:r>
          </w:p>
        </w:tc>
      </w:tr>
    </w:tbl>
    <w:p>
      <w:pPr>
        <w:spacing w:after="60"/>
      </w:pPr>
    </w:p>
    <w:p>
      <w:pPr>
        <w:spacing w:after="100" w:line="276"/>
      </w:pPr>
      <w:r>
        <w:rPr>
          <w:rFonts w:ascii="Arial" w:cs="Arial" w:eastAsia="Arial" w:hAnsi="Arial"/>
          <w:b/>
          <w:bCs/>
          <w:color w:val="1A1A2E"/>
          <w:sz w:val="21"/>
          <w:szCs w:val="21"/>
        </w:rPr>
        <w:t xml:space="preserve">Weight Optimization: </w:t>
      </w:r>
      <w:r>
        <w:rPr>
          <w:rFonts w:ascii="Arial" w:cs="Arial" w:eastAsia="Arial" w:hAnsi="Arial"/>
          <w:color w:val="1A1A2E"/>
          <w:sz w:val="21"/>
          <w:szCs w:val="21"/>
        </w:rPr>
        <w:t xml:space="preserve">Grid search over weight combinations, evaluated on simulated reassignment rate and NDCG@3 against labeled MSE-SNP pairs.</w:t>
      </w:r>
    </w:p>
    <w:p>
      <w:pPr>
        <w:spacing w:after="100" w:line="276"/>
      </w:pPr>
      <w:r>
        <w:rPr>
          <w:rFonts w:ascii="Arial" w:cs="Arial" w:eastAsia="Arial" w:hAnsi="Arial"/>
          <w:b/>
          <w:bCs/>
          <w:color w:val="1A1A2E"/>
          <w:sz w:val="21"/>
          <w:szCs w:val="21"/>
        </w:rPr>
        <w:t xml:space="preserve">Ranking Evaluation: </w:t>
      </w:r>
      <w:r>
        <w:rPr>
          <w:rFonts w:ascii="Arial" w:cs="Arial" w:eastAsia="Arial" w:hAnsi="Arial"/>
          <w:color w:val="1A1A2E"/>
          <w:sz w:val="21"/>
          <w:szCs w:val="21"/>
        </w:rPr>
        <w:t xml:space="preserve">NDCG@3, MRR, and reassignment simulation on held-out test set.</w:t>
      </w:r>
    </w:p>
    <w:p>
      <w:pPr>
        <w:spacing w:after="100" w:line="276"/>
      </w:pPr>
      <w:r>
        <w:rPr>
          <w:rFonts w:ascii="Arial" w:cs="Arial" w:eastAsia="Arial" w:hAnsi="Arial"/>
          <w:b/>
          <w:bCs/>
          <w:color w:val="1A1A2E"/>
          <w:sz w:val="21"/>
          <w:szCs w:val="21"/>
        </w:rPr>
        <w:t xml:space="preserve">Cold Start: </w:t>
      </w:r>
      <w:r>
        <w:rPr>
          <w:rFonts w:ascii="Arial" w:cs="Arial" w:eastAsia="Arial" w:hAnsi="Arial"/>
          <w:color w:val="1A1A2E"/>
          <w:sz w:val="21"/>
          <w:szCs w:val="21"/>
        </w:rPr>
        <w:t xml:space="preserve">For new MSEs with no history—content-based matching with D weighted at 0.50, k-nearest-neighbor demographic similarity, geographic clustering.</w:t>
      </w:r>
    </w:p>
    <w:p>
      <w:pPr>
        <w:spacing w:after="100" w:line="276"/>
      </w:pPr>
      <w:r>
        <w:rPr>
          <w:rFonts w:ascii="Arial" w:cs="Arial" w:eastAsia="Arial" w:hAnsi="Arial"/>
          <w:b/>
          <w:bCs/>
          <w:color w:val="1A1A2E"/>
          <w:sz w:val="21"/>
          <w:szCs w:val="21"/>
        </w:rPr>
        <w:t xml:space="preserve">Output: </w:t>
      </w:r>
      <w:r>
        <w:rPr>
          <w:rFonts w:ascii="Arial" w:cs="Arial" w:eastAsia="Arial" w:hAnsi="Arial"/>
          <w:color w:val="1A1A2E"/>
          <w:sz w:val="21"/>
          <w:szCs w:val="21"/>
        </w:rPr>
        <w:t xml:space="preserve">Top-3 SNP recommendations with per-factor score breakdown and vernacular explanations.</w:t>
      </w:r>
    </w:p>
    <w:p>
      <w:pPr>
        <w:pStyle w:val="Heading2"/>
        <w:spacing w:before="260" w:after="140"/>
      </w:pPr>
      <w:r>
        <w:rPr>
          <w:rFonts w:ascii="Arial" w:cs="Arial" w:eastAsia="Arial" w:hAnsi="Arial"/>
          <w:b/>
          <w:bCs/>
          <w:color w:val="0E7C7B"/>
          <w:sz w:val="26"/>
          <w:szCs w:val="26"/>
        </w:rPr>
        <w:t xml:space="preserve">4.4 Agent Orchestration</w:t>
      </w:r>
    </w:p>
    <w:p>
      <w:pPr>
        <w:spacing w:after="100" w:line="276"/>
        <w:jc w:val="left"/>
      </w:pPr>
      <w:r>
        <w:rPr>
          <w:rFonts w:ascii="Arial" w:cs="Arial" w:eastAsia="Arial" w:hAnsi="Arial"/>
          <w:color w:val="1A1A2E"/>
          <w:sz w:val="21"/>
          <w:szCs w:val="21"/>
        </w:rPr>
        <w:t xml:space="preserve">Powered by LangGraph (selected over OpenAI Swarm, CrewAI, and Kimi K2 for state machine control, human-in-loop support, and model-agnostic design).</w:t>
      </w:r>
    </w:p>
    <w:p>
      <w:pPr>
        <w:spacing w:after="100" w:line="276"/>
        <w:jc w:val="left"/>
      </w:pPr>
      <w:r>
        <w:rPr>
          <w:rFonts w:ascii="Arial" w:cs="Arial" w:eastAsia="Arial" w:hAnsi="Arial"/>
          <w:color w:val="1A1A2E"/>
          <w:sz w:val="21"/>
          <w:szCs w:val="21"/>
        </w:rPr>
        <w:t xml:space="preserve">Flow: START → Registration Engine (voice/form) → Classification Engine (taxonomy mapping) → Matching Engine (SNP recommendation) → Human-in-Loop Review (for low-confidence) → Verification (compliance check via Udyam/GST/PAN APIs) → ONDC Onboarding → END</w:t>
      </w:r>
    </w:p>
    <w:p>
      <w:pPr>
        <w:spacing w:after="100" w:line="276"/>
        <w:jc w:val="left"/>
      </w:pPr>
      <w:r>
        <w:rPr>
          <w:rFonts w:ascii="Arial" w:cs="Arial" w:eastAsia="Arial" w:hAnsi="Arial"/>
          <w:color w:val="1A1A2E"/>
          <w:sz w:val="21"/>
          <w:szCs w:val="21"/>
        </w:rPr>
        <w:t xml:space="preserve">Every transition preserves full audit trail and allows fallback to human operators—critical for government compliance.</w:t>
      </w:r>
    </w:p>
    <w:p>
      <w:pPr>
        <w:pStyle w:val="Heading1"/>
        <w:spacing w:before="360" w:after="180"/>
      </w:pPr>
      <w:r>
        <w:rPr>
          <w:rFonts w:ascii="Arial" w:cs="Arial" w:eastAsia="Arial" w:hAnsi="Arial"/>
          <w:b/>
          <w:bCs/>
          <w:color w:val="1A4D8F"/>
          <w:sz w:val="34"/>
          <w:szCs w:val="34"/>
        </w:rPr>
        <w:t xml:space="preserve">5. Data Model &amp; Knowledge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2100"/>
        <w:gridCol w:w="2260"/>
      </w:tblGrid>
      <w:tr>
        <w:tc>
          <w:tcPr>
            <w:tcW w:type="dxa" w:w="1700"/>
            <w:tcBorders>
              <w:top w:val="single" w:color="CCCCCC" w:sz="1"/>
              <w:left w:val="single" w:color="CCCCCC" w:sz="1"/>
              <w:bottom w:val="single" w:color="CCCCCC" w:sz="1"/>
              <w:right w:val="single" w:color="CCCCCC" w:sz="1"/>
            </w:tcBorders>
            <w:shd w:fill="1A4D8F" w:val="clear"/>
            <w:tcMar>
              <w:top w:type="dxa" w:w="80"/>
              <w:left w:type="dxa" w:w="120"/>
              <w:bottom w:type="dxa" w:w="80"/>
              <w:right w:type="dxa" w:w="120"/>
            </w:tcMar>
          </w:tcPr>
          <w:p>
            <w:r>
              <w:rPr>
                <w:rFonts w:ascii="Arial" w:cs="Arial" w:eastAsia="Arial" w:hAnsi="Arial"/>
                <w:b/>
                <w:bCs/>
                <w:color w:val="FFFFFF"/>
                <w:sz w:val="19"/>
                <w:szCs w:val="19"/>
              </w:rPr>
              <w:t xml:space="preserve">Entity</w:t>
            </w:r>
          </w:p>
        </w:tc>
        <w:tc>
          <w:tcPr>
            <w:tcW w:type="dxa" w:w="3300"/>
            <w:tcBorders>
              <w:top w:val="single" w:color="CCCCCC" w:sz="1"/>
              <w:left w:val="single" w:color="CCCCCC" w:sz="1"/>
              <w:bottom w:val="single" w:color="CCCCCC" w:sz="1"/>
              <w:right w:val="single" w:color="CCCCCC" w:sz="1"/>
            </w:tcBorders>
            <w:shd w:fill="1A4D8F" w:val="clear"/>
            <w:tcMar>
              <w:top w:type="dxa" w:w="80"/>
              <w:left w:type="dxa" w:w="120"/>
              <w:bottom w:type="dxa" w:w="80"/>
              <w:right w:type="dxa" w:w="120"/>
            </w:tcMar>
          </w:tcPr>
          <w:p>
            <w:r>
              <w:rPr>
                <w:rFonts w:ascii="Arial" w:cs="Arial" w:eastAsia="Arial" w:hAnsi="Arial"/>
                <w:b/>
                <w:bCs/>
                <w:color w:val="FFFFFF"/>
                <w:sz w:val="19"/>
                <w:szCs w:val="19"/>
              </w:rPr>
              <w:t xml:space="preserve">Key Fields</w:t>
            </w:r>
          </w:p>
        </w:tc>
        <w:tc>
          <w:tcPr>
            <w:tcW w:type="dxa" w:w="2100"/>
            <w:tcBorders>
              <w:top w:val="single" w:color="CCCCCC" w:sz="1"/>
              <w:left w:val="single" w:color="CCCCCC" w:sz="1"/>
              <w:bottom w:val="single" w:color="CCCCCC" w:sz="1"/>
              <w:right w:val="single" w:color="CCCCCC" w:sz="1"/>
            </w:tcBorders>
            <w:shd w:fill="1A4D8F"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2260"/>
            <w:tcBorders>
              <w:top w:val="single" w:color="CCCCCC" w:sz="1"/>
              <w:left w:val="single" w:color="CCCCCC" w:sz="1"/>
              <w:bottom w:val="single" w:color="CCCCCC" w:sz="1"/>
              <w:right w:val="single" w:color="CCCCCC" w:sz="1"/>
            </w:tcBorders>
            <w:shd w:fill="1A4D8F" w:val="clear"/>
            <w:tcMar>
              <w:top w:type="dxa" w:w="80"/>
              <w:left w:type="dxa" w:w="120"/>
              <w:bottom w:type="dxa" w:w="80"/>
              <w:right w:type="dxa" w:w="120"/>
            </w:tcMar>
          </w:tcPr>
          <w:p>
            <w:r>
              <w:rPr>
                <w:rFonts w:ascii="Arial" w:cs="Arial" w:eastAsia="Arial" w:hAnsi="Arial"/>
                <w:b/>
                <w:bCs/>
                <w:color w:val="FFFFFF"/>
                <w:sz w:val="19"/>
                <w:szCs w:val="19"/>
              </w:rPr>
              <w:t xml:space="preserve">Storage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MSE Profile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Udyam ID, PAN, GST, Name, Location, Sector, Turnover, Products, Gender</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Udyam API, Voice, OCR</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PostgreSQL + Redis</w:t>
            </w:r>
          </w:p>
        </w:tc>
      </w:tr>
      <w:tr>
        <w:tc>
          <w:tcPr>
            <w:tcW w:type="dxa" w:w="17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Product Catalog</w:t>
            </w:r>
          </w:p>
        </w:tc>
        <w:tc>
          <w:tcPr>
            <w:tcW w:type="dxa" w:w="33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SKU ID, Title, Description, ONDC Category, Attributes, HSN Code</w:t>
            </w:r>
          </w:p>
        </w:tc>
        <w:tc>
          <w:tcPr>
            <w:tcW w:type="dxa" w:w="21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MSE Input, AI Classification</w:t>
            </w:r>
          </w:p>
        </w:tc>
        <w:tc>
          <w:tcPr>
            <w:tcW w:type="dxa" w:w="22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PostgreSQL + ES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SNP Profile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SNP ID, Domains, Geographies, Capacity, Load, B2B/B2C, Rating</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ONDC Registry, TEAM Portal</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PostgreSQL</w:t>
            </w:r>
          </w:p>
        </w:tc>
      </w:tr>
      <w:tr>
        <w:tc>
          <w:tcPr>
            <w:tcW w:type="dxa" w:w="17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Match Record</w:t>
            </w:r>
          </w:p>
        </w:tc>
        <w:tc>
          <w:tcPr>
            <w:tcW w:type="dxa" w:w="33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MSE ID, SNP ID, Composite Score, Component Scores, Confidence Band, Status</w:t>
            </w:r>
          </w:p>
        </w:tc>
        <w:tc>
          <w:tcPr>
            <w:tcW w:type="dxa" w:w="21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JodakAI Output</w:t>
            </w:r>
          </w:p>
        </w:tc>
        <w:tc>
          <w:tcPr>
            <w:tcW w:type="dxa" w:w="22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PostgreSQL + Analytics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ONDC Taxonomy</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Category Tree, Subcategories, Attributes, HSN Mapping</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ONDC GitHub Specs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MongoDB</w:t>
            </w:r>
          </w:p>
        </w:tc>
      </w:tr>
      <w:tr>
        <w:tc>
          <w:tcPr>
            <w:tcW w:type="dxa" w:w="17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Verification</w:t>
            </w:r>
          </w:p>
        </w:tc>
        <w:tc>
          <w:tcPr>
            <w:tcW w:type="dxa" w:w="33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MSE ID, Check Status, Flags, Cross-ref Results, NSIC Approval</w:t>
            </w:r>
          </w:p>
        </w:tc>
        <w:tc>
          <w:tcPr>
            <w:tcW w:type="dxa" w:w="21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Verification Module</w:t>
            </w:r>
          </w:p>
        </w:tc>
        <w:tc>
          <w:tcPr>
            <w:tcW w:type="dxa" w:w="22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PostgreSQL + Audit Log</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Interaction Log</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Session ID, Module, Input, Output, Language, Latency, Feedback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All Modules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ClickHouse</w:t>
            </w:r>
          </w:p>
        </w:tc>
      </w:tr>
    </w:tbl>
    <w:p>
      <w:pPr>
        <w:spacing w:after="60"/>
      </w:pPr>
    </w:p>
    <w:p>
      <w:pPr>
        <w:spacing w:after="100" w:line="276"/>
        <w:jc w:val="left"/>
      </w:pPr>
      <w:r>
        <w:rPr>
          <w:rFonts w:ascii="Arial" w:cs="Arial" w:eastAsia="Arial" w:hAnsi="Arial"/>
          <w:color w:val="1A1A2E"/>
          <w:sz w:val="21"/>
          <w:szCs w:val="21"/>
        </w:rPr>
        <w:t xml:space="preserve">ONDC Taxonomy Sync: Living knowledge graph synced from ONDC-Official/protocol-network-extension GitHub. Automated versioning with backward compatibility layer. Covers 15+ domains (Grocery, Fashion, Electronics, Health, Agriculture, etc.).</w:t>
      </w:r>
    </w:p>
    <w:p>
      <w:pPr>
        <w:pStyle w:val="Heading1"/>
        <w:spacing w:before="360" w:after="180"/>
      </w:pPr>
      <w:r>
        <w:rPr>
          <w:rFonts w:ascii="Arial" w:cs="Arial" w:eastAsia="Arial" w:hAnsi="Arial"/>
          <w:b/>
          <w:bCs/>
          <w:color w:val="1A4D8F"/>
          <w:sz w:val="34"/>
          <w:szCs w:val="34"/>
        </w:rPr>
        <w:t xml:space="preserve">6. Technology Stack (Sovereign AI)</w:t>
      </w:r>
    </w:p>
    <w:p>
      <w:pPr>
        <w:pStyle w:val="Heading2"/>
        <w:spacing w:before="260" w:after="140"/>
      </w:pPr>
      <w:r>
        <w:rPr>
          <w:rFonts w:ascii="Arial" w:cs="Arial" w:eastAsia="Arial" w:hAnsi="Arial"/>
          <w:b/>
          <w:bCs/>
          <w:color w:val="0E7C7B"/>
          <w:sz w:val="26"/>
          <w:szCs w:val="26"/>
        </w:rPr>
        <w:t xml:space="preserve">6.1 AI/ML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800"/>
        <w:gridCol w:w="2960"/>
      </w:tblGrid>
      <w:tr>
        <w:tc>
          <w:tcPr>
            <w:tcW w:type="dxa" w:w="1600"/>
            <w:tcBorders>
              <w:top w:val="single" w:color="CCCCCC" w:sz="1"/>
              <w:left w:val="single" w:color="CCCCCC" w:sz="1"/>
              <w:bottom w:val="single" w:color="CCCCCC" w:sz="1"/>
              <w:right w:val="single" w:color="CCCCCC" w:sz="1"/>
            </w:tcBorders>
            <w:shd w:fill="1A4D8F"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2000"/>
            <w:tcBorders>
              <w:top w:val="single" w:color="CCCCCC" w:sz="1"/>
              <w:left w:val="single" w:color="CCCCCC" w:sz="1"/>
              <w:bottom w:val="single" w:color="CCCCCC" w:sz="1"/>
              <w:right w:val="single" w:color="CCCCCC" w:sz="1"/>
            </w:tcBorders>
            <w:shd w:fill="1A4D8F" w:val="clear"/>
            <w:tcMar>
              <w:top w:type="dxa" w:w="80"/>
              <w:left w:type="dxa" w:w="120"/>
              <w:bottom w:type="dxa" w:w="80"/>
              <w:right w:type="dxa" w:w="120"/>
            </w:tcMar>
          </w:tcPr>
          <w:p>
            <w:r>
              <w:rPr>
                <w:rFonts w:ascii="Arial" w:cs="Arial" w:eastAsia="Arial" w:hAnsi="Arial"/>
                <w:b/>
                <w:bCs/>
                <w:color w:val="FFFFFF"/>
                <w:sz w:val="19"/>
                <w:szCs w:val="19"/>
              </w:rPr>
              <w:t xml:space="preserve">Model/Tool</w:t>
            </w:r>
          </w:p>
        </w:tc>
        <w:tc>
          <w:tcPr>
            <w:tcW w:type="dxa" w:w="2800"/>
            <w:tcBorders>
              <w:top w:val="single" w:color="CCCCCC" w:sz="1"/>
              <w:left w:val="single" w:color="CCCCCC" w:sz="1"/>
              <w:bottom w:val="single" w:color="CCCCCC" w:sz="1"/>
              <w:right w:val="single" w:color="CCCCCC" w:sz="1"/>
            </w:tcBorders>
            <w:shd w:fill="1A4D8F" w:val="clear"/>
            <w:tcMar>
              <w:top w:type="dxa" w:w="80"/>
              <w:left w:type="dxa" w:w="120"/>
              <w:bottom w:type="dxa" w:w="80"/>
              <w:right w:type="dxa" w:w="120"/>
            </w:tcMar>
          </w:tcPr>
          <w:p>
            <w:r>
              <w:rPr>
                <w:rFonts w:ascii="Arial" w:cs="Arial" w:eastAsia="Arial" w:hAnsi="Arial"/>
                <w:b/>
                <w:bCs/>
                <w:color w:val="FFFFFF"/>
                <w:sz w:val="19"/>
                <w:szCs w:val="19"/>
              </w:rPr>
              <w:t xml:space="preserve">Why This Choice</w:t>
            </w:r>
          </w:p>
        </w:tc>
        <w:tc>
          <w:tcPr>
            <w:tcW w:type="dxa" w:w="2960"/>
            <w:tcBorders>
              <w:top w:val="single" w:color="CCCCCC" w:sz="1"/>
              <w:left w:val="single" w:color="CCCCCC" w:sz="1"/>
              <w:bottom w:val="single" w:color="CCCCCC" w:sz="1"/>
              <w:right w:val="single" w:color="CCCCCC" w:sz="1"/>
            </w:tcBorders>
            <w:shd w:fill="1A4D8F" w:val="clear"/>
            <w:tcMar>
              <w:top w:type="dxa" w:w="80"/>
              <w:left w:type="dxa" w:w="120"/>
              <w:bottom w:type="dxa" w:w="80"/>
              <w:right w:type="dxa" w:w="120"/>
            </w:tcMar>
          </w:tcPr>
          <w:p>
            <w:r>
              <w:rPr>
                <w:rFonts w:ascii="Arial" w:cs="Arial" w:eastAsia="Arial" w:hAnsi="Arial"/>
                <w:b/>
                <w:bCs/>
                <w:color w:val="FFFFFF"/>
                <w:sz w:val="19"/>
                <w:szCs w:val="19"/>
              </w:rPr>
              <w:t xml:space="preserve">India Advantage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Speech-to-Text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Sarvam Saras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Best Indic ASR, handles code-switching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Indian accents, 11 langs, telephony-grade</w:t>
            </w:r>
          </w:p>
        </w:tc>
      </w:tr>
      <w:tr>
        <w:tc>
          <w:tcPr>
            <w:tcW w:type="dxa" w:w="1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Text-to-Speech</w:t>
            </w:r>
          </w:p>
        </w:tc>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Sarvam Bulbul V3</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Most natural Indic TTS, 35+ voices</w:t>
            </w:r>
          </w:p>
        </w:tc>
        <w:tc>
          <w:tcPr>
            <w:tcW w:type="dxa" w:w="2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Outperforms ElevenLabs in telephony evals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OCR/Vision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Sarvam Vision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3B param vision-language for Indic docs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Multilingual docs, scanned Udyam/GST</w:t>
            </w:r>
          </w:p>
        </w:tc>
      </w:tr>
      <w:tr>
        <w:tc>
          <w:tcPr>
            <w:tcW w:type="dxa" w:w="1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Classification</w:t>
            </w:r>
          </w:p>
        </w:tc>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Fine-tuned MuRIL</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Google’s Indian multilingual BERT</w:t>
            </w:r>
          </w:p>
        </w:tc>
        <w:tc>
          <w:tcPr>
            <w:tcW w:type="dxa" w:w="2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17 Indian languages, cross-lingual transfer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Semantic Match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IndicBERT Bi-Encoder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Fast similarity for MSE-SNP pairs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Pretrained on Indian web corpus</w:t>
            </w:r>
          </w:p>
        </w:tc>
      </w:tr>
      <w:tr>
        <w:tc>
          <w:tcPr>
            <w:tcW w:type="dxa" w:w="1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NER + Translation</w:t>
            </w:r>
          </w:p>
        </w:tc>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Sarvam Mayura</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Extract entities, translate across 11 langs</w:t>
            </w:r>
          </w:p>
        </w:tc>
        <w:tc>
          <w:tcPr>
            <w:tcW w:type="dxa" w:w="2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Indic NER + context-preserving translation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LLM Reasoning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Llama 3.1 8B (self-hosted)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Open-weight, hostable on Indian cloud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Data sovereignty, DPDP Act 2023 compliant</w:t>
            </w:r>
          </w:p>
        </w:tc>
      </w:tr>
      <w:tr>
        <w:tc>
          <w:tcPr>
            <w:tcW w:type="dxa" w:w="1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Orchestration</w:t>
            </w:r>
          </w:p>
        </w:tc>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LangGraph (Python)</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State machine with human-in-loop</w:t>
            </w:r>
          </w:p>
        </w:tc>
        <w:tc>
          <w:tcPr>
            <w:tcW w:type="dxa" w:w="2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Model-agnostic, works with any Indian LLM</w:t>
            </w:r>
          </w:p>
        </w:tc>
      </w:tr>
    </w:tbl>
    <w:p>
      <w:pPr>
        <w:spacing w:after="60"/>
      </w:pPr>
    </w:p>
    <w:p>
      <w:pPr>
        <w:pStyle w:val="Heading2"/>
        <w:spacing w:before="260" w:after="140"/>
      </w:pPr>
      <w:r>
        <w:rPr>
          <w:rFonts w:ascii="Arial" w:cs="Arial" w:eastAsia="Arial" w:hAnsi="Arial"/>
          <w:b/>
          <w:bCs/>
          <w:color w:val="0E7C7B"/>
          <w:sz w:val="26"/>
          <w:szCs w:val="26"/>
        </w:rPr>
        <w:t xml:space="preserve">6.2 Infrastructure</w:t>
      </w:r>
    </w:p>
    <w:p>
      <w:pPr>
        <w:spacing w:after="100" w:line="276"/>
      </w:pPr>
      <w:r>
        <w:rPr>
          <w:rFonts w:ascii="Arial" w:cs="Arial" w:eastAsia="Arial" w:hAnsi="Arial"/>
          <w:b/>
          <w:bCs/>
          <w:color w:val="1A1A2E"/>
          <w:sz w:val="21"/>
          <w:szCs w:val="21"/>
        </w:rPr>
        <w:t xml:space="preserve">Compute: </w:t>
      </w:r>
      <w:r>
        <w:rPr>
          <w:rFonts w:ascii="Arial" w:cs="Arial" w:eastAsia="Arial" w:hAnsi="Arial"/>
          <w:color w:val="1A1A2E"/>
          <w:sz w:val="21"/>
          <w:szCs w:val="21"/>
        </w:rPr>
        <w:t xml:space="preserve">MeitY Param Siddhi or Indian cloud (Yotta/CtrlS) for GPU inference. CPU on AWS Mumbai / Azure India Central.</w:t>
      </w:r>
    </w:p>
    <w:p>
      <w:pPr>
        <w:spacing w:after="100" w:line="276"/>
      </w:pPr>
      <w:r>
        <w:rPr>
          <w:rFonts w:ascii="Arial" w:cs="Arial" w:eastAsia="Arial" w:hAnsi="Arial"/>
          <w:b/>
          <w:bCs/>
          <w:color w:val="1A1A2E"/>
          <w:sz w:val="21"/>
          <w:szCs w:val="21"/>
        </w:rPr>
        <w:t xml:space="preserve">Backend: </w:t>
      </w:r>
      <w:r>
        <w:rPr>
          <w:rFonts w:ascii="Arial" w:cs="Arial" w:eastAsia="Arial" w:hAnsi="Arial"/>
          <w:color w:val="1A1A2E"/>
          <w:sz w:val="21"/>
          <w:szCs w:val="21"/>
        </w:rPr>
        <w:t xml:space="preserve">Python FastAPI microservices, Docker containers, Kubernetes (production only).</w:t>
      </w:r>
    </w:p>
    <w:p>
      <w:pPr>
        <w:spacing w:after="100" w:line="276"/>
      </w:pPr>
      <w:r>
        <w:rPr>
          <w:rFonts w:ascii="Arial" w:cs="Arial" w:eastAsia="Arial" w:hAnsi="Arial"/>
          <w:b/>
          <w:bCs/>
          <w:color w:val="1A1A2E"/>
          <w:sz w:val="21"/>
          <w:szCs w:val="21"/>
        </w:rPr>
        <w:t xml:space="preserve">Database: </w:t>
      </w:r>
      <w:r>
        <w:rPr>
          <w:rFonts w:ascii="Arial" w:cs="Arial" w:eastAsia="Arial" w:hAnsi="Arial"/>
          <w:color w:val="1A1A2E"/>
          <w:sz w:val="21"/>
          <w:szCs w:val="21"/>
        </w:rPr>
        <w:t xml:space="preserve">PostgreSQL (primary), Elasticsearch (product search), Redis (caching), ClickHouse (analytics), MongoDB (taxonomy).</w:t>
      </w:r>
    </w:p>
    <w:p>
      <w:pPr>
        <w:spacing w:after="100" w:line="276"/>
      </w:pPr>
      <w:r>
        <w:rPr>
          <w:rFonts w:ascii="Arial" w:cs="Arial" w:eastAsia="Arial" w:hAnsi="Arial"/>
          <w:b/>
          <w:bCs/>
          <w:color w:val="1A1A2E"/>
          <w:sz w:val="21"/>
          <w:szCs w:val="21"/>
        </w:rPr>
        <w:t xml:space="preserve">Frontend: </w:t>
      </w:r>
      <w:r>
        <w:rPr>
          <w:rFonts w:ascii="Arial" w:cs="Arial" w:eastAsia="Arial" w:hAnsi="Arial"/>
          <w:color w:val="1A1A2E"/>
          <w:sz w:val="21"/>
          <w:szCs w:val="21"/>
        </w:rPr>
        <w:t xml:space="preserve">React.js dashboard + WhatsApp Business API for voice onboarding.</w:t>
      </w:r>
    </w:p>
    <w:p>
      <w:pPr>
        <w:pStyle w:val="Heading2"/>
        <w:spacing w:before="260" w:after="140"/>
      </w:pPr>
      <w:r>
        <w:rPr>
          <w:rFonts w:ascii="Arial" w:cs="Arial" w:eastAsia="Arial" w:hAnsi="Arial"/>
          <w:b/>
          <w:bCs/>
          <w:color w:val="0E7C7B"/>
          <w:sz w:val="26"/>
          <w:szCs w:val="26"/>
        </w:rPr>
        <w:t xml:space="preserve">6.3 Why Sovereign AI (Not GPT/Claude API)</w:t>
      </w:r>
    </w:p>
    <w:p>
      <w:pPr>
        <w:spacing w:after="100" w:line="276"/>
        <w:jc w:val="left"/>
      </w:pPr>
      <w:r>
        <w:rPr>
          <w:rFonts w:ascii="Arial" w:cs="Arial" w:eastAsia="Arial" w:hAnsi="Arial"/>
          <w:color w:val="1A1A2E"/>
          <w:sz w:val="21"/>
          <w:szCs w:val="21"/>
        </w:rPr>
        <w:t xml:space="preserve">For a government-facing solution handling MSME data, data sovereignty is non-negotiable. Using US-based LLM APIs means MSE business data, Udyam IDs, PAN numbers, and financial information transit through foreign servers—conflicting with DPDP Act 2023 and government data governance policies.</w:t>
      </w:r>
    </w:p>
    <w:p>
      <w:pPr>
        <w:spacing w:after="100" w:line="276"/>
        <w:jc w:val="left"/>
      </w:pPr>
      <w:r>
        <w:rPr>
          <w:rFonts w:ascii="Arial" w:cs="Arial" w:eastAsia="Arial" w:hAnsi="Arial"/>
          <w:color w:val="1A1A2E"/>
          <w:sz w:val="21"/>
          <w:szCs w:val="21"/>
        </w:rPr>
        <w:t xml:space="preserve">Our approach: self-hosted open-weight models (Llama 3.1) + Indian-origin AI services (Sarvam AI). All data stays within Indian infrastructure. Sarvam AI is selected under IndiaAI Mission to build India’s indigenous foundational model, backed by 4,000 government-allocated GPUs—making them the most strategically aligned AI partner.</w:t>
      </w:r>
    </w:p>
    <w:p>
      <w:pPr>
        <w:pStyle w:val="Heading1"/>
        <w:spacing w:before="360" w:after="180"/>
      </w:pPr>
      <w:r>
        <w:rPr>
          <w:rFonts w:ascii="Arial" w:cs="Arial" w:eastAsia="Arial" w:hAnsi="Arial"/>
          <w:b/>
          <w:bCs/>
          <w:color w:val="1A4D8F"/>
          <w:sz w:val="34"/>
          <w:szCs w:val="34"/>
        </w:rPr>
        <w:t xml:space="preserve">7. Data Preparation &amp; Model Evaluation</w:t>
      </w:r>
    </w:p>
    <w:p>
      <w:pPr>
        <w:spacing w:after="100" w:line="276"/>
        <w:jc w:val="left"/>
      </w:pPr>
      <w:r>
        <w:rPr>
          <w:rFonts w:ascii="Arial" w:cs="Arial" w:eastAsia="Arial" w:hAnsi="Arial"/>
          <w:i/>
          <w:iCs/>
          <w:color w:val="1A1A2E"/>
          <w:sz w:val="21"/>
          <w:szCs w:val="21"/>
        </w:rPr>
        <w:t xml:space="preserve">This section directly addresses Annexure II evaluation criteria for data preparation, model building, and model evaluation.</w:t>
      </w:r>
    </w:p>
    <w:p>
      <w:pPr>
        <w:pStyle w:val="Heading2"/>
        <w:spacing w:before="260" w:after="140"/>
      </w:pPr>
      <w:r>
        <w:rPr>
          <w:rFonts w:ascii="Arial" w:cs="Arial" w:eastAsia="Arial" w:hAnsi="Arial"/>
          <w:b/>
          <w:bCs/>
          <w:color w:val="0E7C7B"/>
          <w:sz w:val="26"/>
          <w:szCs w:val="26"/>
        </w:rPr>
        <w:t xml:space="preserve">7.1 Dataset &amp; Splits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4D8F" w:val="clear"/>
            <w:tcMar>
              <w:top w:type="dxa" w:w="80"/>
              <w:left w:type="dxa" w:w="120"/>
              <w:bottom w:type="dxa" w:w="80"/>
              <w:right w:type="dxa" w:w="120"/>
            </w:tcMar>
          </w:tcPr>
          <w:p>
            <w:r>
              <w:rPr>
                <w:rFonts w:ascii="Arial" w:cs="Arial" w:eastAsia="Arial" w:hAnsi="Arial"/>
                <w:b/>
                <w:bCs/>
                <w:color w:val="FFFFFF"/>
                <w:sz w:val="19"/>
                <w:szCs w:val="19"/>
              </w:rPr>
              <w:t xml:space="preserve">Parameter</w:t>
            </w:r>
          </w:p>
        </w:tc>
        <w:tc>
          <w:tcPr>
            <w:tcW w:type="dxa" w:w="5860"/>
            <w:tcBorders>
              <w:top w:val="single" w:color="CCCCCC" w:sz="1"/>
              <w:left w:val="single" w:color="CCCCCC" w:sz="1"/>
              <w:bottom w:val="single" w:color="CCCCCC" w:sz="1"/>
              <w:right w:val="single" w:color="CCCCCC" w:sz="1"/>
            </w:tcBorders>
            <w:shd w:fill="1A4D8F" w:val="clear"/>
            <w:tcMar>
              <w:top w:type="dxa" w:w="80"/>
              <w:left w:type="dxa" w:w="120"/>
              <w:bottom w:type="dxa" w:w="80"/>
              <w:right w:type="dxa" w:w="120"/>
            </w:tcMar>
          </w:tcPr>
          <w:p>
            <w:r>
              <w:rPr>
                <w:rFonts w:ascii="Arial" w:cs="Arial" w:eastAsia="Arial" w:hAnsi="Arial"/>
                <w:b/>
                <w:bCs/>
                <w:color w:val="FFFFFF"/>
                <w:sz w:val="19"/>
                <w:szCs w:val="19"/>
              </w:rPr>
              <w:t xml:space="preserve">Specification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Primary Data Source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AIKosh platform (Ministry-provided sample data) + Udyam registration data (data.gov.in)</w:t>
            </w:r>
          </w:p>
        </w:tc>
      </w:tr>
      <w:tr>
        <w:tc>
          <w:tcPr>
            <w:tcW w:type="dxa" w:w="3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Supplementary Sources</w:t>
            </w:r>
          </w:p>
        </w:tc>
        <w:tc>
          <w:tcPr>
            <w:tcW w:type="dxa" w:w="58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ONDC taxonomy (GitHub), Kaggle product datasets, public e-commerce catalogs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Dataset Size (Categorization)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Target: 50K+ labeled product-category pairs across 15+ ONDC domains</w:t>
            </w:r>
          </w:p>
        </w:tc>
      </w:tr>
      <w:tr>
        <w:tc>
          <w:tcPr>
            <w:tcW w:type="dxa" w:w="3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Dataset Size (Matching)</w:t>
            </w:r>
          </w:p>
        </w:tc>
        <w:tc>
          <w:tcPr>
            <w:tcW w:type="dxa" w:w="58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Simulated: 5K MSE profiles × 50 SNP profiles with synthetic match outcomes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Train / Validation / Test Split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Stratified 80/10/10 split preserving category distribution</w:t>
            </w:r>
          </w:p>
        </w:tc>
      </w:tr>
      <w:tr>
        <w:tc>
          <w:tcPr>
            <w:tcW w:type="dxa" w:w="3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Class Imbalance Handling</w:t>
            </w:r>
          </w:p>
        </w:tc>
        <w:tc>
          <w:tcPr>
            <w:tcW w:type="dxa" w:w="58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SMOTE oversampling for minority categories + class-weighted loss function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Cross-Validation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5-fold stratified cross-validation for model selection and hyperparameter tuning</w:t>
            </w:r>
          </w:p>
        </w:tc>
      </w:tr>
      <w:tr>
        <w:tc>
          <w:tcPr>
            <w:tcW w:type="dxa" w:w="3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Hyperparameter Tuning</w:t>
            </w:r>
          </w:p>
        </w:tc>
        <w:tc>
          <w:tcPr>
            <w:tcW w:type="dxa" w:w="58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Optuna Bayesian search: learning rate, batch size, dropout, class weights</w:t>
            </w:r>
          </w:p>
        </w:tc>
      </w:tr>
    </w:tbl>
    <w:p>
      <w:pPr>
        <w:spacing w:after="60"/>
      </w:pPr>
    </w:p>
    <w:p>
      <w:pPr>
        <w:pStyle w:val="Heading2"/>
        <w:spacing w:before="260" w:after="140"/>
      </w:pPr>
      <w:r>
        <w:rPr>
          <w:rFonts w:ascii="Arial" w:cs="Arial" w:eastAsia="Arial" w:hAnsi="Arial"/>
          <w:b/>
          <w:bCs/>
          <w:color w:val="0E7C7B"/>
          <w:sz w:val="26"/>
          <w:szCs w:val="26"/>
        </w:rPr>
        <w:t xml:space="preserve">7.2 Evaluation Metrics</w:t>
      </w:r>
    </w:p>
    <w:p>
      <w:pPr>
        <w:spacing w:before="200" w:after="100"/>
      </w:pPr>
      <w:r>
        <w:rPr>
          <w:rFonts w:ascii="Arial" w:cs="Arial" w:eastAsia="Arial" w:hAnsi="Arial"/>
          <w:b/>
          <w:bCs/>
          <w:color w:val="1A1A2E"/>
          <w:sz w:val="23"/>
          <w:szCs w:val="23"/>
        </w:rPr>
        <w:t xml:space="preserve">Categorization Model (VargBot)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A4D8F"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3200"/>
            <w:tcBorders>
              <w:top w:val="single" w:color="CCCCCC" w:sz="1"/>
              <w:left w:val="single" w:color="CCCCCC" w:sz="1"/>
              <w:bottom w:val="single" w:color="CCCCCC" w:sz="1"/>
              <w:right w:val="single" w:color="CCCCCC" w:sz="1"/>
            </w:tcBorders>
            <w:shd w:fill="1A4D8F" w:val="clear"/>
            <w:tcMar>
              <w:top w:type="dxa" w:w="80"/>
              <w:left w:type="dxa" w:w="120"/>
              <w:bottom w:type="dxa" w:w="80"/>
              <w:right w:type="dxa" w:w="120"/>
            </w:tcMar>
          </w:tcPr>
          <w:p>
            <w:r>
              <w:rPr>
                <w:rFonts w:ascii="Arial" w:cs="Arial" w:eastAsia="Arial" w:hAnsi="Arial"/>
                <w:b/>
                <w:bCs/>
                <w:color w:val="FFFFFF"/>
                <w:sz w:val="19"/>
                <w:szCs w:val="19"/>
              </w:rPr>
              <w:t xml:space="preserve">Definition</w:t>
            </w:r>
          </w:p>
        </w:tc>
        <w:tc>
          <w:tcPr>
            <w:tcW w:type="dxa" w:w="3960"/>
            <w:tcBorders>
              <w:top w:val="single" w:color="CCCCCC" w:sz="1"/>
              <w:left w:val="single" w:color="CCCCCC" w:sz="1"/>
              <w:bottom w:val="single" w:color="CCCCCC" w:sz="1"/>
              <w:right w:val="single" w:color="CCCCCC" w:sz="1"/>
            </w:tcBorders>
            <w:shd w:fill="1A4D8F" w:val="clear"/>
            <w:tcMar>
              <w:top w:type="dxa" w:w="80"/>
              <w:left w:type="dxa" w:w="120"/>
              <w:bottom w:type="dxa" w:w="80"/>
              <w:right w:type="dxa" w:w="120"/>
            </w:tcMar>
          </w:tcPr>
          <w:p>
            <w:r>
              <w:rPr>
                <w:rFonts w:ascii="Arial" w:cs="Arial" w:eastAsia="Arial" w:hAnsi="Arial"/>
                <w:b/>
                <w:bCs/>
                <w:color w:val="FFFFFF"/>
                <w:sz w:val="19"/>
                <w:szCs w:val="19"/>
              </w:rPr>
              <w:t xml:space="preserve">Target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Accuracy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Correct predictions / total predictions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&gt;95% Top-1, &gt;99% Top-3</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Precision (macro)</w:t>
            </w:r>
          </w:p>
        </w:tc>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Average precision across all categories</w:t>
            </w:r>
          </w:p>
        </w:tc>
        <w:tc>
          <w:tcPr>
            <w:tcW w:type="dxa" w:w="3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&gt;90%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Recall (macro)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Average recall across all categories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&gt;90%</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F1 Score (macro)</w:t>
            </w:r>
          </w:p>
        </w:tc>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Harmonic mean of precision and recall</w:t>
            </w:r>
          </w:p>
        </w:tc>
        <w:tc>
          <w:tcPr>
            <w:tcW w:type="dxa" w:w="3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&gt;90%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Confusion Matrix</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Per-category error analysis, identify systematic misclassifications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Published per model version</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AUC-ROC</w:t>
            </w:r>
          </w:p>
        </w:tc>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Binary threshold performance (per-category one-vs-rest)</w:t>
            </w:r>
          </w:p>
        </w:tc>
        <w:tc>
          <w:tcPr>
            <w:tcW w:type="dxa" w:w="3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&gt;0.95 for top 10 categories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Latency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End-to-end classification time (text input to JSON output)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&lt;500ms p95</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Cost per Inference</w:t>
            </w:r>
          </w:p>
        </w:tc>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API + compute cost per classification</w:t>
            </w:r>
          </w:p>
        </w:tc>
        <w:tc>
          <w:tcPr>
            <w:tcW w:type="dxa" w:w="3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&lt;INR 0.10 per call</w:t>
            </w:r>
          </w:p>
        </w:tc>
      </w:tr>
    </w:tbl>
    <w:p>
      <w:pPr>
        <w:spacing w:after="60"/>
      </w:pPr>
    </w:p>
    <w:p>
      <w:pPr>
        <w:spacing w:before="200" w:after="100"/>
      </w:pPr>
      <w:r>
        <w:rPr>
          <w:rFonts w:ascii="Arial" w:cs="Arial" w:eastAsia="Arial" w:hAnsi="Arial"/>
          <w:b/>
          <w:bCs/>
          <w:color w:val="1A1A2E"/>
          <w:sz w:val="23"/>
          <w:szCs w:val="23"/>
        </w:rPr>
        <w:t xml:space="preserve">Matching Engine (JodakAI)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A4D8F"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3200"/>
            <w:tcBorders>
              <w:top w:val="single" w:color="CCCCCC" w:sz="1"/>
              <w:left w:val="single" w:color="CCCCCC" w:sz="1"/>
              <w:bottom w:val="single" w:color="CCCCCC" w:sz="1"/>
              <w:right w:val="single" w:color="CCCCCC" w:sz="1"/>
            </w:tcBorders>
            <w:shd w:fill="1A4D8F" w:val="clear"/>
            <w:tcMar>
              <w:top w:type="dxa" w:w="80"/>
              <w:left w:type="dxa" w:w="120"/>
              <w:bottom w:type="dxa" w:w="80"/>
              <w:right w:type="dxa" w:w="120"/>
            </w:tcMar>
          </w:tcPr>
          <w:p>
            <w:r>
              <w:rPr>
                <w:rFonts w:ascii="Arial" w:cs="Arial" w:eastAsia="Arial" w:hAnsi="Arial"/>
                <w:b/>
                <w:bCs/>
                <w:color w:val="FFFFFF"/>
                <w:sz w:val="19"/>
                <w:szCs w:val="19"/>
              </w:rPr>
              <w:t xml:space="preserve">Definition</w:t>
            </w:r>
          </w:p>
        </w:tc>
        <w:tc>
          <w:tcPr>
            <w:tcW w:type="dxa" w:w="3960"/>
            <w:tcBorders>
              <w:top w:val="single" w:color="CCCCCC" w:sz="1"/>
              <w:left w:val="single" w:color="CCCCCC" w:sz="1"/>
              <w:bottom w:val="single" w:color="CCCCCC" w:sz="1"/>
              <w:right w:val="single" w:color="CCCCCC" w:sz="1"/>
            </w:tcBorders>
            <w:shd w:fill="1A4D8F" w:val="clear"/>
            <w:tcMar>
              <w:top w:type="dxa" w:w="80"/>
              <w:left w:type="dxa" w:w="120"/>
              <w:bottom w:type="dxa" w:w="80"/>
              <w:right w:type="dxa" w:w="120"/>
            </w:tcMar>
          </w:tcPr>
          <w:p>
            <w:r>
              <w:rPr>
                <w:rFonts w:ascii="Arial" w:cs="Arial" w:eastAsia="Arial" w:hAnsi="Arial"/>
                <w:b/>
                <w:bCs/>
                <w:color w:val="FFFFFF"/>
                <w:sz w:val="19"/>
                <w:szCs w:val="19"/>
              </w:rPr>
              <w:t xml:space="preserve">Target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NDCG@3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Ranking quality of top 3 SNP recommendations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&gt;0.80</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MRR</w:t>
            </w:r>
          </w:p>
        </w:tc>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Mean Reciprocal Rank of first correct match</w:t>
            </w:r>
          </w:p>
        </w:tc>
        <w:tc>
          <w:tcPr>
            <w:tcW w:type="dxa" w:w="3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&gt;0.75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Reassignment Sim.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Simulated % of matches needing re-assignment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&lt;20% (vs 40–60% baseline)</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First-Match Accept.</w:t>
            </w:r>
          </w:p>
        </w:tc>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 of MSEs accepting top recommendation</w:t>
            </w:r>
          </w:p>
        </w:tc>
        <w:tc>
          <w:tcPr>
            <w:tcW w:type="dxa" w:w="3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&gt;60%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Latency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End-to-end matching time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&lt;500ms p95</w:t>
            </w:r>
          </w:p>
        </w:tc>
      </w:tr>
    </w:tbl>
    <w:p>
      <w:pPr>
        <w:spacing w:after="60"/>
      </w:pPr>
    </w:p>
    <w:p>
      <w:pPr>
        <w:pStyle w:val="Heading2"/>
        <w:spacing w:before="260" w:after="140"/>
      </w:pPr>
      <w:r>
        <w:rPr>
          <w:rFonts w:ascii="Arial" w:cs="Arial" w:eastAsia="Arial" w:hAnsi="Arial"/>
          <w:b/>
          <w:bCs/>
          <w:color w:val="0E7C7B"/>
          <w:sz w:val="26"/>
          <w:szCs w:val="26"/>
        </w:rPr>
        <w:t xml:space="preserve">7.3 Baseline Comparison</w:t>
      </w:r>
    </w:p>
    <w:p>
      <w:pPr>
        <w:spacing w:after="100" w:line="276"/>
        <w:jc w:val="left"/>
      </w:pPr>
      <w:r>
        <w:rPr>
          <w:rFonts w:ascii="Arial" w:cs="Arial" w:eastAsia="Arial" w:hAnsi="Arial"/>
          <w:color w:val="1A1A2E"/>
          <w:sz w:val="21"/>
          <w:szCs w:val="21"/>
        </w:rPr>
        <w:t xml:space="preserve">All metrics measured on identical held-out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A4D8F"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3080"/>
            <w:tcBorders>
              <w:top w:val="single" w:color="CCCCCC" w:sz="1"/>
              <w:left w:val="single" w:color="CCCCCC" w:sz="1"/>
              <w:bottom w:val="single" w:color="CCCCCC" w:sz="1"/>
              <w:right w:val="single" w:color="CCCCCC" w:sz="1"/>
            </w:tcBorders>
            <w:shd w:fill="1A4D8F" w:val="clear"/>
            <w:tcMar>
              <w:top w:type="dxa" w:w="80"/>
              <w:left w:type="dxa" w:w="120"/>
              <w:bottom w:type="dxa" w:w="80"/>
              <w:right w:type="dxa" w:w="120"/>
            </w:tcMar>
          </w:tcPr>
          <w:p>
            <w:r>
              <w:rPr>
                <w:rFonts w:ascii="Arial" w:cs="Arial" w:eastAsia="Arial" w:hAnsi="Arial"/>
                <w:b/>
                <w:bCs/>
                <w:color w:val="FFFFFF"/>
                <w:sz w:val="19"/>
                <w:szCs w:val="19"/>
              </w:rPr>
              <w:t xml:space="preserve">Rule-Based Baseline</w:t>
            </w:r>
          </w:p>
        </w:tc>
        <w:tc>
          <w:tcPr>
            <w:tcW w:type="dxa" w:w="3080"/>
            <w:tcBorders>
              <w:top w:val="single" w:color="CCCCCC" w:sz="1"/>
              <w:left w:val="single" w:color="CCCCCC" w:sz="1"/>
              <w:bottom w:val="single" w:color="CCCCCC" w:sz="1"/>
              <w:right w:val="single" w:color="CCCCCC" w:sz="1"/>
            </w:tcBorders>
            <w:shd w:fill="1A4D8F" w:val="clear"/>
            <w:tcMar>
              <w:top w:type="dxa" w:w="80"/>
              <w:left w:type="dxa" w:w="120"/>
              <w:bottom w:type="dxa" w:w="80"/>
              <w:right w:type="dxa" w:w="120"/>
            </w:tcMar>
          </w:tcPr>
          <w:p>
            <w:r>
              <w:rPr>
                <w:rFonts w:ascii="Arial" w:cs="Arial" w:eastAsia="Arial" w:hAnsi="Arial"/>
                <w:b/>
                <w:bCs/>
                <w:color w:val="FFFFFF"/>
                <w:sz w:val="19"/>
                <w:szCs w:val="19"/>
              </w:rPr>
              <w:t xml:space="preserve">AgentMap AI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Product Categorization Accuracy</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~55–65% (keyword matching)</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19"/>
                <w:szCs w:val="19"/>
              </w:rPr>
              <w:t xml:space="preserve">&gt;95% (fine-tuned MuRIL)</w:t>
            </w:r>
          </w:p>
        </w:tc>
      </w:tr>
      <w:tr>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NDCG@3 (Matching Ranking)</w:t>
            </w:r>
          </w:p>
        </w:tc>
        <w:tc>
          <w:tcPr>
            <w:tcW w:type="dxa" w:w="30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~0.45 (domain+geo rules)</w:t>
            </w:r>
          </w:p>
        </w:tc>
        <w:tc>
          <w:tcPr>
            <w:tcW w:type="dxa" w:w="30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A1A2E"/>
                <w:sz w:val="19"/>
                <w:szCs w:val="19"/>
              </w:rPr>
              <w:t xml:space="preserve">&gt;0.80 (multi-factor + embeddings)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Simulated Reassignment Rate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40–60%</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19"/>
                <w:szCs w:val="19"/>
              </w:rPr>
              <w:t xml:space="preserve">&lt;20%</w:t>
            </w:r>
          </w:p>
        </w:tc>
      </w:tr>
      <w:tr>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First-Match Acceptance Rate</w:t>
            </w:r>
          </w:p>
        </w:tc>
        <w:tc>
          <w:tcPr>
            <w:tcW w:type="dxa" w:w="30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~40%</w:t>
            </w:r>
          </w:p>
        </w:tc>
        <w:tc>
          <w:tcPr>
            <w:tcW w:type="dxa" w:w="30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A1A2E"/>
                <w:sz w:val="19"/>
                <w:szCs w:val="19"/>
              </w:rPr>
              <w:t xml:space="preserve">&gt;60%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Onboarding Time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30+ min (manual)</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19"/>
                <w:szCs w:val="19"/>
              </w:rPr>
              <w:t xml:space="preserve">&lt;8 min (voice-guided)</w:t>
            </w:r>
          </w:p>
        </w:tc>
      </w:tr>
    </w:tbl>
    <w:p>
      <w:pPr>
        <w:spacing w:after="60"/>
      </w:pPr>
    </w:p>
    <w:p>
      <w:pPr>
        <w:spacing w:after="100" w:line="276"/>
        <w:jc w:val="left"/>
      </w:pPr>
      <w:r>
        <w:rPr>
          <w:rFonts w:ascii="Arial" w:cs="Arial" w:eastAsia="Arial" w:hAnsi="Arial"/>
          <w:i/>
          <w:iCs/>
          <w:color w:val="1A1A2E"/>
          <w:sz w:val="21"/>
          <w:szCs w:val="21"/>
        </w:rPr>
        <w:t xml:space="preserve">Note: Baseline numbers will be experimentally validated in Week 1–2 of Stage 1 PoC against AIKosh data. Final metrics will be published in the evaluation report.</w:t>
      </w:r>
    </w:p>
    <w:p>
      <w:pPr>
        <w:pStyle w:val="Heading1"/>
        <w:spacing w:before="360" w:after="180"/>
      </w:pPr>
      <w:r>
        <w:rPr>
          <w:rFonts w:ascii="Arial" w:cs="Arial" w:eastAsia="Arial" w:hAnsi="Arial"/>
          <w:b/>
          <w:bCs/>
          <w:color w:val="1A4D8F"/>
          <w:sz w:val="34"/>
          <w:szCs w:val="34"/>
        </w:rPr>
        <w:t xml:space="preserve">8. Confidence Band System</w:t>
      </w:r>
    </w:p>
    <w:p>
      <w:pPr>
        <w:spacing w:after="100" w:line="276"/>
        <w:jc w:val="left"/>
      </w:pPr>
      <w:r>
        <w:rPr>
          <w:rFonts w:ascii="Arial" w:cs="Arial" w:eastAsia="Arial" w:hAnsi="Arial"/>
          <w:color w:val="1A1A2E"/>
          <w:sz w:val="21"/>
          <w:szCs w:val="21"/>
        </w:rPr>
        <w:t xml:space="preserve">Every match and categorization decision is tagged with a confidence band that determines the processing pathway: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200"/>
        <w:gridCol w:w="2960"/>
      </w:tblGrid>
      <w:tr>
        <w:tc>
          <w:tcPr>
            <w:tcW w:type="dxa" w:w="1200"/>
            <w:tcBorders>
              <w:top w:val="single" w:color="CCCCCC" w:sz="1"/>
              <w:left w:val="single" w:color="CCCCCC" w:sz="1"/>
              <w:bottom w:val="single" w:color="CCCCCC" w:sz="1"/>
              <w:right w:val="single" w:color="CCCCCC" w:sz="1"/>
            </w:tcBorders>
            <w:shd w:fill="1A4D8F" w:val="clear"/>
            <w:tcMar>
              <w:top w:type="dxa" w:w="80"/>
              <w:left w:type="dxa" w:w="120"/>
              <w:bottom w:type="dxa" w:w="80"/>
              <w:right w:type="dxa" w:w="120"/>
            </w:tcMar>
          </w:tcPr>
          <w:p>
            <w:r>
              <w:rPr>
                <w:rFonts w:ascii="Arial" w:cs="Arial" w:eastAsia="Arial" w:hAnsi="Arial"/>
                <w:b/>
                <w:bCs/>
                <w:color w:val="FFFFFF"/>
                <w:sz w:val="19"/>
                <w:szCs w:val="19"/>
              </w:rPr>
              <w:t xml:space="preserve">Band</w:t>
            </w:r>
          </w:p>
        </w:tc>
        <w:tc>
          <w:tcPr>
            <w:tcW w:type="dxa" w:w="2000"/>
            <w:tcBorders>
              <w:top w:val="single" w:color="CCCCCC" w:sz="1"/>
              <w:left w:val="single" w:color="CCCCCC" w:sz="1"/>
              <w:bottom w:val="single" w:color="CCCCCC" w:sz="1"/>
              <w:right w:val="single" w:color="CCCCCC" w:sz="1"/>
            </w:tcBorders>
            <w:shd w:fill="1A4D8F" w:val="clear"/>
            <w:tcMar>
              <w:top w:type="dxa" w:w="80"/>
              <w:left w:type="dxa" w:w="120"/>
              <w:bottom w:type="dxa" w:w="80"/>
              <w:right w:type="dxa" w:w="120"/>
            </w:tcMar>
          </w:tcPr>
          <w:p>
            <w:r>
              <w:rPr>
                <w:rFonts w:ascii="Arial" w:cs="Arial" w:eastAsia="Arial" w:hAnsi="Arial"/>
                <w:b/>
                <w:bCs/>
                <w:color w:val="FFFFFF"/>
                <w:sz w:val="19"/>
                <w:szCs w:val="19"/>
              </w:rPr>
              <w:t xml:space="preserve">Threshold</w:t>
            </w:r>
          </w:p>
        </w:tc>
        <w:tc>
          <w:tcPr>
            <w:tcW w:type="dxa" w:w="3200"/>
            <w:tcBorders>
              <w:top w:val="single" w:color="CCCCCC" w:sz="1"/>
              <w:left w:val="single" w:color="CCCCCC" w:sz="1"/>
              <w:bottom w:val="single" w:color="CCCCCC" w:sz="1"/>
              <w:right w:val="single" w:color="CCCCCC" w:sz="1"/>
            </w:tcBorders>
            <w:shd w:fill="1A4D8F"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2960"/>
            <w:tcBorders>
              <w:top w:val="single" w:color="CCCCCC" w:sz="1"/>
              <w:left w:val="single" w:color="CCCCCC" w:sz="1"/>
              <w:bottom w:val="single" w:color="CCCCCC" w:sz="1"/>
              <w:right w:val="single" w:color="CCCCCC" w:sz="1"/>
            </w:tcBorders>
            <w:shd w:fill="1A4D8F" w:val="clear"/>
            <w:tcMar>
              <w:top w:type="dxa" w:w="80"/>
              <w:left w:type="dxa" w:w="120"/>
              <w:bottom w:type="dxa" w:w="80"/>
              <w:right w:type="dxa" w:w="120"/>
            </w:tcMar>
          </w:tcPr>
          <w:p>
            <w:r>
              <w:rPr>
                <w:rFonts w:ascii="Arial" w:cs="Arial" w:eastAsia="Arial" w:hAnsi="Arial"/>
                <w:b/>
                <w:bCs/>
                <w:color w:val="FFFFFF"/>
                <w:sz w:val="19"/>
                <w:szCs w:val="19"/>
              </w:rPr>
              <w:t xml:space="preserve">Governance</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9"/>
                <w:szCs w:val="19"/>
              </w:rPr>
              <w:t xml:space="preserve">GREEN</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2E"/>
                <w:sz w:val="19"/>
                <w:szCs w:val="19"/>
              </w:rPr>
              <w:t xml:space="preserve">Confidence ≥ 0.85</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2E"/>
                <w:sz w:val="19"/>
                <w:szCs w:val="19"/>
              </w:rPr>
              <w:t xml:space="preserve">Auto-assign: match/category accepted automatically</w:t>
            </w:r>
          </w:p>
        </w:tc>
        <w:tc>
          <w:tcPr>
            <w:tcW w:type="dxa" w:w="2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2E"/>
                <w:sz w:val="19"/>
                <w:szCs w:val="19"/>
              </w:rPr>
              <w:t xml:space="preserve">Logged for audit. No human intervention needed.</w:t>
            </w:r>
          </w:p>
        </w:tc>
      </w:tr>
      <w:tr>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F17"/>
                <w:sz w:val="19"/>
                <w:szCs w:val="19"/>
              </w:rPr>
              <w:t xml:space="preserve">YELLOW</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1A1A2E"/>
                <w:sz w:val="19"/>
                <w:szCs w:val="19"/>
              </w:rPr>
              <w:t xml:space="preserve">0.60 ≤ Confidence &lt; 0.85</w:t>
            </w:r>
          </w:p>
        </w:tc>
        <w:tc>
          <w:tcPr>
            <w:tcW w:type="dxa" w:w="3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1A1A2E"/>
                <w:sz w:val="19"/>
                <w:szCs w:val="19"/>
              </w:rPr>
              <w:t xml:space="preserve">Flag for review: presented to NSIC officer with explanation</w:t>
            </w:r>
          </w:p>
        </w:tc>
        <w:tc>
          <w:tcPr>
            <w:tcW w:type="dxa" w:w="29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1A1A2E"/>
                <w:sz w:val="19"/>
                <w:szCs w:val="19"/>
              </w:rPr>
              <w:t xml:space="preserve">Officer approves, edits, or overrides. Decision logged.</w:t>
            </w:r>
          </w:p>
        </w:tc>
      </w:tr>
      <w:tr>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62828"/>
                <w:sz w:val="19"/>
                <w:szCs w:val="19"/>
              </w:rPr>
              <w:t xml:space="preserve">RED</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color w:val="1A1A2E"/>
                <w:sz w:val="19"/>
                <w:szCs w:val="19"/>
              </w:rPr>
              <w:t xml:space="preserve">Confidence &lt; 0.60</w:t>
            </w:r>
          </w:p>
        </w:tc>
        <w:tc>
          <w:tcPr>
            <w:tcW w:type="dxa" w:w="3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color w:val="1A1A2E"/>
                <w:sz w:val="19"/>
                <w:szCs w:val="19"/>
              </w:rPr>
              <w:t xml:space="preserve">Manual review required: routed to human operator queue</w:t>
            </w:r>
          </w:p>
        </w:tc>
        <w:tc>
          <w:tcPr>
            <w:tcW w:type="dxa" w:w="29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color w:val="1A1A2E"/>
                <w:sz w:val="19"/>
                <w:szCs w:val="19"/>
              </w:rPr>
              <w:t xml:space="preserve">Full manual assignment. System provides data package only.</w:t>
            </w:r>
          </w:p>
        </w:tc>
      </w:tr>
    </w:tbl>
    <w:p>
      <w:pPr>
        <w:spacing w:after="60"/>
      </w:pPr>
    </w:p>
    <w:p>
      <w:pPr>
        <w:spacing w:after="100" w:line="276"/>
        <w:jc w:val="left"/>
      </w:pPr>
      <w:r>
        <w:rPr>
          <w:rFonts w:ascii="Arial" w:cs="Arial" w:eastAsia="Arial" w:hAnsi="Arial"/>
          <w:color w:val="1A1A2E"/>
          <w:sz w:val="21"/>
          <w:szCs w:val="21"/>
        </w:rPr>
        <w:t xml:space="preserve">This system ensures Responsible AI governance: high-confidence decisions are automated for speed, while uncertain decisions always have human oversight. Officer override capability is available at all levels.</w:t>
      </w:r>
    </w:p>
    <w:p>
      <w:pPr>
        <w:pStyle w:val="Heading1"/>
        <w:spacing w:before="360" w:after="180"/>
      </w:pPr>
      <w:r>
        <w:rPr>
          <w:rFonts w:ascii="Arial" w:cs="Arial" w:eastAsia="Arial" w:hAnsi="Arial"/>
          <w:b/>
          <w:bCs/>
          <w:color w:val="1A4D8F"/>
          <w:sz w:val="34"/>
          <w:szCs w:val="34"/>
        </w:rPr>
        <w:t xml:space="preserve">9. Data Imperfection Handling</w:t>
      </w:r>
    </w:p>
    <w:p>
      <w:pPr>
        <w:spacing w:after="100" w:line="276"/>
        <w:jc w:val="left"/>
      </w:pPr>
      <w:r>
        <w:rPr>
          <w:rFonts w:ascii="Arial" w:cs="Arial" w:eastAsia="Arial" w:hAnsi="Arial"/>
          <w:color w:val="1A1A2E"/>
          <w:sz w:val="21"/>
          <w:szCs w:val="21"/>
        </w:rPr>
        <w:t xml:space="preserve">Real-world MSME data is messy. AgentMap AI is designed to handle data imperfections gracefully: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A4D8F" w:val="clear"/>
            <w:tcMar>
              <w:top w:type="dxa" w:w="80"/>
              <w:left w:type="dxa" w:w="120"/>
              <w:bottom w:type="dxa" w:w="80"/>
              <w:right w:type="dxa" w:w="120"/>
            </w:tcMar>
          </w:tcPr>
          <w:p>
            <w:r>
              <w:rPr>
                <w:rFonts w:ascii="Arial" w:cs="Arial" w:eastAsia="Arial" w:hAnsi="Arial"/>
                <w:b/>
                <w:bCs/>
                <w:color w:val="FFFFFF"/>
                <w:sz w:val="19"/>
                <w:szCs w:val="19"/>
              </w:rPr>
              <w:t xml:space="preserve">Imperfection</w:t>
            </w:r>
          </w:p>
        </w:tc>
        <w:tc>
          <w:tcPr>
            <w:tcW w:type="dxa" w:w="3500"/>
            <w:tcBorders>
              <w:top w:val="single" w:color="CCCCCC" w:sz="1"/>
              <w:left w:val="single" w:color="CCCCCC" w:sz="1"/>
              <w:bottom w:val="single" w:color="CCCCCC" w:sz="1"/>
              <w:right w:val="single" w:color="CCCCCC" w:sz="1"/>
            </w:tcBorders>
            <w:shd w:fill="1A4D8F" w:val="clear"/>
            <w:tcMar>
              <w:top w:type="dxa" w:w="80"/>
              <w:left w:type="dxa" w:w="120"/>
              <w:bottom w:type="dxa" w:w="80"/>
              <w:right w:type="dxa" w:w="120"/>
            </w:tcMar>
          </w:tcPr>
          <w:p>
            <w:r>
              <w:rPr>
                <w:rFonts w:ascii="Arial" w:cs="Arial" w:eastAsia="Arial" w:hAnsi="Arial"/>
                <w:b/>
                <w:bCs/>
                <w:color w:val="FFFFFF"/>
                <w:sz w:val="19"/>
                <w:szCs w:val="19"/>
              </w:rPr>
              <w:t xml:space="preserve">Handling Strategy</w:t>
            </w:r>
          </w:p>
        </w:tc>
        <w:tc>
          <w:tcPr>
            <w:tcW w:type="dxa" w:w="3360"/>
            <w:tcBorders>
              <w:top w:val="single" w:color="CCCCCC" w:sz="1"/>
              <w:left w:val="single" w:color="CCCCCC" w:sz="1"/>
              <w:bottom w:val="single" w:color="CCCCCC" w:sz="1"/>
              <w:right w:val="single" w:color="CCCCCC" w:sz="1"/>
            </w:tcBorders>
            <w:shd w:fill="1A4D8F" w:val="clear"/>
            <w:tcMar>
              <w:top w:type="dxa" w:w="80"/>
              <w:left w:type="dxa" w:w="120"/>
              <w:bottom w:type="dxa" w:w="80"/>
              <w:right w:type="dxa" w:w="120"/>
            </w:tcMar>
          </w:tcPr>
          <w:p>
            <w:r>
              <w:rPr>
                <w:rFonts w:ascii="Arial" w:cs="Arial" w:eastAsia="Arial" w:hAnsi="Arial"/>
                <w:b/>
                <w:bCs/>
                <w:color w:val="FFFFFF"/>
                <w:sz w:val="19"/>
                <w:szCs w:val="19"/>
              </w:rPr>
              <w:t xml:space="preserve">Fallback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Missing SNP Capacity Data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Use last-known capacity with exponential decay confidence. Conservative estimate (80% of max).</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Route to manual NSIC assignment.</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Ambiguous Product Description</w:t>
            </w:r>
          </w:p>
        </w:tc>
        <w:tc>
          <w:tcPr>
            <w:tcW w:type="dxa" w:w="3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VargBot returns Top-3 with confidence. If all below 0.60, route to YELLOW/RED band.</w:t>
            </w:r>
          </w:p>
        </w:tc>
        <w:tc>
          <w:tcPr>
            <w:tcW w:type="dxa" w:w="3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Human operator classifies. Data used to retrain.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Incomplete MSE Registration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Sathi prompts for missing fields via voice. Pre-fills from Udyam API where available.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Partial profile saved. MSE re-contacted.</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Stale ONDC Taxonomy</w:t>
            </w:r>
          </w:p>
        </w:tc>
        <w:tc>
          <w:tcPr>
            <w:tcW w:type="dxa" w:w="3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Auto-sync with ONDC GitHub (daily). Versioned mappings with backward compatibility.</w:t>
            </w:r>
          </w:p>
        </w:tc>
        <w:tc>
          <w:tcPr>
            <w:tcW w:type="dxa" w:w="3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Manual taxonomy override by admin.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Conflicting Data Sources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Priority: Udyam API &gt; GST API &gt; MSE self-report. Conflicts flagged for verification.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PramaanBot escalates to NSIC.</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Voice Recognition Errors</w:t>
            </w:r>
          </w:p>
        </w:tc>
        <w:tc>
          <w:tcPr>
            <w:tcW w:type="dxa" w:w="3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Confirmation loop: system repeats back to MSE for approval before submission.</w:t>
            </w:r>
          </w:p>
        </w:tc>
        <w:tc>
          <w:tcPr>
            <w:tcW w:type="dxa" w:w="3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Text fallback option always available.</w:t>
            </w:r>
          </w:p>
        </w:tc>
      </w:tr>
    </w:tbl>
    <w:p>
      <w:pPr>
        <w:spacing w:after="60"/>
      </w:pPr>
    </w:p>
    <w:p>
      <w:pPr>
        <w:spacing w:after="100" w:line="276"/>
      </w:pPr>
      <w:r>
        <w:rPr>
          <w:rFonts w:ascii="Arial" w:cs="Arial" w:eastAsia="Arial" w:hAnsi="Arial"/>
          <w:b/>
          <w:bCs/>
          <w:color w:val="1A1A2E"/>
          <w:sz w:val="21"/>
          <w:szCs w:val="21"/>
        </w:rPr>
        <w:t xml:space="preserve">Data Quality Scoring: </w:t>
      </w:r>
      <w:r>
        <w:rPr>
          <w:rFonts w:ascii="Arial" w:cs="Arial" w:eastAsia="Arial" w:hAnsi="Arial"/>
          <w:color w:val="1A1A2E"/>
          <w:sz w:val="21"/>
          <w:szCs w:val="21"/>
        </w:rPr>
        <w:t xml:space="preserve">Every MSE profile receives a completeness score (0–1.0). Profiles below 0.7 are flagged for enrichment before matching. This prevents low-quality inputs from degrading match quality.</w:t>
      </w:r>
    </w:p>
    <w:p>
      <w:pPr>
        <w:spacing w:after="100" w:line="276"/>
      </w:pPr>
      <w:r>
        <w:rPr>
          <w:rFonts w:ascii="Arial" w:cs="Arial" w:eastAsia="Arial" w:hAnsi="Arial"/>
          <w:b/>
          <w:bCs/>
          <w:color w:val="1A1A2E"/>
          <w:sz w:val="21"/>
          <w:szCs w:val="21"/>
        </w:rPr>
        <w:t xml:space="preserve">Audit Logs: </w:t>
      </w:r>
      <w:r>
        <w:rPr>
          <w:rFonts w:ascii="Arial" w:cs="Arial" w:eastAsia="Arial" w:hAnsi="Arial"/>
          <w:color w:val="1A1A2E"/>
          <w:sz w:val="21"/>
          <w:szCs w:val="21"/>
        </w:rPr>
        <w:t xml:space="preserve">Every decision—automated or human—is logged with timestamp, confidence score, input data hash, and decision rationale. Immutable audit trail for government compliance.</w:t>
      </w:r>
    </w:p>
    <w:p>
      <w:pPr>
        <w:pStyle w:val="Heading1"/>
        <w:spacing w:before="360" w:after="180"/>
      </w:pPr>
      <w:r>
        <w:rPr>
          <w:rFonts w:ascii="Arial" w:cs="Arial" w:eastAsia="Arial" w:hAnsi="Arial"/>
          <w:b/>
          <w:bCs/>
          <w:color w:val="1A4D8F"/>
          <w:sz w:val="34"/>
          <w:szCs w:val="34"/>
        </w:rPr>
        <w:t xml:space="preserve">10. Responsible AI</w:t>
      </w:r>
    </w:p>
    <w:p>
      <w:pPr>
        <w:spacing w:after="100" w:line="276"/>
        <w:jc w:val="left"/>
      </w:pPr>
      <w:r>
        <w:rPr>
          <w:rFonts w:ascii="Arial" w:cs="Arial" w:eastAsia="Arial" w:hAnsi="Arial"/>
          <w:color w:val="1A1A2E"/>
          <w:sz w:val="21"/>
          <w:szCs w:val="21"/>
        </w:rPr>
        <w:t xml:space="preserve">Specific, measurable commitments—not generic statements:</w:t>
      </w:r>
    </w:p>
    <w:p>
      <w:pPr>
        <w:pStyle w:val="Heading2"/>
        <w:spacing w:before="260" w:after="140"/>
      </w:pPr>
      <w:r>
        <w:rPr>
          <w:rFonts w:ascii="Arial" w:cs="Arial" w:eastAsia="Arial" w:hAnsi="Arial"/>
          <w:b/>
          <w:bCs/>
          <w:color w:val="0E7C7B"/>
          <w:sz w:val="26"/>
          <w:szCs w:val="26"/>
        </w:rPr>
        <w:t xml:space="preserve">10.1 Bias Evaluation</w:t>
      </w:r>
    </w:p>
    <w:p>
      <w:pPr>
        <w:spacing w:after="100" w:line="276"/>
      </w:pPr>
      <w:r>
        <w:rPr>
          <w:rFonts w:ascii="Arial" w:cs="Arial" w:eastAsia="Arial" w:hAnsi="Arial"/>
          <w:b/>
          <w:bCs/>
          <w:color w:val="1A1A2E"/>
          <w:sz w:val="21"/>
          <w:szCs w:val="21"/>
        </w:rPr>
        <w:t xml:space="preserve">Gender Fairness: </w:t>
      </w:r>
      <w:r>
        <w:rPr>
          <w:rFonts w:ascii="Arial" w:cs="Arial" w:eastAsia="Arial" w:hAnsi="Arial"/>
          <w:color w:val="1A1A2E"/>
          <w:sz w:val="21"/>
          <w:szCs w:val="21"/>
        </w:rPr>
        <w:t xml:space="preserve">Track match quality metrics (NDCG@3, acceptance rate) separately for women-led MSEs vs. overall. Alert if gap exceeds 5%. TEAM targets 50% women-led—our system must not inadvertently disadvantage them.</w:t>
      </w:r>
    </w:p>
    <w:p>
      <w:pPr>
        <w:spacing w:after="100" w:line="276"/>
      </w:pPr>
      <w:r>
        <w:rPr>
          <w:rFonts w:ascii="Arial" w:cs="Arial" w:eastAsia="Arial" w:hAnsi="Arial"/>
          <w:b/>
          <w:bCs/>
          <w:color w:val="1A1A2E"/>
          <w:sz w:val="21"/>
          <w:szCs w:val="21"/>
        </w:rPr>
        <w:t xml:space="preserve">Geographic Fairness: </w:t>
      </w:r>
      <w:r>
        <w:rPr>
          <w:rFonts w:ascii="Arial" w:cs="Arial" w:eastAsia="Arial" w:hAnsi="Arial"/>
          <w:color w:val="1A1A2E"/>
          <w:sz w:val="21"/>
          <w:szCs w:val="21"/>
        </w:rPr>
        <w:t xml:space="preserve">Monitor match quality by state, district, and rural/urban. Ensure Tier 3 MSEs receive comparable match quality to Tier 1.</w:t>
      </w:r>
    </w:p>
    <w:p>
      <w:pPr>
        <w:spacing w:after="100" w:line="276"/>
      </w:pPr>
      <w:r>
        <w:rPr>
          <w:rFonts w:ascii="Arial" w:cs="Arial" w:eastAsia="Arial" w:hAnsi="Arial"/>
          <w:b/>
          <w:bCs/>
          <w:color w:val="1A1A2E"/>
          <w:sz w:val="21"/>
          <w:szCs w:val="21"/>
        </w:rPr>
        <w:t xml:space="preserve">Category Fairness: </w:t>
      </w:r>
      <w:r>
        <w:rPr>
          <w:rFonts w:ascii="Arial" w:cs="Arial" w:eastAsia="Arial" w:hAnsi="Arial"/>
          <w:color w:val="1A1A2E"/>
          <w:sz w:val="21"/>
          <w:szCs w:val="21"/>
        </w:rPr>
        <w:t xml:space="preserve">Classification accuracy must not vary &gt;10% across ONDC domains. Underperforming categories trigger targeted data augmentation.</w:t>
      </w:r>
    </w:p>
    <w:p>
      <w:pPr>
        <w:pStyle w:val="Heading2"/>
        <w:spacing w:before="260" w:after="140"/>
      </w:pPr>
      <w:r>
        <w:rPr>
          <w:rFonts w:ascii="Arial" w:cs="Arial" w:eastAsia="Arial" w:hAnsi="Arial"/>
          <w:b/>
          <w:bCs/>
          <w:color w:val="0E7C7B"/>
          <w:sz w:val="26"/>
          <w:szCs w:val="26"/>
        </w:rPr>
        <w:t xml:space="preserve">10.2 Explainability</w:t>
      </w:r>
    </w:p>
    <w:p>
      <w:pPr>
        <w:spacing w:after="100" w:line="276"/>
      </w:pPr>
      <w:r>
        <w:rPr>
          <w:rFonts w:ascii="Arial" w:cs="Arial" w:eastAsia="Arial" w:hAnsi="Arial"/>
          <w:b/>
          <w:bCs/>
          <w:color w:val="1A1A2E"/>
          <w:sz w:val="21"/>
          <w:szCs w:val="21"/>
        </w:rPr>
        <w:t xml:space="preserve">Per-Recommendation Explanation: </w:t>
      </w:r>
      <w:r>
        <w:rPr>
          <w:rFonts w:ascii="Arial" w:cs="Arial" w:eastAsia="Arial" w:hAnsi="Arial"/>
          <w:color w:val="1A1A2E"/>
          <w:sz w:val="21"/>
          <w:szCs w:val="21"/>
        </w:rPr>
        <w:t xml:space="preserve">Every SNP recommendation includes factor-level score breakdown in the MSE’s language. Example: “We recommend [SNP Name] because they handle [Category] products in [District], have onboarded [N] similar businesses (85% success rate), and have capacity for [X] more sellers.”</w:t>
      </w:r>
    </w:p>
    <w:p>
      <w:pPr>
        <w:spacing w:after="100" w:line="276"/>
      </w:pPr>
      <w:r>
        <w:rPr>
          <w:rFonts w:ascii="Arial" w:cs="Arial" w:eastAsia="Arial" w:hAnsi="Arial"/>
          <w:b/>
          <w:bCs/>
          <w:color w:val="1A1A2E"/>
          <w:sz w:val="21"/>
          <w:szCs w:val="21"/>
        </w:rPr>
        <w:t xml:space="preserve">Officer Dashboard: </w:t>
      </w:r>
      <w:r>
        <w:rPr>
          <w:rFonts w:ascii="Arial" w:cs="Arial" w:eastAsia="Arial" w:hAnsi="Arial"/>
          <w:color w:val="1A1A2E"/>
          <w:sz w:val="21"/>
          <w:szCs w:val="21"/>
        </w:rPr>
        <w:t xml:space="preserve">NSIC officers see full scoring breakdown, confidence band, data quality score, and can override any decision with logged justification.</w:t>
      </w:r>
    </w:p>
    <w:p>
      <w:pPr>
        <w:pStyle w:val="Heading2"/>
        <w:spacing w:before="260" w:after="140"/>
      </w:pPr>
      <w:r>
        <w:rPr>
          <w:rFonts w:ascii="Arial" w:cs="Arial" w:eastAsia="Arial" w:hAnsi="Arial"/>
          <w:b/>
          <w:bCs/>
          <w:color w:val="0E7C7B"/>
          <w:sz w:val="26"/>
          <w:szCs w:val="26"/>
        </w:rPr>
        <w:t xml:space="preserve">10.3 Governance Controls</w:t>
      </w:r>
    </w:p>
    <w:p>
      <w:pPr>
        <w:spacing w:after="100" w:line="276"/>
      </w:pPr>
      <w:r>
        <w:rPr>
          <w:rFonts w:ascii="Arial" w:cs="Arial" w:eastAsia="Arial" w:hAnsi="Arial"/>
          <w:b/>
          <w:bCs/>
          <w:color w:val="1A1A2E"/>
          <w:sz w:val="21"/>
          <w:szCs w:val="21"/>
        </w:rPr>
        <w:t xml:space="preserve">Officer Override: </w:t>
      </w:r>
      <w:r>
        <w:rPr>
          <w:rFonts w:ascii="Arial" w:cs="Arial" w:eastAsia="Arial" w:hAnsi="Arial"/>
          <w:color w:val="1A1A2E"/>
          <w:sz w:val="21"/>
          <w:szCs w:val="21"/>
        </w:rPr>
        <w:t xml:space="preserve">Available at every stage. System recommendations are suggestions, not mandates.</w:t>
      </w:r>
    </w:p>
    <w:p>
      <w:pPr>
        <w:spacing w:after="100" w:line="276"/>
      </w:pPr>
      <w:r>
        <w:rPr>
          <w:rFonts w:ascii="Arial" w:cs="Arial" w:eastAsia="Arial" w:hAnsi="Arial"/>
          <w:b/>
          <w:bCs/>
          <w:color w:val="1A1A2E"/>
          <w:sz w:val="21"/>
          <w:szCs w:val="21"/>
        </w:rPr>
        <w:t xml:space="preserve">Quarterly Bias Audit: </w:t>
      </w:r>
      <w:r>
        <w:rPr>
          <w:rFonts w:ascii="Arial" w:cs="Arial" w:eastAsia="Arial" w:hAnsi="Arial"/>
          <w:color w:val="1A1A2E"/>
          <w:sz w:val="21"/>
          <w:szCs w:val="21"/>
        </w:rPr>
        <w:t xml:space="preserve">Automated fairness report across gender, geography, and category dimensions.</w:t>
      </w:r>
    </w:p>
    <w:p>
      <w:pPr>
        <w:spacing w:after="100" w:line="276"/>
      </w:pPr>
      <w:r>
        <w:rPr>
          <w:rFonts w:ascii="Arial" w:cs="Arial" w:eastAsia="Arial" w:hAnsi="Arial"/>
          <w:b/>
          <w:bCs/>
          <w:color w:val="1A1A2E"/>
          <w:sz w:val="21"/>
          <w:szCs w:val="21"/>
        </w:rPr>
        <w:t xml:space="preserve">Model Versioning: </w:t>
      </w:r>
      <w:r>
        <w:rPr>
          <w:rFonts w:ascii="Arial" w:cs="Arial" w:eastAsia="Arial" w:hAnsi="Arial"/>
          <w:color w:val="1A1A2E"/>
          <w:sz w:val="21"/>
          <w:szCs w:val="21"/>
        </w:rPr>
        <w:t xml:space="preserve">Every model update deployed via staged rollout with A/B testing against previous version. Rollback capability within 1 hour.</w:t>
      </w:r>
    </w:p>
    <w:p>
      <w:pPr>
        <w:pStyle w:val="Heading1"/>
        <w:spacing w:before="360" w:after="180"/>
      </w:pPr>
      <w:r>
        <w:rPr>
          <w:rFonts w:ascii="Arial" w:cs="Arial" w:eastAsia="Arial" w:hAnsi="Arial"/>
          <w:b/>
          <w:bCs/>
          <w:color w:val="1A4D8F"/>
          <w:sz w:val="34"/>
          <w:szCs w:val="34"/>
        </w:rPr>
        <w:t xml:space="preserve">11. Stage 1 PoC Scope &amp; 7-Week Execution Plan</w:t>
      </w:r>
    </w:p>
    <w:p>
      <w:pPr>
        <w:pStyle w:val="Heading2"/>
        <w:spacing w:before="260" w:after="140"/>
      </w:pPr>
      <w:r>
        <w:rPr>
          <w:rFonts w:ascii="Arial" w:cs="Arial" w:eastAsia="Arial" w:hAnsi="Arial"/>
          <w:b/>
          <w:bCs/>
          <w:color w:val="0E7C7B"/>
          <w:sz w:val="26"/>
          <w:szCs w:val="26"/>
        </w:rPr>
        <w:t xml:space="preserve">11.1 Stage 1 Boundaries</w:t>
      </w:r>
    </w:p>
    <w:p>
      <w:pPr>
        <w:spacing w:after="100" w:line="276"/>
        <w:jc w:val="left"/>
      </w:pPr>
      <w:r>
        <w:rPr>
          <w:rFonts w:ascii="Arial" w:cs="Arial" w:eastAsia="Arial" w:hAnsi="Arial"/>
          <w:color w:val="1A1A2E"/>
          <w:sz w:val="21"/>
          <w:szCs w:val="21"/>
        </w:rPr>
        <w:t xml:space="preserve">The Stage 1 PoC focuses on demonstrating technical viability with measurable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A4D8F" w:val="clear"/>
            <w:tcMar>
              <w:top w:type="dxa" w:w="80"/>
              <w:left w:type="dxa" w:w="120"/>
              <w:bottom w:type="dxa" w:w="80"/>
              <w:right w:type="dxa" w:w="120"/>
            </w:tcMar>
          </w:tcPr>
          <w:p>
            <w:r>
              <w:rPr>
                <w:rFonts w:ascii="Arial" w:cs="Arial" w:eastAsia="Arial" w:hAnsi="Arial"/>
                <w:b/>
                <w:bCs/>
                <w:color w:val="FFFFFF"/>
                <w:sz w:val="19"/>
                <w:szCs w:val="19"/>
              </w:rPr>
              <w:t xml:space="preserve">Dimension</w:t>
            </w:r>
          </w:p>
        </w:tc>
        <w:tc>
          <w:tcPr>
            <w:tcW w:type="dxa" w:w="3080"/>
            <w:tcBorders>
              <w:top w:val="single" w:color="CCCCCC" w:sz="1"/>
              <w:left w:val="single" w:color="CCCCCC" w:sz="1"/>
              <w:bottom w:val="single" w:color="CCCCCC" w:sz="1"/>
              <w:right w:val="single" w:color="CCCCCC" w:sz="1"/>
            </w:tcBorders>
            <w:shd w:fill="1A4D8F" w:val="clear"/>
            <w:tcMar>
              <w:top w:type="dxa" w:w="80"/>
              <w:left w:type="dxa" w:w="120"/>
              <w:bottom w:type="dxa" w:w="80"/>
              <w:right w:type="dxa" w:w="120"/>
            </w:tcMar>
          </w:tcPr>
          <w:p>
            <w:r>
              <w:rPr>
                <w:rFonts w:ascii="Arial" w:cs="Arial" w:eastAsia="Arial" w:hAnsi="Arial"/>
                <w:b/>
                <w:bCs/>
                <w:color w:val="FFFFFF"/>
                <w:sz w:val="19"/>
                <w:szCs w:val="19"/>
              </w:rPr>
              <w:t xml:space="preserve">Stage 1 Scope</w:t>
            </w:r>
          </w:p>
        </w:tc>
        <w:tc>
          <w:tcPr>
            <w:tcW w:type="dxa" w:w="3080"/>
            <w:tcBorders>
              <w:top w:val="single" w:color="CCCCCC" w:sz="1"/>
              <w:left w:val="single" w:color="CCCCCC" w:sz="1"/>
              <w:bottom w:val="single" w:color="CCCCCC" w:sz="1"/>
              <w:right w:val="single" w:color="CCCCCC" w:sz="1"/>
            </w:tcBorders>
            <w:shd w:fill="1A4D8F" w:val="clear"/>
            <w:tcMar>
              <w:top w:type="dxa" w:w="80"/>
              <w:left w:type="dxa" w:w="120"/>
              <w:bottom w:type="dxa" w:w="80"/>
              <w:right w:type="dxa" w:w="120"/>
            </w:tcMar>
          </w:tcPr>
          <w:p>
            <w:r>
              <w:rPr>
                <w:rFonts w:ascii="Arial" w:cs="Arial" w:eastAsia="Arial" w:hAnsi="Arial"/>
                <w:b/>
                <w:bCs/>
                <w:color w:val="FFFFFF"/>
                <w:sz w:val="19"/>
                <w:szCs w:val="19"/>
              </w:rPr>
              <w:t xml:space="preserve">Full Deployment (Later)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Languages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Hindi + English</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11+ Indian languages</w:t>
            </w:r>
          </w:p>
        </w:tc>
      </w:tr>
      <w:tr>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ONDC Categories</w:t>
            </w:r>
          </w:p>
        </w:tc>
        <w:tc>
          <w:tcPr>
            <w:tcW w:type="dxa" w:w="30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3–5 categories</w:t>
            </w:r>
          </w:p>
        </w:tc>
        <w:tc>
          <w:tcPr>
            <w:tcW w:type="dxa" w:w="30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All 15+ domains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SNP Data</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Simulated dataset (50 SNPs)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Live ONDC Registry</w:t>
            </w:r>
          </w:p>
        </w:tc>
      </w:tr>
      <w:tr>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MSE Data</w:t>
            </w:r>
          </w:p>
        </w:tc>
        <w:tc>
          <w:tcPr>
            <w:tcW w:type="dxa" w:w="30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AIKosh + synthetic (5K profiles)</w:t>
            </w:r>
          </w:p>
        </w:tc>
        <w:tc>
          <w:tcPr>
            <w:tcW w:type="dxa" w:w="30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Udyam API (real-time)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Matching</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Core scoring + embedding similarity</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Full collaborative filtering + RL</w:t>
            </w:r>
          </w:p>
        </w:tc>
      </w:tr>
      <w:tr>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Voice Integration</w:t>
            </w:r>
          </w:p>
        </w:tc>
        <w:tc>
          <w:tcPr>
            <w:tcW w:type="dxa" w:w="30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Web demo only</w:t>
            </w:r>
          </w:p>
        </w:tc>
        <w:tc>
          <w:tcPr>
            <w:tcW w:type="dxa" w:w="30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WhatsApp + IVR production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Infrastructure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Single server, PostgreSQL</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Kubernetes, distributed</w:t>
            </w:r>
          </w:p>
        </w:tc>
      </w:tr>
      <w:tr>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Dashboard</w:t>
            </w:r>
          </w:p>
        </w:tc>
        <w:tc>
          <w:tcPr>
            <w:tcW w:type="dxa" w:w="30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Basic admin view</w:t>
            </w:r>
          </w:p>
        </w:tc>
        <w:tc>
          <w:tcPr>
            <w:tcW w:type="dxa" w:w="30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Full analytics suite</w:t>
            </w:r>
          </w:p>
        </w:tc>
      </w:tr>
    </w:tbl>
    <w:p>
      <w:pPr>
        <w:spacing w:after="60"/>
      </w:pPr>
    </w:p>
    <w:p>
      <w:pPr>
        <w:pStyle w:val="Heading2"/>
        <w:spacing w:before="260" w:after="140"/>
      </w:pPr>
      <w:r>
        <w:rPr>
          <w:rFonts w:ascii="Arial" w:cs="Arial" w:eastAsia="Arial" w:hAnsi="Arial"/>
          <w:b/>
          <w:bCs/>
          <w:color w:val="0E7C7B"/>
          <w:sz w:val="26"/>
          <w:szCs w:val="26"/>
        </w:rPr>
        <w:t xml:space="preserve">11.2 MVP System Architecture</w:t>
      </w:r>
    </w:p>
    <w:p>
      <w:pPr>
        <w:spacing w:after="100" w:line="276"/>
      </w:pPr>
      <w:r>
        <w:rPr>
          <w:rFonts w:ascii="Arial" w:cs="Arial" w:eastAsia="Arial" w:hAnsi="Arial"/>
          <w:b/>
          <w:bCs/>
          <w:color w:val="1A1A2E"/>
          <w:sz w:val="21"/>
          <w:szCs w:val="21"/>
        </w:rPr>
        <w:t xml:space="preserve">Frontend: </w:t>
      </w:r>
      <w:r>
        <w:rPr>
          <w:rFonts w:ascii="Arial" w:cs="Arial" w:eastAsia="Arial" w:hAnsi="Arial"/>
          <w:color w:val="1A1A2E"/>
          <w:sz w:val="21"/>
          <w:szCs w:val="21"/>
        </w:rPr>
        <w:t xml:space="preserve">React dashboard (product upload, category prediction view, SNP ranking view, score breakdown, confidence bands, admin analytics).</w:t>
      </w:r>
    </w:p>
    <w:p>
      <w:pPr>
        <w:spacing w:after="100" w:line="276"/>
      </w:pPr>
      <w:r>
        <w:rPr>
          <w:rFonts w:ascii="Arial" w:cs="Arial" w:eastAsia="Arial" w:hAnsi="Arial"/>
          <w:b/>
          <w:bCs/>
          <w:color w:val="1A1A2E"/>
          <w:sz w:val="21"/>
          <w:szCs w:val="21"/>
        </w:rPr>
        <w:t xml:space="preserve">Backend: </w:t>
      </w:r>
      <w:r>
        <w:rPr>
          <w:rFonts w:ascii="Arial" w:cs="Arial" w:eastAsia="Arial" w:hAnsi="Arial"/>
          <w:color w:val="1A1A2E"/>
          <w:sz w:val="21"/>
          <w:szCs w:val="21"/>
        </w:rPr>
        <w:t xml:space="preserve">FastAPI (Python). Single server deployment. No Kubernetes, no distributed infrastructure.</w:t>
      </w:r>
    </w:p>
    <w:p>
      <w:pPr>
        <w:spacing w:after="100" w:line="276"/>
      </w:pPr>
      <w:r>
        <w:rPr>
          <w:rFonts w:ascii="Arial" w:cs="Arial" w:eastAsia="Arial" w:hAnsi="Arial"/>
          <w:b/>
          <w:bCs/>
          <w:color w:val="1A1A2E"/>
          <w:sz w:val="21"/>
          <w:szCs w:val="21"/>
        </w:rPr>
        <w:t xml:space="preserve">Models: </w:t>
      </w:r>
      <w:r>
        <w:rPr>
          <w:rFonts w:ascii="Arial" w:cs="Arial" w:eastAsia="Arial" w:hAnsi="Arial"/>
          <w:color w:val="1A1A2E"/>
          <w:sz w:val="21"/>
          <w:szCs w:val="21"/>
        </w:rPr>
        <w:t xml:space="preserve">Fine-tuned MuRIL (categorization) + IndicBERT bi-encoder (matching embeddings).</w:t>
      </w:r>
    </w:p>
    <w:p>
      <w:pPr>
        <w:spacing w:after="100" w:line="276"/>
      </w:pPr>
      <w:r>
        <w:rPr>
          <w:rFonts w:ascii="Arial" w:cs="Arial" w:eastAsia="Arial" w:hAnsi="Arial"/>
          <w:b/>
          <w:bCs/>
          <w:color w:val="1A1A2E"/>
          <w:sz w:val="21"/>
          <w:szCs w:val="21"/>
        </w:rPr>
        <w:t xml:space="preserve">Database: </w:t>
      </w:r>
      <w:r>
        <w:rPr>
          <w:rFonts w:ascii="Arial" w:cs="Arial" w:eastAsia="Arial" w:hAnsi="Arial"/>
          <w:color w:val="1A1A2E"/>
          <w:sz w:val="21"/>
          <w:szCs w:val="21"/>
        </w:rPr>
        <w:t xml:space="preserve">PostgreSQL (all data). No Elasticsearch, no ClickHouse in Stage 1.</w:t>
      </w:r>
    </w:p>
    <w:p>
      <w:pPr>
        <w:spacing w:after="100" w:line="276"/>
      </w:pPr>
      <w:r>
        <w:rPr>
          <w:rFonts w:ascii="Arial" w:cs="Arial" w:eastAsia="Arial" w:hAnsi="Arial"/>
          <w:b/>
          <w:bCs/>
          <w:color w:val="1A1A2E"/>
          <w:sz w:val="21"/>
          <w:szCs w:val="21"/>
        </w:rPr>
        <w:t xml:space="preserve">Evaluation: </w:t>
      </w:r>
      <w:r>
        <w:rPr>
          <w:rFonts w:ascii="Arial" w:cs="Arial" w:eastAsia="Arial" w:hAnsi="Arial"/>
          <w:color w:val="1A1A2E"/>
          <w:sz w:val="21"/>
          <w:szCs w:val="21"/>
        </w:rPr>
        <w:t xml:space="preserve">Full Annexure II metrics pipeline: accuracy, precision, recall, F1, confusion matrix, NDCG@3, MRR, reassignment simulation.</w:t>
      </w:r>
    </w:p>
    <w:p>
      <w:pPr>
        <w:pStyle w:val="Heading2"/>
        <w:spacing w:before="260" w:after="140"/>
      </w:pPr>
      <w:r>
        <w:rPr>
          <w:rFonts w:ascii="Arial" w:cs="Arial" w:eastAsia="Arial" w:hAnsi="Arial"/>
          <w:b/>
          <w:bCs/>
          <w:color w:val="0E7C7B"/>
          <w:sz w:val="26"/>
          <w:szCs w:val="26"/>
        </w:rPr>
        <w:t xml:space="preserve">11.3 Week-by-Week Execution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c>
          <w:tcPr>
            <w:tcW w:type="dxa" w:w="1400"/>
            <w:tcBorders>
              <w:top w:val="single" w:color="CCCCCC" w:sz="1"/>
              <w:left w:val="single" w:color="CCCCCC" w:sz="1"/>
              <w:bottom w:val="single" w:color="CCCCCC" w:sz="1"/>
              <w:right w:val="single" w:color="CCCCCC" w:sz="1"/>
            </w:tcBorders>
            <w:shd w:fill="1A4D8F" w:val="clear"/>
            <w:tcMar>
              <w:top w:type="dxa" w:w="80"/>
              <w:left w:type="dxa" w:w="120"/>
              <w:bottom w:type="dxa" w:w="80"/>
              <w:right w:type="dxa" w:w="120"/>
            </w:tcMar>
          </w:tcPr>
          <w:p>
            <w:r>
              <w:rPr>
                <w:rFonts w:ascii="Arial" w:cs="Arial" w:eastAsia="Arial" w:hAnsi="Arial"/>
                <w:b/>
                <w:bCs/>
                <w:color w:val="FFFFFF"/>
                <w:sz w:val="19"/>
                <w:szCs w:val="19"/>
              </w:rPr>
              <w:t xml:space="preserve">Week</w:t>
            </w:r>
          </w:p>
        </w:tc>
        <w:tc>
          <w:tcPr>
            <w:tcW w:type="dxa" w:w="4000"/>
            <w:tcBorders>
              <w:top w:val="single" w:color="CCCCCC" w:sz="1"/>
              <w:left w:val="single" w:color="CCCCCC" w:sz="1"/>
              <w:bottom w:val="single" w:color="CCCCCC" w:sz="1"/>
              <w:right w:val="single" w:color="CCCCCC" w:sz="1"/>
            </w:tcBorders>
            <w:shd w:fill="1A4D8F" w:val="clear"/>
            <w:tcMar>
              <w:top w:type="dxa" w:w="80"/>
              <w:left w:type="dxa" w:w="120"/>
              <w:bottom w:type="dxa" w:w="80"/>
              <w:right w:type="dxa" w:w="120"/>
            </w:tcMar>
          </w:tcPr>
          <w:p>
            <w:r>
              <w:rPr>
                <w:rFonts w:ascii="Arial" w:cs="Arial" w:eastAsia="Arial" w:hAnsi="Arial"/>
                <w:b/>
                <w:bCs/>
                <w:color w:val="FFFFFF"/>
                <w:sz w:val="19"/>
                <w:szCs w:val="19"/>
              </w:rPr>
              <w:t xml:space="preserve">Activities</w:t>
            </w:r>
          </w:p>
        </w:tc>
        <w:tc>
          <w:tcPr>
            <w:tcW w:type="dxa" w:w="3960"/>
            <w:tcBorders>
              <w:top w:val="single" w:color="CCCCCC" w:sz="1"/>
              <w:left w:val="single" w:color="CCCCCC" w:sz="1"/>
              <w:bottom w:val="single" w:color="CCCCCC" w:sz="1"/>
              <w:right w:val="single" w:color="CCCCCC" w:sz="1"/>
            </w:tcBorders>
            <w:shd w:fill="1A4D8F" w:val="clear"/>
            <w:tcMar>
              <w:top w:type="dxa" w:w="80"/>
              <w:left w:type="dxa" w:w="120"/>
              <w:bottom w:type="dxa" w:w="80"/>
              <w:right w:type="dxa" w:w="120"/>
            </w:tcMar>
          </w:tcPr>
          <w:p>
            <w:r>
              <w:rPr>
                <w:rFonts w:ascii="Arial" w:cs="Arial" w:eastAsia="Arial" w:hAnsi="Arial"/>
                <w:b/>
                <w:bCs/>
                <w:color w:val="FFFFFF"/>
                <w:sz w:val="19"/>
                <w:szCs w:val="19"/>
              </w:rPr>
              <w:t xml:space="preserve">Deliverable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Week 1–2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Ingest AIKosh data. Clean ONDC taxonomy. Create synthetic SNP dataset. Implement rule-based matching baseline. Compute baseline NDCG@3, accuracy.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19"/>
                <w:szCs w:val="19"/>
              </w:rPr>
              <w:t xml:space="preserve">Baseline Performance Report</w:t>
            </w:r>
          </w:p>
        </w:tc>
      </w:tr>
      <w:tr>
        <w:tc>
          <w:tcPr>
            <w:tcW w:type="dxa" w:w="1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Week 3–4</w:t>
            </w:r>
          </w:p>
        </w:tc>
        <w:tc>
          <w:tcPr>
            <w:tcW w:type="dxa" w:w="4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Fine-tune MuRIL on product-category pairs. Stratified 80/10/10 split. 5-fold CV. Compute accuracy, precision, recall, F1, confusion matrix, AUC-ROC.</w:t>
            </w:r>
          </w:p>
        </w:tc>
        <w:tc>
          <w:tcPr>
            <w:tcW w:type="dxa" w:w="3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A1A2E"/>
                <w:sz w:val="19"/>
                <w:szCs w:val="19"/>
              </w:rPr>
              <w:t xml:space="preserve">Model Evaluation Document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Week 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Build IndicBERT embedding similarity. Implement multi-factor scoring. Grid search weight optimization. Evaluate NDCG@3, MRR, reassignment simulation.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19"/>
                <w:szCs w:val="19"/>
              </w:rPr>
              <w:t xml:space="preserve">Ranking Evaluation Report</w:t>
            </w:r>
          </w:p>
        </w:tc>
      </w:tr>
      <w:tr>
        <w:tc>
          <w:tcPr>
            <w:tcW w:type="dxa" w:w="1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Week 6</w:t>
            </w:r>
          </w:p>
        </w:tc>
        <w:tc>
          <w:tcPr>
            <w:tcW w:type="dxa" w:w="4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Build React dashboard: match explanation view, score breakdown, confidence band visualization, admin analytics. Integrate all modules.</w:t>
            </w:r>
          </w:p>
        </w:tc>
        <w:tc>
          <w:tcPr>
            <w:tcW w:type="dxa" w:w="3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A1A2E"/>
                <w:sz w:val="19"/>
                <w:szCs w:val="19"/>
              </w:rPr>
              <w:t xml:space="preserve">Working PoC Application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Week 7</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2–3 minute demo video. Architecture diagram. Evaluation summary. Technical methodology documentation. Final testing.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19"/>
                <w:szCs w:val="19"/>
              </w:rPr>
              <w:t xml:space="preserve">Submission Package</w:t>
            </w:r>
          </w:p>
        </w:tc>
      </w:tr>
    </w:tbl>
    <w:p>
      <w:pPr>
        <w:spacing w:after="60"/>
      </w:pPr>
    </w:p>
    <w:p>
      <w:pPr>
        <w:pStyle w:val="Heading2"/>
        <w:spacing w:before="260" w:after="140"/>
      </w:pPr>
      <w:r>
        <w:rPr>
          <w:rFonts w:ascii="Arial" w:cs="Arial" w:eastAsia="Arial" w:hAnsi="Arial"/>
          <w:b/>
          <w:bCs/>
          <w:color w:val="0E7C7B"/>
          <w:sz w:val="26"/>
          <w:szCs w:val="26"/>
        </w:rPr>
        <w:t xml:space="preserve">11.4 Demo Flow</w:t>
      </w:r>
    </w:p>
    <w:p>
      <w:pPr>
        <w:spacing w:after="100" w:line="276"/>
        <w:jc w:val="left"/>
      </w:pPr>
      <w:r>
        <w:rPr>
          <w:rFonts w:ascii="Arial" w:cs="Arial" w:eastAsia="Arial" w:hAnsi="Arial"/>
          <w:color w:val="1A1A2E"/>
          <w:sz w:val="21"/>
          <w:szCs w:val="21"/>
        </w:rPr>
        <w:t xml:space="preserve">The Stage 1 demo follows this sequence:</w:t>
      </w:r>
    </w:p>
    <w:p>
      <w:pPr>
        <w:spacing w:after="100" w:line="276"/>
      </w:pPr>
      <w:r>
        <w:rPr>
          <w:rFonts w:ascii="Arial" w:cs="Arial" w:eastAsia="Arial" w:hAnsi="Arial"/>
          <w:b/>
          <w:bCs/>
          <w:color w:val="1A1A2E"/>
          <w:sz w:val="21"/>
          <w:szCs w:val="21"/>
        </w:rPr>
        <w:t xml:space="preserve">Step 1: </w:t>
      </w:r>
      <w:r>
        <w:rPr>
          <w:rFonts w:ascii="Arial" w:cs="Arial" w:eastAsia="Arial" w:hAnsi="Arial"/>
          <w:color w:val="1A1A2E"/>
          <w:sz w:val="21"/>
          <w:szCs w:val="21"/>
        </w:rPr>
        <w:t xml:space="preserve">Upload/enter product description (text, simulating voice input).</w:t>
      </w:r>
    </w:p>
    <w:p>
      <w:pPr>
        <w:spacing w:after="100" w:line="276"/>
      </w:pPr>
      <w:r>
        <w:rPr>
          <w:rFonts w:ascii="Arial" w:cs="Arial" w:eastAsia="Arial" w:hAnsi="Arial"/>
          <w:b/>
          <w:bCs/>
          <w:color w:val="1A1A2E"/>
          <w:sz w:val="21"/>
          <w:szCs w:val="21"/>
        </w:rPr>
        <w:t xml:space="preserve">Step 2: </w:t>
      </w:r>
      <w:r>
        <w:rPr>
          <w:rFonts w:ascii="Arial" w:cs="Arial" w:eastAsia="Arial" w:hAnsi="Arial"/>
          <w:color w:val="1A1A2E"/>
          <w:sz w:val="21"/>
          <w:szCs w:val="21"/>
        </w:rPr>
        <w:t xml:space="preserve">Show predicted ONDC category + confidence score + Top-3 alternatives.</w:t>
      </w:r>
    </w:p>
    <w:p>
      <w:pPr>
        <w:spacing w:after="100" w:line="276"/>
      </w:pPr>
      <w:r>
        <w:rPr>
          <w:rFonts w:ascii="Arial" w:cs="Arial" w:eastAsia="Arial" w:hAnsi="Arial"/>
          <w:b/>
          <w:bCs/>
          <w:color w:val="1A1A2E"/>
          <w:sz w:val="21"/>
          <w:szCs w:val="21"/>
        </w:rPr>
        <w:t xml:space="preserve">Step 3: </w:t>
      </w:r>
      <w:r>
        <w:rPr>
          <w:rFonts w:ascii="Arial" w:cs="Arial" w:eastAsia="Arial" w:hAnsi="Arial"/>
          <w:color w:val="1A1A2E"/>
          <w:sz w:val="21"/>
          <w:szCs w:val="21"/>
        </w:rPr>
        <w:t xml:space="preserve">Show Top-3 SNP ranking with composite scores.</w:t>
      </w:r>
    </w:p>
    <w:p>
      <w:pPr>
        <w:spacing w:after="100" w:line="276"/>
      </w:pPr>
      <w:r>
        <w:rPr>
          <w:rFonts w:ascii="Arial" w:cs="Arial" w:eastAsia="Arial" w:hAnsi="Arial"/>
          <w:b/>
          <w:bCs/>
          <w:color w:val="1A1A2E"/>
          <w:sz w:val="21"/>
          <w:szCs w:val="21"/>
        </w:rPr>
        <w:t xml:space="preserve">Step 4: </w:t>
      </w:r>
      <w:r>
        <w:rPr>
          <w:rFonts w:ascii="Arial" w:cs="Arial" w:eastAsia="Arial" w:hAnsi="Arial"/>
          <w:color w:val="1A1A2E"/>
          <w:sz w:val="21"/>
          <w:szCs w:val="21"/>
        </w:rPr>
        <w:t xml:space="preserve">Show per-factor score breakdown (Domain, Geography, Capacity, History, Specialization).</w:t>
      </w:r>
    </w:p>
    <w:p>
      <w:pPr>
        <w:spacing w:after="100" w:line="276"/>
      </w:pPr>
      <w:r>
        <w:rPr>
          <w:rFonts w:ascii="Arial" w:cs="Arial" w:eastAsia="Arial" w:hAnsi="Arial"/>
          <w:b/>
          <w:bCs/>
          <w:color w:val="1A1A2E"/>
          <w:sz w:val="21"/>
          <w:szCs w:val="21"/>
        </w:rPr>
        <w:t xml:space="preserve">Step 5: </w:t>
      </w:r>
      <w:r>
        <w:rPr>
          <w:rFonts w:ascii="Arial" w:cs="Arial" w:eastAsia="Arial" w:hAnsi="Arial"/>
          <w:color w:val="1A1A2E"/>
          <w:sz w:val="21"/>
          <w:szCs w:val="21"/>
        </w:rPr>
        <w:t xml:space="preserve">Show confidence band (Green/Yellow/Red) with routing decision.</w:t>
      </w:r>
    </w:p>
    <w:p>
      <w:pPr>
        <w:spacing w:after="100" w:line="276"/>
      </w:pPr>
      <w:r>
        <w:rPr>
          <w:rFonts w:ascii="Arial" w:cs="Arial" w:eastAsia="Arial" w:hAnsi="Arial"/>
          <w:b/>
          <w:bCs/>
          <w:color w:val="1A1A2E"/>
          <w:sz w:val="21"/>
          <w:szCs w:val="21"/>
        </w:rPr>
        <w:t xml:space="preserve">Step 6: </w:t>
      </w:r>
      <w:r>
        <w:rPr>
          <w:rFonts w:ascii="Arial" w:cs="Arial" w:eastAsia="Arial" w:hAnsi="Arial"/>
          <w:color w:val="1A1A2E"/>
          <w:sz w:val="21"/>
          <w:szCs w:val="21"/>
        </w:rPr>
        <w:t xml:space="preserve">Show admin dashboard: aggregate metrics, baseline vs. AI comparison, category distribution.</w:t>
      </w:r>
    </w:p>
    <w:p>
      <w:pPr>
        <w:spacing w:after="100" w:line="276"/>
        <w:jc w:val="left"/>
      </w:pPr>
      <w:r>
        <w:rPr>
          <w:rFonts w:ascii="Arial" w:cs="Arial" w:eastAsia="Arial" w:hAnsi="Arial"/>
          <w:b/>
          <w:bCs/>
          <w:color w:val="1A1A2E"/>
          <w:sz w:val="21"/>
          <w:szCs w:val="21"/>
        </w:rPr>
        <w:t xml:space="preserve">Clean. No buzzwords. Metrics-driven.</w:t>
      </w:r>
    </w:p>
    <w:p>
      <w:pPr>
        <w:pStyle w:val="Heading1"/>
        <w:spacing w:before="360" w:after="180"/>
      </w:pPr>
      <w:r>
        <w:rPr>
          <w:rFonts w:ascii="Arial" w:cs="Arial" w:eastAsia="Arial" w:hAnsi="Arial"/>
          <w:b/>
          <w:bCs/>
          <w:color w:val="1A4D8F"/>
          <w:sz w:val="34"/>
          <w:szCs w:val="34"/>
        </w:rPr>
        <w:t xml:space="preserve">12. Product Roadmap &amp; Budget</w:t>
      </w:r>
    </w:p>
    <w:p>
      <w:pPr>
        <w:pStyle w:val="Heading2"/>
        <w:spacing w:before="260" w:after="140"/>
      </w:pPr>
      <w:r>
        <w:rPr>
          <w:rFonts w:ascii="Arial" w:cs="Arial" w:eastAsia="Arial" w:hAnsi="Arial"/>
          <w:b/>
          <w:bCs/>
          <w:color w:val="0E7C7B"/>
          <w:sz w:val="26"/>
          <w:szCs w:val="26"/>
        </w:rPr>
        <w:t xml:space="preserve">12.1 Full Development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4000"/>
        <w:gridCol w:w="2560"/>
      </w:tblGrid>
      <w:tr>
        <w:tc>
          <w:tcPr>
            <w:tcW w:type="dxa" w:w="1300"/>
            <w:tcBorders>
              <w:top w:val="single" w:color="CCCCCC" w:sz="1"/>
              <w:left w:val="single" w:color="CCCCCC" w:sz="1"/>
              <w:bottom w:val="single" w:color="CCCCCC" w:sz="1"/>
              <w:right w:val="single" w:color="CCCCCC" w:sz="1"/>
            </w:tcBorders>
            <w:shd w:fill="1A4D8F"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1500"/>
            <w:tcBorders>
              <w:top w:val="single" w:color="CCCCCC" w:sz="1"/>
              <w:left w:val="single" w:color="CCCCCC" w:sz="1"/>
              <w:bottom w:val="single" w:color="CCCCCC" w:sz="1"/>
              <w:right w:val="single" w:color="CCCCCC" w:sz="1"/>
            </w:tcBorders>
            <w:shd w:fill="1A4D8F" w:val="clear"/>
            <w:tcMar>
              <w:top w:type="dxa" w:w="80"/>
              <w:left w:type="dxa" w:w="120"/>
              <w:bottom w:type="dxa" w:w="80"/>
              <w:right w:type="dxa" w:w="120"/>
            </w:tcMar>
          </w:tcPr>
          <w:p>
            <w:r>
              <w:rPr>
                <w:rFonts w:ascii="Arial" w:cs="Arial" w:eastAsia="Arial" w:hAnsi="Arial"/>
                <w:b/>
                <w:bCs/>
                <w:color w:val="FFFFFF"/>
                <w:sz w:val="19"/>
                <w:szCs w:val="19"/>
              </w:rPr>
              <w:t xml:space="preserve">Timeline</w:t>
            </w:r>
          </w:p>
        </w:tc>
        <w:tc>
          <w:tcPr>
            <w:tcW w:type="dxa" w:w="4000"/>
            <w:tcBorders>
              <w:top w:val="single" w:color="CCCCCC" w:sz="1"/>
              <w:left w:val="single" w:color="CCCCCC" w:sz="1"/>
              <w:bottom w:val="single" w:color="CCCCCC" w:sz="1"/>
              <w:right w:val="single" w:color="CCCCCC" w:sz="1"/>
            </w:tcBorders>
            <w:shd w:fill="1A4D8F" w:val="clear"/>
            <w:tcMar>
              <w:top w:type="dxa" w:w="80"/>
              <w:left w:type="dxa" w:w="120"/>
              <w:bottom w:type="dxa" w:w="80"/>
              <w:right w:type="dxa" w:w="120"/>
            </w:tcMar>
          </w:tcPr>
          <w:p>
            <w:r>
              <w:rPr>
                <w:rFonts w:ascii="Arial" w:cs="Arial" w:eastAsia="Arial" w:hAnsi="Arial"/>
                <w:b/>
                <w:bCs/>
                <w:color w:val="FFFFFF"/>
                <w:sz w:val="19"/>
                <w:szCs w:val="19"/>
              </w:rPr>
              <w:t xml:space="preserve">Deliverables</w:t>
            </w:r>
          </w:p>
        </w:tc>
        <w:tc>
          <w:tcPr>
            <w:tcW w:type="dxa" w:w="2560"/>
            <w:tcBorders>
              <w:top w:val="single" w:color="CCCCCC" w:sz="1"/>
              <w:left w:val="single" w:color="CCCCCC" w:sz="1"/>
              <w:bottom w:val="single" w:color="CCCCCC" w:sz="1"/>
              <w:right w:val="single" w:color="CCCCCC" w:sz="1"/>
            </w:tcBorders>
            <w:shd w:fill="1A4D8F" w:val="clear"/>
            <w:tcMar>
              <w:top w:type="dxa" w:w="80"/>
              <w:left w:type="dxa" w:w="120"/>
              <w:bottom w:type="dxa" w:w="80"/>
              <w:right w:type="dxa" w:w="120"/>
            </w:tcMar>
          </w:tcPr>
          <w:p>
            <w:r>
              <w:rPr>
                <w:rFonts w:ascii="Arial" w:cs="Arial" w:eastAsia="Arial" w:hAnsi="Arial"/>
                <w:b/>
                <w:bCs/>
                <w:color w:val="FFFFFF"/>
                <w:sz w:val="19"/>
                <w:szCs w:val="19"/>
              </w:rPr>
              <w:t xml:space="preserve">Milestone</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Stage 1 PoC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7 weeks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Working categorization + matching with metrics, baseline comparison, demo video, evaluation report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Jury presentation</w:t>
            </w:r>
          </w:p>
        </w:tc>
      </w:tr>
      <w:tr>
        <w:tc>
          <w:tcPr>
            <w:tcW w:type="dxa" w:w="13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Stage 2 Pilot</w:t>
            </w:r>
          </w:p>
        </w:tc>
        <w:tc>
          <w:tcPr>
            <w:tcW w:type="dxa" w:w="1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Months 4–8</w:t>
            </w:r>
          </w:p>
        </w:tc>
        <w:tc>
          <w:tcPr>
            <w:tcW w:type="dxa" w:w="4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Full multi-agent system, 11 languages, all ONDC categories, WhatsApp, 500 MSE pilot in 2 districts</w:t>
            </w:r>
          </w:p>
        </w:tc>
        <w:tc>
          <w:tcPr>
            <w:tcW w:type="dxa" w:w="2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NSIC pilot deployment</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Stage 3 Scale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Months 9–16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National rollout, analytics dashboard, TEAM portal integration, 50K+ MSEs onboarded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National deployment</w:t>
            </w:r>
          </w:p>
        </w:tc>
      </w:tr>
      <w:tr>
        <w:tc>
          <w:tcPr>
            <w:tcW w:type="dxa" w:w="13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Stage 4 Optimize</w:t>
            </w:r>
          </w:p>
        </w:tc>
        <w:tc>
          <w:tcPr>
            <w:tcW w:type="dxa" w:w="1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Months 17–24</w:t>
            </w:r>
          </w:p>
        </w:tc>
        <w:tc>
          <w:tcPr>
            <w:tcW w:type="dxa" w:w="4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Reinforcement learning on match quality, expanded language support, API marketplace, 2L+ MSEs</w:t>
            </w:r>
          </w:p>
        </w:tc>
        <w:tc>
          <w:tcPr>
            <w:tcW w:type="dxa" w:w="2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Self-improving system</w:t>
            </w:r>
          </w:p>
        </w:tc>
      </w:tr>
    </w:tbl>
    <w:p>
      <w:pPr>
        <w:spacing w:after="60"/>
      </w:pPr>
    </w:p>
    <w:p>
      <w:pPr>
        <w:pStyle w:val="Heading2"/>
        <w:spacing w:before="260" w:after="140"/>
      </w:pPr>
      <w:r>
        <w:rPr>
          <w:rFonts w:ascii="Arial" w:cs="Arial" w:eastAsia="Arial" w:hAnsi="Arial"/>
          <w:b/>
          <w:bCs/>
          <w:color w:val="0E7C7B"/>
          <w:sz w:val="26"/>
          <w:szCs w:val="26"/>
        </w:rPr>
        <w:t xml:space="preserve">12.2 Budget Estimate (2-Year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430"/>
        <w:gridCol w:w="2430"/>
      </w:tblGrid>
      <w:tr>
        <w:tc>
          <w:tcPr>
            <w:tcW w:type="dxa" w:w="4500"/>
            <w:tcBorders>
              <w:top w:val="single" w:color="CCCCCC" w:sz="1"/>
              <w:left w:val="single" w:color="CCCCCC" w:sz="1"/>
              <w:bottom w:val="single" w:color="CCCCCC" w:sz="1"/>
              <w:right w:val="single" w:color="CCCCCC" w:sz="1"/>
            </w:tcBorders>
            <w:shd w:fill="1A4D8F" w:val="clear"/>
            <w:tcMar>
              <w:top w:type="dxa" w:w="80"/>
              <w:left w:type="dxa" w:w="120"/>
              <w:bottom w:type="dxa" w:w="80"/>
              <w:right w:type="dxa" w:w="120"/>
            </w:tcMar>
          </w:tcPr>
          <w:p>
            <w:r>
              <w:rPr>
                <w:rFonts w:ascii="Arial" w:cs="Arial" w:eastAsia="Arial" w:hAnsi="Arial"/>
                <w:b/>
                <w:bCs/>
                <w:color w:val="FFFFFF"/>
                <w:sz w:val="19"/>
                <w:szCs w:val="19"/>
              </w:rPr>
              <w:t xml:space="preserve">Cost Category</w:t>
            </w:r>
          </w:p>
        </w:tc>
        <w:tc>
          <w:tcPr>
            <w:tcW w:type="dxa" w:w="2430"/>
            <w:tcBorders>
              <w:top w:val="single" w:color="CCCCCC" w:sz="1"/>
              <w:left w:val="single" w:color="CCCCCC" w:sz="1"/>
              <w:bottom w:val="single" w:color="CCCCCC" w:sz="1"/>
              <w:right w:val="single" w:color="CCCCCC" w:sz="1"/>
            </w:tcBorders>
            <w:shd w:fill="1A4D8F" w:val="clear"/>
            <w:tcMar>
              <w:top w:type="dxa" w:w="80"/>
              <w:left w:type="dxa" w:w="120"/>
              <w:bottom w:type="dxa" w:w="80"/>
              <w:right w:type="dxa" w:w="120"/>
            </w:tcMar>
          </w:tcPr>
          <w:p>
            <w:r>
              <w:rPr>
                <w:rFonts w:ascii="Arial" w:cs="Arial" w:eastAsia="Arial" w:hAnsi="Arial"/>
                <w:b/>
                <w:bCs/>
                <w:color w:val="FFFFFF"/>
                <w:sz w:val="19"/>
                <w:szCs w:val="19"/>
              </w:rPr>
              <w:t xml:space="preserve">Year 1 (INR Lakhs)</w:t>
            </w:r>
          </w:p>
        </w:tc>
        <w:tc>
          <w:tcPr>
            <w:tcW w:type="dxa" w:w="2430"/>
            <w:tcBorders>
              <w:top w:val="single" w:color="CCCCCC" w:sz="1"/>
              <w:left w:val="single" w:color="CCCCCC" w:sz="1"/>
              <w:bottom w:val="single" w:color="CCCCCC" w:sz="1"/>
              <w:right w:val="single" w:color="CCCCCC" w:sz="1"/>
            </w:tcBorders>
            <w:shd w:fill="1A4D8F" w:val="clear"/>
            <w:tcMar>
              <w:top w:type="dxa" w:w="80"/>
              <w:left w:type="dxa" w:w="120"/>
              <w:bottom w:type="dxa" w:w="80"/>
              <w:right w:type="dxa" w:w="120"/>
            </w:tcMar>
          </w:tcPr>
          <w:p>
            <w:r>
              <w:rPr>
                <w:rFonts w:ascii="Arial" w:cs="Arial" w:eastAsia="Arial" w:hAnsi="Arial"/>
                <w:b/>
                <w:bCs/>
                <w:color w:val="FFFFFF"/>
                <w:sz w:val="19"/>
                <w:szCs w:val="19"/>
              </w:rPr>
              <w:t xml:space="preserve">Year 2 (INR Lakhs)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AI/ML Engineering Team (4 engineers)</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28</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28</w:t>
            </w:r>
          </w:p>
        </w:tc>
      </w:tr>
      <w:tr>
        <w:tc>
          <w:tcPr>
            <w:tcW w:type="dxa" w:w="4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Cloud Infrastructure (GPU + CPU)</w:t>
            </w:r>
          </w:p>
        </w:tc>
        <w:tc>
          <w:tcPr>
            <w:tcW w:type="dxa" w:w="243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8</w:t>
            </w:r>
          </w:p>
        </w:tc>
        <w:tc>
          <w:tcPr>
            <w:tcW w:type="dxa" w:w="243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12</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Sarvam AI API Costs</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4</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6</w:t>
            </w:r>
          </w:p>
        </w:tc>
      </w:tr>
      <w:tr>
        <w:tc>
          <w:tcPr>
            <w:tcW w:type="dxa" w:w="4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Frontend/Mobile Development</w:t>
            </w:r>
          </w:p>
        </w:tc>
        <w:tc>
          <w:tcPr>
            <w:tcW w:type="dxa" w:w="243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6</w:t>
            </w:r>
          </w:p>
        </w:tc>
        <w:tc>
          <w:tcPr>
            <w:tcW w:type="dxa" w:w="243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3</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Testing, Security Audit &amp; Compliance</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3</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2</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19"/>
                <w:szCs w:val="19"/>
              </w:rPr>
              <w:t xml:space="preserve">TOTAL</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19"/>
                <w:szCs w:val="19"/>
              </w:rPr>
              <w:t xml:space="preserve">49</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19"/>
                <w:szCs w:val="19"/>
              </w:rPr>
              <w:t xml:space="preserve">51</w:t>
            </w:r>
          </w:p>
        </w:tc>
      </w:tr>
    </w:tbl>
    <w:p>
      <w:pPr>
        <w:spacing w:after="60"/>
      </w:pPr>
    </w:p>
    <w:p>
      <w:pPr>
        <w:spacing w:after="100" w:line="276"/>
        <w:jc w:val="left"/>
      </w:pPr>
      <w:r>
        <w:rPr>
          <w:rFonts w:ascii="Arial" w:cs="Arial" w:eastAsia="Arial" w:hAnsi="Arial"/>
          <w:b/>
          <w:bCs/>
          <w:color w:val="1A1A2E"/>
          <w:sz w:val="21"/>
          <w:szCs w:val="21"/>
        </w:rPr>
        <w:t xml:space="preserve">Total 2-Year Estimate: INR 1.00 Crore (within the contract ceiling specified in the challenge).</w:t>
      </w:r>
    </w:p>
    <w:p>
      <w:pPr>
        <w:pStyle w:val="Heading1"/>
        <w:spacing w:before="360" w:after="180"/>
      </w:pPr>
      <w:r>
        <w:rPr>
          <w:rFonts w:ascii="Arial" w:cs="Arial" w:eastAsia="Arial" w:hAnsi="Arial"/>
          <w:b/>
          <w:bCs/>
          <w:color w:val="1A4D8F"/>
          <w:sz w:val="34"/>
          <w:szCs w:val="34"/>
        </w:rPr>
        <w:t xml:space="preserve">13. Evaluation Criteria Alignment (Annexure 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4D8F" w:val="clear"/>
            <w:tcMar>
              <w:top w:type="dxa" w:w="80"/>
              <w:left w:type="dxa" w:w="120"/>
              <w:bottom w:type="dxa" w:w="80"/>
              <w:right w:type="dxa" w:w="120"/>
            </w:tcMar>
          </w:tcPr>
          <w:p>
            <w:r>
              <w:rPr>
                <w:rFonts w:ascii="Arial" w:cs="Arial" w:eastAsia="Arial" w:hAnsi="Arial"/>
                <w:b/>
                <w:bCs/>
                <w:color w:val="FFFFFF"/>
                <w:sz w:val="19"/>
                <w:szCs w:val="19"/>
              </w:rPr>
              <w:t xml:space="preserve">Evaluation Parameter</w:t>
            </w:r>
          </w:p>
        </w:tc>
        <w:tc>
          <w:tcPr>
            <w:tcW w:type="dxa" w:w="6860"/>
            <w:tcBorders>
              <w:top w:val="single" w:color="CCCCCC" w:sz="1"/>
              <w:left w:val="single" w:color="CCCCCC" w:sz="1"/>
              <w:bottom w:val="single" w:color="CCCCCC" w:sz="1"/>
              <w:right w:val="single" w:color="CCCCCC" w:sz="1"/>
            </w:tcBorders>
            <w:shd w:fill="1A4D8F" w:val="clear"/>
            <w:tcMar>
              <w:top w:type="dxa" w:w="80"/>
              <w:left w:type="dxa" w:w="120"/>
              <w:bottom w:type="dxa" w:w="80"/>
              <w:right w:type="dxa" w:w="120"/>
            </w:tcMar>
          </w:tcPr>
          <w:p>
            <w:r>
              <w:rPr>
                <w:rFonts w:ascii="Arial" w:cs="Arial" w:eastAsia="Arial" w:hAnsi="Arial"/>
                <w:b/>
                <w:bCs/>
                <w:color w:val="FFFFFF"/>
                <w:sz w:val="19"/>
                <w:szCs w:val="19"/>
              </w:rPr>
              <w:t xml:space="preserve">Our Response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Problem Solving Approach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Three-module AI architecture: Registration + Classification + Matching. First AI-native MSE-SNP matching for ONDC’s decentralized protocol.</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Technical Feasibility</w:t>
            </w:r>
          </w:p>
        </w:tc>
        <w:tc>
          <w:tcPr>
            <w:tcW w:type="dxa" w:w="68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All components proven: Sarvam powers UIDAI, LangGraph enterprise-grade, ONDC protocol fully documented. Stage 1 PoC executable in 7 weeks.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Product Roadmap</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4-stage plan within INR 1 Cr and 2 years. Clear milestones: PoC → Pilot → National → Optimize.</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Team Ability &amp; Culture</w:t>
            </w:r>
          </w:p>
        </w:tc>
        <w:tc>
          <w:tcPr>
            <w:tcW w:type="dxa" w:w="68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Industry experience in large-scale recommendation systems and commerce data (contrastive learning, outcome-based relevancy). Deep Indian MSME domain knowledge.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Responsible AI</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Confidence band system, bias audits (gender/geography), per-recommendation explainability, officer override.</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Data &amp; Cyber Security</w:t>
            </w:r>
          </w:p>
        </w:tc>
        <w:tc>
          <w:tcPr>
            <w:tcW w:type="dxa" w:w="68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Sovereign AI stack. DPDP 2023 compliant. All data on Indian infrastructure. Encryption, RBAC, audit logs.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Data Preparation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Stratified splits, 5-fold CV, class imbalance handling (SMOTE + weighted loss), data quality scoring.</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Model Building</w:t>
            </w:r>
          </w:p>
        </w:tc>
        <w:tc>
          <w:tcPr>
            <w:tcW w:type="dxa" w:w="68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Multiple models compared (MuRIL vs mBERT vs XLM-R). Hyperparameter tuning via Optuna. Weight optimization via grid search.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Model Evaluation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Accuracy/Precision/Recall/F1/Confusion Matrix/AUC-ROC for categorization. NDCG@3/MRR/reassignment simulation for matching.</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Technical Robustness</w:t>
            </w:r>
          </w:p>
        </w:tc>
        <w:tc>
          <w:tcPr>
            <w:tcW w:type="dxa" w:w="68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&gt;95% categorization accuracy, &lt;500ms latency, NDCG@3 &gt;0.80, 99.5% uptime SLA. Baseline comparison included.</w:t>
            </w:r>
          </w:p>
        </w:tc>
      </w:tr>
    </w:tbl>
    <w:p>
      <w:pPr>
        <w:spacing w:after="60"/>
      </w:pPr>
    </w:p>
    <w:p>
      <w:pPr>
        <w:pStyle w:val="Heading1"/>
        <w:spacing w:before="360" w:after="180"/>
      </w:pPr>
      <w:r>
        <w:rPr>
          <w:rFonts w:ascii="Arial" w:cs="Arial" w:eastAsia="Arial" w:hAnsi="Arial"/>
          <w:b/>
          <w:bCs/>
          <w:color w:val="1A4D8F"/>
          <w:sz w:val="34"/>
          <w:szCs w:val="34"/>
        </w:rPr>
        <w:t xml:space="preserve">14.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CCCCCC" w:sz="1"/>
              <w:left w:val="single" w:color="CCCCCC" w:sz="1"/>
              <w:bottom w:val="single" w:color="CCCCCC" w:sz="1"/>
              <w:right w:val="single" w:color="CCCCCC" w:sz="1"/>
            </w:tcBorders>
            <w:shd w:fill="1A4D8F"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900"/>
            <w:tcBorders>
              <w:top w:val="single" w:color="CCCCCC" w:sz="1"/>
              <w:left w:val="single" w:color="CCCCCC" w:sz="1"/>
              <w:bottom w:val="single" w:color="CCCCCC" w:sz="1"/>
              <w:right w:val="single" w:color="CCCCCC" w:sz="1"/>
            </w:tcBorders>
            <w:shd w:fill="1A4D8F" w:val="clear"/>
            <w:tcMar>
              <w:top w:type="dxa" w:w="80"/>
              <w:left w:type="dxa" w:w="120"/>
              <w:bottom w:type="dxa" w:w="80"/>
              <w:right w:type="dxa" w:w="120"/>
            </w:tcMar>
          </w:tcPr>
          <w:p>
            <w:r>
              <w:rPr>
                <w:rFonts w:ascii="Arial" w:cs="Arial" w:eastAsia="Arial" w:hAnsi="Arial"/>
                <w:b/>
                <w:bCs/>
                <w:color w:val="FFFFFF"/>
                <w:sz w:val="19"/>
                <w:szCs w:val="19"/>
              </w:rPr>
              <w:t xml:space="preserve">Level</w:t>
            </w:r>
          </w:p>
        </w:tc>
        <w:tc>
          <w:tcPr>
            <w:tcW w:type="dxa" w:w="6260"/>
            <w:tcBorders>
              <w:top w:val="single" w:color="CCCCCC" w:sz="1"/>
              <w:left w:val="single" w:color="CCCCCC" w:sz="1"/>
              <w:bottom w:val="single" w:color="CCCCCC" w:sz="1"/>
              <w:right w:val="single" w:color="CCCCCC" w:sz="1"/>
            </w:tcBorders>
            <w:shd w:fill="1A4D8F"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Voice accuracy in noise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High</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Sarvam telephony-grade models. Text fallback. Confirmation loop before submission.</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AIKosh data insufficiency</w:t>
            </w:r>
          </w:p>
        </w:tc>
        <w:tc>
          <w:tcPr>
            <w:tcW w:type="dxa" w:w="9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High</w:t>
            </w:r>
          </w:p>
        </w:tc>
        <w:tc>
          <w:tcPr>
            <w:tcW w:type="dxa" w:w="62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Synthetic data augmentation. Public e-commerce catalogs for supplementary training.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ONDC taxonomy changes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Medium</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Auto-sync with ONDC GitHub (daily). Taxonomy versioning. Backward compatibility.</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SNP capacity staleness</w:t>
            </w:r>
          </w:p>
        </w:tc>
        <w:tc>
          <w:tcPr>
            <w:tcW w:type="dxa" w:w="9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Medium</w:t>
            </w:r>
          </w:p>
        </w:tc>
        <w:tc>
          <w:tcPr>
            <w:tcW w:type="dxa" w:w="62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Exponential decay confidence on stale data. Conservative capacity estimates (80% max).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MSE trust/adoption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High</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WhatsApp-first (familiar). Voice-only option. NSIC facilitator partnerships.</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Data privacy compliance</w:t>
            </w:r>
          </w:p>
        </w:tc>
        <w:tc>
          <w:tcPr>
            <w:tcW w:type="dxa" w:w="9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High</w:t>
            </w:r>
          </w:p>
        </w:tc>
        <w:tc>
          <w:tcPr>
            <w:tcW w:type="dxa" w:w="62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Sovereign AI stack. Indian servers only. DPDP compliant. Consent-based. Audit trail.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Model bias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Medium</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Quarterly bias audits. Separate fairness metrics for women-led MSEs and Tier 3 geography.</w:t>
            </w:r>
          </w:p>
        </w:tc>
      </w:tr>
    </w:tbl>
    <w:p>
      <w:pPr>
        <w:spacing w:after="60"/>
      </w:pPr>
    </w:p>
    <w:p>
      <w:pPr>
        <w:pStyle w:val="Heading1"/>
        <w:spacing w:before="360" w:after="180"/>
      </w:pPr>
      <w:r>
        <w:rPr>
          <w:rFonts w:ascii="Arial" w:cs="Arial" w:eastAsia="Arial" w:hAnsi="Arial"/>
          <w:b/>
          <w:bCs/>
          <w:color w:val="1A4D8F"/>
          <w:sz w:val="34"/>
          <w:szCs w:val="34"/>
        </w:rPr>
        <w:t xml:space="preserve">15. Conclusion</w:t>
      </w:r>
    </w:p>
    <w:p>
      <w:pPr>
        <w:spacing w:after="100" w:line="276"/>
        <w:jc w:val="left"/>
      </w:pPr>
      <w:r>
        <w:rPr>
          <w:rFonts w:ascii="Arial" w:cs="Arial" w:eastAsia="Arial" w:hAnsi="Arial"/>
          <w:color w:val="1A1A2E"/>
          <w:sz w:val="21"/>
          <w:szCs w:val="21"/>
        </w:rPr>
        <w:t xml:space="preserve">AgentMap AI directly addresses the three mandates of Problem Statement 2: multilingual registration, taxonomy-compliant categorization, and intelligent MSE-SNP matching. Our approach is grounded in experimental rigor—every claim is backed by measurable metrics, baseline comparisons, and a working PoC plan.</w:t>
      </w:r>
    </w:p>
    <w:p>
      <w:pPr>
        <w:spacing w:after="100" w:line="276"/>
        <w:jc w:val="left"/>
      </w:pPr>
      <w:r>
        <w:rPr>
          <w:rFonts w:ascii="Arial" w:cs="Arial" w:eastAsia="Arial" w:hAnsi="Arial"/>
          <w:color w:val="1A1A2E"/>
          <w:sz w:val="21"/>
          <w:szCs w:val="21"/>
        </w:rPr>
        <w:t xml:space="preserve">The system is architected for ONDC’s unique decentralized protocol—not borrowed from centralized marketplace playbooks. Our sovereign AI stack ensures government data governance compliance, our confidence band system ensures responsible AI governance, and our 7-week Stage 1 plan ensures deliverability.</w:t>
      </w:r>
    </w:p>
    <w:p>
      <w:pPr>
        <w:spacing w:after="100" w:line="276"/>
        <w:jc w:val="left"/>
      </w:pPr>
      <w:r>
        <w:rPr>
          <w:rFonts w:ascii="Arial" w:cs="Arial" w:eastAsia="Arial" w:hAnsi="Arial"/>
          <w:color w:val="1A1A2E"/>
          <w:sz w:val="21"/>
          <w:szCs w:val="21"/>
        </w:rPr>
        <w:t xml:space="preserve">Our team’s industry experience in recommendation systems (contrastive learning approaches to outcome-based relevancy) and deep integration with India’s indigenous AI infrastructure (Sarvam AI) uniquely position us to deliver within the INR 1 Crore budget and 2-year timeline.</w:t>
      </w:r>
    </w:p>
    <w:p>
      <w:pPr>
        <w:spacing w:after="100" w:line="276"/>
        <w:jc w:val="left"/>
      </w:pPr>
      <w:r>
        <w:rPr>
          <w:rFonts w:ascii="Arial" w:cs="Arial" w:eastAsia="Arial" w:hAnsi="Arial"/>
          <w:b/>
          <w:bCs/>
          <w:color w:val="1A1A2E"/>
          <w:sz w:val="21"/>
          <w:szCs w:val="21"/>
        </w:rPr>
        <w:t xml:space="preserve">We are not building a tool. We are building the intelligent infrastructure that will power India’s digital commerce democratization.</w:t>
      </w:r>
    </w:p>
    <w:p>
      <w:pPr>
        <w:spacing w:after="60"/>
      </w:pPr>
    </w:p>
    <w:p>
      <w:r>
        <w:br w:type="page"/>
      </w:r>
    </w:p>
    <w:p>
      <w:pPr>
        <w:pStyle w:val="Heading1"/>
        <w:spacing w:before="360" w:after="180"/>
      </w:pPr>
      <w:r>
        <w:rPr>
          <w:rFonts w:ascii="Arial" w:cs="Arial" w:eastAsia="Arial" w:hAnsi="Arial"/>
          <w:b/>
          <w:bCs/>
          <w:color w:val="1A4D8F"/>
          <w:sz w:val="34"/>
          <w:szCs w:val="34"/>
        </w:rPr>
        <w:t xml:space="preserve">Appendix A: International &amp; Export Readiness</w:t>
      </w:r>
    </w:p>
    <w:p>
      <w:pPr>
        <w:spacing w:after="100" w:line="276"/>
        <w:jc w:val="left"/>
      </w:pPr>
      <w:r>
        <w:rPr>
          <w:rFonts w:ascii="Arial" w:cs="Arial" w:eastAsia="Arial" w:hAnsi="Arial"/>
          <w:i/>
          <w:iCs/>
          <w:color w:val="1A1A2E"/>
          <w:sz w:val="21"/>
          <w:szCs w:val="21"/>
        </w:rPr>
        <w:t xml:space="preserve">(Deferred to post-Stage 1. Included for completeness.)</w:t>
      </w:r>
    </w:p>
    <w:p>
      <w:pPr>
        <w:spacing w:after="60"/>
      </w:pPr>
    </w:p>
    <w:p>
      <w:pPr>
        <w:spacing w:after="100" w:line="276"/>
      </w:pPr>
      <w:r>
        <w:rPr>
          <w:rFonts w:ascii="Arial" w:cs="Arial" w:eastAsia="Arial" w:hAnsi="Arial"/>
          <w:b/>
          <w:bCs/>
          <w:color w:val="1A1A2E"/>
          <w:sz w:val="21"/>
          <w:szCs w:val="21"/>
        </w:rPr>
        <w:t xml:space="preserve">HSN Code Integration: </w:t>
      </w:r>
      <w:r>
        <w:rPr>
          <w:rFonts w:ascii="Arial" w:cs="Arial" w:eastAsia="Arial" w:hAnsi="Arial"/>
          <w:color w:val="1A1A2E"/>
          <w:sz w:val="21"/>
          <w:szCs w:val="21"/>
        </w:rPr>
        <w:t xml:space="preserve">Every product tagged with HSN code, enabling mapping to international HS codes for trade classification.</w:t>
      </w:r>
    </w:p>
    <w:p>
      <w:pPr>
        <w:spacing w:after="100" w:line="276"/>
      </w:pPr>
      <w:r>
        <w:rPr>
          <w:rFonts w:ascii="Arial" w:cs="Arial" w:eastAsia="Arial" w:hAnsi="Arial"/>
          <w:b/>
          <w:bCs/>
          <w:color w:val="1A1A2E"/>
          <w:sz w:val="21"/>
          <w:szCs w:val="21"/>
        </w:rPr>
        <w:t xml:space="preserve">Export Readiness Scoring: </w:t>
      </w:r>
      <w:r>
        <w:rPr>
          <w:rFonts w:ascii="Arial" w:cs="Arial" w:eastAsia="Arial" w:hAnsi="Arial"/>
          <w:color w:val="1A1A2E"/>
          <w:sz w:val="21"/>
          <w:szCs w:val="21"/>
        </w:rPr>
        <w:t xml:space="preserve">Based on product category, certifications, and capacity, system flags export-ready MSEs and connects to DGFT schemes.</w:t>
      </w:r>
    </w:p>
    <w:p>
      <w:pPr>
        <w:spacing w:after="100" w:line="276"/>
      </w:pPr>
      <w:r>
        <w:rPr>
          <w:rFonts w:ascii="Arial" w:cs="Arial" w:eastAsia="Arial" w:hAnsi="Arial"/>
          <w:b/>
          <w:bCs/>
          <w:color w:val="1A1A2E"/>
          <w:sz w:val="21"/>
          <w:szCs w:val="21"/>
        </w:rPr>
        <w:t xml:space="preserve">Multi-Currency &amp; Multi-Language: </w:t>
      </w:r>
      <w:r>
        <w:rPr>
          <w:rFonts w:ascii="Arial" w:cs="Arial" w:eastAsia="Arial" w:hAnsi="Arial"/>
          <w:color w:val="1A1A2E"/>
          <w:sz w:val="21"/>
          <w:szCs w:val="21"/>
        </w:rPr>
        <w:t xml:space="preserve">Architecture supports internationalization. Catalogs generated in English for global markets alongside Indic versions.</w:t>
      </w:r>
    </w:p>
    <w:p>
      <w:pPr>
        <w:spacing w:after="100" w:line="276"/>
      </w:pPr>
      <w:r>
        <w:rPr>
          <w:rFonts w:ascii="Arial" w:cs="Arial" w:eastAsia="Arial" w:hAnsi="Arial"/>
          <w:b/>
          <w:bCs/>
          <w:color w:val="1A1A2E"/>
          <w:sz w:val="21"/>
          <w:szCs w:val="21"/>
        </w:rPr>
        <w:t xml:space="preserve">Global Interoperability: </w:t>
      </w:r>
      <w:r>
        <w:rPr>
          <w:rFonts w:ascii="Arial" w:cs="Arial" w:eastAsia="Arial" w:hAnsi="Arial"/>
          <w:color w:val="1A1A2E"/>
          <w:sz w:val="21"/>
          <w:szCs w:val="21"/>
        </w:rPr>
        <w:t xml:space="preserve">ONDC’s Beckn protocol is an open standard adoptable by any country. Our architecture could adapt for open commerce networks in Southeast Asia, Africa, and Latin America.</w:t>
      </w:r>
    </w:p>
    <w:p>
      <w:pPr>
        <w:spacing w:after="60"/>
      </w:pPr>
    </w:p>
    <w:p>
      <w:pPr>
        <w:spacing w:after="60"/>
      </w:pPr>
    </w:p>
    <w:p>
      <w:pPr>
        <w:jc w:val="center"/>
      </w:pPr>
      <w:r>
        <w:rPr>
          <w:rFonts w:ascii="Arial" w:cs="Arial" w:eastAsia="Arial" w:hAnsi="Arial"/>
          <w:i/>
          <w:iCs/>
          <w:color w:val="555555"/>
          <w:sz w:val="21"/>
          <w:szCs w:val="21"/>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5"/>
        <w:szCs w:val="15"/>
      </w:rPr>
      <w:t xml:space="preserve">CONFIDENTIAL — Page </w:t>
    </w:r>
    <w:r>
      <w:rPr>
        <w:rFonts w:ascii="Arial" w:cs="Arial" w:eastAsia="Arial" w:hAnsi="Arial"/>
        <w:color w:val="555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5"/>
        <w:szCs w:val="15"/>
      </w:rPr>
      <w:t xml:space="preserve">AgentMap AI — PRD v2.0</w:t>
    </w:r>
    <w:r>
      <w:rPr>
        <w:rFonts w:ascii="Arial" w:cs="Arial" w:eastAsia="Arial" w:hAnsi="Arial"/>
        <w:color w:val="555555"/>
        <w:sz w:val="15"/>
        <w:szCs w:val="15"/>
      </w:rPr>
      <w:t xml:space="preserve">  |  </w:t>
    </w:r>
    <w:r>
      <w:rPr>
        <w:rFonts w:ascii="Arial" w:cs="Arial" w:eastAsia="Arial" w:hAnsi="Arial"/>
        <w:color w:val="1A4D8F"/>
        <w:sz w:val="15"/>
        <w:szCs w:val="15"/>
      </w:rPr>
      <w:t xml:space="preserve">IndiaAI Innovation Challenge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4D8F"/>
      <w:sz w:val="34"/>
      <w:szCs w:val="34"/>
    </w:rPr>
  </w:style>
  <w:style w:type="paragraph" w:styleId="Heading2">
    <w:name w:val="Heading 2"/>
    <w:basedOn w:val="Normal"/>
    <w:next w:val="Normal"/>
    <w:qFormat/>
    <w:pPr>
      <w:spacing w:before="260" w:after="140"/>
      <w:outlineLvl w:val="1"/>
    </w:pPr>
    <w:rPr>
      <w:rFonts w:ascii="Arial" w:cs="Arial" w:eastAsia="Arial" w:hAnsi="Arial"/>
      <w:b/>
      <w:bCs/>
      <w:color w:val="0E7C7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2026-02-15T02:19:18.239Z</dcterms:created>
  <dcterms:modified xsi:type="dcterms:W3CDTF">2026-02-15T02:19:18.240Z</dcterms:modified>
</cp:coreProperties>
</file>

<file path=docProps/custom.xml><?xml version="1.0" encoding="utf-8"?>
<Properties xmlns="http://schemas.openxmlformats.org/officeDocument/2006/custom-properties" xmlns:vt="http://schemas.openxmlformats.org/officeDocument/2006/docPropsVTypes"/>
</file>