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669" w:rsidRDefault="008D1669" w:rsidP="008D1669">
      <w:pPr>
        <w:jc w:val="right"/>
      </w:pPr>
    </w:p>
    <w:p w:rsidR="008D1669" w:rsidRDefault="008D1669" w:rsidP="008D1669">
      <w:pPr>
        <w:jc w:val="right"/>
      </w:pPr>
    </w:p>
    <w:p w:rsidR="008D1669" w:rsidRDefault="008D1669" w:rsidP="008D1669">
      <w:pPr>
        <w:jc w:val="center"/>
        <w:rPr>
          <w:b/>
        </w:rPr>
      </w:pPr>
      <w:r>
        <w:rPr>
          <w:b/>
        </w:rPr>
        <w:t xml:space="preserve">ETHICS </w:t>
      </w:r>
      <w:r w:rsidR="00992B88" w:rsidRPr="00433789">
        <w:rPr>
          <w:b/>
          <w:i/>
        </w:rPr>
        <w:t>VERSUS</w:t>
      </w:r>
      <w:r>
        <w:rPr>
          <w:b/>
        </w:rPr>
        <w:t xml:space="preserve"> ETHOS IN US AND UK MEGABANKING</w:t>
      </w:r>
      <w:r w:rsidR="0011403D">
        <w:rPr>
          <w:rStyle w:val="FootnoteReference"/>
          <w:b/>
        </w:rPr>
        <w:footnoteReference w:id="1"/>
      </w:r>
    </w:p>
    <w:p w:rsidR="008D1669" w:rsidRDefault="008D1669" w:rsidP="008D1669">
      <w:pPr>
        <w:jc w:val="center"/>
        <w:rPr>
          <w:b/>
        </w:rPr>
      </w:pPr>
      <w:r>
        <w:rPr>
          <w:b/>
        </w:rPr>
        <w:t>Edward J. Kane</w:t>
      </w:r>
    </w:p>
    <w:p w:rsidR="008D1669" w:rsidRDefault="008D1669" w:rsidP="008D1669">
      <w:pPr>
        <w:jc w:val="center"/>
      </w:pPr>
      <w:r>
        <w:rPr>
          <w:b/>
          <w:i/>
        </w:rPr>
        <w:t>Boston College</w:t>
      </w:r>
    </w:p>
    <w:p w:rsidR="008D1669" w:rsidRDefault="008D1669" w:rsidP="008D1669">
      <w:pPr>
        <w:jc w:val="center"/>
      </w:pPr>
    </w:p>
    <w:p w:rsidR="00746BAF" w:rsidRDefault="00746BAF" w:rsidP="008D1669">
      <w:pPr>
        <w:jc w:val="center"/>
      </w:pPr>
    </w:p>
    <w:p w:rsidR="00746BAF" w:rsidRDefault="00746BAF" w:rsidP="00746BAF">
      <w:pPr>
        <w:jc w:val="center"/>
      </w:pPr>
      <w:r>
        <w:rPr>
          <w:b/>
        </w:rPr>
        <w:t>ABSTRACT</w:t>
      </w:r>
    </w:p>
    <w:p w:rsidR="00746BAF" w:rsidRDefault="00746BAF" w:rsidP="00746BAF">
      <w:pPr>
        <w:ind w:firstLine="720"/>
      </w:pPr>
    </w:p>
    <w:p w:rsidR="00746BAF" w:rsidRPr="00FB0778" w:rsidRDefault="00746BAF" w:rsidP="00746BAF">
      <w:pPr>
        <w:ind w:firstLine="720"/>
      </w:pPr>
      <w:r>
        <w:t xml:space="preserve">Company law in the US and UK fails to acknowledge that authorities’ propensity to rescue giant banks from the consequences of insolvency </w:t>
      </w:r>
      <w:r w:rsidR="002B45F4">
        <w:t xml:space="preserve">creates an implicit contract that </w:t>
      </w:r>
      <w:r>
        <w:t xml:space="preserve">assigns taxpayers a coerced and badly structured </w:t>
      </w:r>
      <w:r>
        <w:rPr>
          <w:i/>
        </w:rPr>
        <w:t>equity</w:t>
      </w:r>
      <w:r>
        <w:t xml:space="preserve"> stake in too-big-to-fail institutions.  The entrenched managerial norm of maximizing stockholder value </w:t>
      </w:r>
      <w:r w:rsidR="002B45F4">
        <w:t xml:space="preserve">abuses this stake.  It does so by lending an </w:t>
      </w:r>
      <w:r w:rsidR="0056267E">
        <w:t>undeserved moral</w:t>
      </w:r>
      <w:r>
        <w:t xml:space="preserve"> legitimacy to efforts by TBTF managers to take on dangerous levels of tail risk because their </w:t>
      </w:r>
      <w:r w:rsidR="00AB58E7">
        <w:t xml:space="preserve">bank’s </w:t>
      </w:r>
      <w:r>
        <w:t xml:space="preserve">deep downside is effectively eliminated by the prospect of unlimited taxpayer support.  Conventional tools of prudential regulation constrain but do not </w:t>
      </w:r>
      <w:r w:rsidRPr="00BA19B1">
        <w:rPr>
          <w:i/>
        </w:rPr>
        <w:t>de-legitimate</w:t>
      </w:r>
      <w:r>
        <w:t xml:space="preserve"> this behavior.  To accomplish that end, this paper calls for: (1) a formal recognition of the fiduciary duties </w:t>
      </w:r>
      <w:r w:rsidR="002B45F4">
        <w:t xml:space="preserve">and dividends </w:t>
      </w:r>
      <w:r>
        <w:t xml:space="preserve">that TBTF firms owe to taxpayers and (2) criminalizing aggressive pursuit of safety-net subsidies as </w:t>
      </w:r>
      <w:r w:rsidR="002B45F4">
        <w:t xml:space="preserve">a form of </w:t>
      </w:r>
      <w:r w:rsidR="00A161B5">
        <w:t>public</w:t>
      </w:r>
      <w:r w:rsidR="002B45F4">
        <w:t xml:space="preserve"> endangerment.</w:t>
      </w:r>
    </w:p>
    <w:p w:rsidR="00746BAF" w:rsidRDefault="00746BAF" w:rsidP="008D1669">
      <w:pPr>
        <w:jc w:val="center"/>
      </w:pPr>
    </w:p>
    <w:p w:rsidR="008D1669" w:rsidRDefault="008D1669" w:rsidP="008D1669">
      <w:pPr>
        <w:jc w:val="center"/>
      </w:pPr>
    </w:p>
    <w:p w:rsidR="00B04248" w:rsidRDefault="008D1669" w:rsidP="008D1669">
      <w:pPr>
        <w:spacing w:line="480" w:lineRule="auto"/>
        <w:ind w:firstLine="720"/>
      </w:pPr>
      <w:r>
        <w:t>In banking, professional standards of conduct derive less from moral</w:t>
      </w:r>
      <w:r w:rsidR="002B45F4">
        <w:t>ly defensible</w:t>
      </w:r>
      <w:r>
        <w:t xml:space="preserve"> principles </w:t>
      </w:r>
      <w:r w:rsidR="00D23007">
        <w:t xml:space="preserve">(i.e., </w:t>
      </w:r>
      <w:r w:rsidR="00BE7C9B">
        <w:t>individual</w:t>
      </w:r>
      <w:r w:rsidR="00D23007">
        <w:t xml:space="preserve"> ethics) </w:t>
      </w:r>
      <w:r>
        <w:t xml:space="preserve">than from the </w:t>
      </w:r>
      <w:r w:rsidR="002B45F4">
        <w:t>social cover conveyed by goal-oriented norms of evolving</w:t>
      </w:r>
      <w:r w:rsidR="00D23007">
        <w:t xml:space="preserve"> </w:t>
      </w:r>
      <w:r>
        <w:t xml:space="preserve">banking and regulatory cultures (Kane, 2016).  </w:t>
      </w:r>
      <w:r w:rsidR="00B04248">
        <w:t xml:space="preserve">Realistically, </w:t>
      </w:r>
      <w:r w:rsidR="008665BD">
        <w:t>the world’s top bankers</w:t>
      </w:r>
      <w:r w:rsidR="00B04248">
        <w:t xml:space="preserve"> wrestle every day with three </w:t>
      </w:r>
      <w:r w:rsidR="00D23007">
        <w:t xml:space="preserve">practical </w:t>
      </w:r>
      <w:r w:rsidR="00B04248">
        <w:t xml:space="preserve">issues that </w:t>
      </w:r>
      <w:r w:rsidR="002B45F4">
        <w:t>squeeze out</w:t>
      </w:r>
      <w:r w:rsidR="00B04248">
        <w:t xml:space="preserve"> </w:t>
      </w:r>
      <w:r w:rsidR="00BE7C9B">
        <w:t>high-minded</w:t>
      </w:r>
      <w:r w:rsidR="00B04248">
        <w:t xml:space="preserve"> concepts of right and wrong: </w:t>
      </w:r>
    </w:p>
    <w:p w:rsidR="00B04248" w:rsidRDefault="00B04248" w:rsidP="00B04248">
      <w:pPr>
        <w:pStyle w:val="ListParagraph"/>
        <w:numPr>
          <w:ilvl w:val="0"/>
          <w:numId w:val="1"/>
        </w:numPr>
        <w:spacing w:line="480" w:lineRule="auto"/>
      </w:pPr>
      <w:r>
        <w:t xml:space="preserve"> What is profitable for our firm to do?</w:t>
      </w:r>
    </w:p>
    <w:p w:rsidR="00B04248" w:rsidRDefault="00B04248" w:rsidP="00B04248">
      <w:pPr>
        <w:pStyle w:val="ListParagraph"/>
        <w:numPr>
          <w:ilvl w:val="0"/>
          <w:numId w:val="1"/>
        </w:numPr>
        <w:spacing w:line="480" w:lineRule="auto"/>
      </w:pPr>
      <w:r>
        <w:t>What will our regulators let us get away with?</w:t>
      </w:r>
    </w:p>
    <w:p w:rsidR="00B04248" w:rsidRDefault="00B04248" w:rsidP="00B04248">
      <w:pPr>
        <w:pStyle w:val="ListParagraph"/>
        <w:numPr>
          <w:ilvl w:val="0"/>
          <w:numId w:val="1"/>
        </w:numPr>
        <w:spacing w:line="480" w:lineRule="auto"/>
      </w:pPr>
      <w:r>
        <w:t xml:space="preserve">How can we defend and expand these profit-making </w:t>
      </w:r>
      <w:r w:rsidR="008665BD">
        <w:t>opportunities</w:t>
      </w:r>
      <w:r>
        <w:t>?</w:t>
      </w:r>
    </w:p>
    <w:p w:rsidR="007809A7" w:rsidRDefault="007809A7" w:rsidP="008D1669">
      <w:pPr>
        <w:spacing w:line="480" w:lineRule="auto"/>
        <w:ind w:firstLine="720"/>
      </w:pPr>
      <w:r>
        <w:t>This paper argues that each of these questions can be improved by replacing the</w:t>
      </w:r>
      <w:r w:rsidR="00003C0B">
        <w:t xml:space="preserve"> first verb by the word “should:</w:t>
      </w:r>
      <w:r>
        <w:t>”</w:t>
      </w:r>
    </w:p>
    <w:p w:rsidR="007809A7" w:rsidRDefault="007809A7" w:rsidP="007809A7">
      <w:pPr>
        <w:pStyle w:val="ListParagraph"/>
        <w:numPr>
          <w:ilvl w:val="0"/>
          <w:numId w:val="2"/>
        </w:numPr>
        <w:spacing w:line="480" w:lineRule="auto"/>
        <w:ind w:left="1080"/>
      </w:pPr>
      <w:r>
        <w:t xml:space="preserve">What </w:t>
      </w:r>
      <w:r>
        <w:rPr>
          <w:i/>
        </w:rPr>
        <w:t>should</w:t>
      </w:r>
      <w:r>
        <w:t xml:space="preserve"> our firm do?</w:t>
      </w:r>
    </w:p>
    <w:p w:rsidR="007809A7" w:rsidRDefault="007809A7" w:rsidP="007809A7">
      <w:pPr>
        <w:pStyle w:val="ListParagraph"/>
        <w:numPr>
          <w:ilvl w:val="0"/>
          <w:numId w:val="2"/>
        </w:numPr>
        <w:spacing w:line="480" w:lineRule="auto"/>
        <w:ind w:left="1080"/>
      </w:pPr>
      <w:r>
        <w:lastRenderedPageBreak/>
        <w:t xml:space="preserve">What </w:t>
      </w:r>
      <w:r>
        <w:rPr>
          <w:i/>
        </w:rPr>
        <w:t>should</w:t>
      </w:r>
      <w:r>
        <w:t xml:space="preserve"> our regulators let us get away with?</w:t>
      </w:r>
    </w:p>
    <w:p w:rsidR="007809A7" w:rsidRDefault="007809A7" w:rsidP="007809A7">
      <w:pPr>
        <w:pStyle w:val="ListParagraph"/>
        <w:numPr>
          <w:ilvl w:val="0"/>
          <w:numId w:val="2"/>
        </w:numPr>
        <w:spacing w:line="480" w:lineRule="auto"/>
        <w:ind w:left="1080"/>
      </w:pPr>
      <w:r>
        <w:t xml:space="preserve">How </w:t>
      </w:r>
      <w:r>
        <w:rPr>
          <w:i/>
        </w:rPr>
        <w:t>should</w:t>
      </w:r>
      <w:r w:rsidR="00DE46E4">
        <w:t xml:space="preserve"> we defend and expand our</w:t>
      </w:r>
      <w:r>
        <w:t xml:space="preserve"> profit-making opportunities?</w:t>
      </w:r>
    </w:p>
    <w:p w:rsidR="002B45F4" w:rsidRDefault="002B45F4" w:rsidP="007809A7">
      <w:pPr>
        <w:spacing w:line="480" w:lineRule="auto"/>
        <w:ind w:firstLine="720"/>
      </w:pPr>
    </w:p>
    <w:p w:rsidR="002B45F4" w:rsidRPr="002B45F4" w:rsidRDefault="002B45F4" w:rsidP="002B45F4">
      <w:pPr>
        <w:spacing w:line="480" w:lineRule="auto"/>
      </w:pPr>
      <w:r>
        <w:rPr>
          <w:u w:val="single"/>
        </w:rPr>
        <w:t>Sources of Trust</w:t>
      </w:r>
    </w:p>
    <w:p w:rsidR="002B45F4" w:rsidRDefault="007809A7" w:rsidP="007809A7">
      <w:pPr>
        <w:spacing w:line="480" w:lineRule="auto"/>
        <w:ind w:firstLine="720"/>
      </w:pPr>
      <w:r>
        <w:t>Using “should”</w:t>
      </w:r>
      <w:r w:rsidR="00C714D8">
        <w:t xml:space="preserve"> in its dutiful sense</w:t>
      </w:r>
      <w:r>
        <w:t xml:space="preserve"> </w:t>
      </w:r>
      <w:r w:rsidR="002B45F4">
        <w:t>expands</w:t>
      </w:r>
      <w:r>
        <w:t xml:space="preserve"> the theorem-rich realm of positive economics </w:t>
      </w:r>
      <w:r w:rsidR="002B45F4">
        <w:t xml:space="preserve">into the less straightforward spheres </w:t>
      </w:r>
      <w:r>
        <w:t>of normative analysis</w:t>
      </w:r>
      <w:r w:rsidR="00FF47A4">
        <w:t xml:space="preserve"> and trust generation</w:t>
      </w:r>
      <w:r>
        <w:t xml:space="preserve">.  </w:t>
      </w:r>
      <w:r w:rsidR="002B45F4">
        <w:t xml:space="preserve">I do this to emphasize that, before central banks and </w:t>
      </w:r>
      <w:r w:rsidR="00CC563F">
        <w:t>national</w:t>
      </w:r>
      <w:r w:rsidR="002B45F4">
        <w:t xml:space="preserve"> deposit insurance systems were founded, banking and regulatory cultures were –like the cultures of driving and traffic enforcement today—essentially prudential in character.  Prudential rules are based on norms of temperance, </w:t>
      </w:r>
      <w:r w:rsidR="00A161B5">
        <w:t xml:space="preserve">community spirit, </w:t>
      </w:r>
      <w:r w:rsidR="002B45F4">
        <w:t xml:space="preserve">and interpersonal justice and enforced in practice by a ladder of formal and informal penalties for misconduct that the citizenry </w:t>
      </w:r>
      <w:r w:rsidR="00CC563F">
        <w:t>deems appropriate</w:t>
      </w:r>
      <w:r w:rsidR="002B45F4">
        <w:t xml:space="preserve">.  In such a culture, </w:t>
      </w:r>
      <w:r w:rsidR="003379BC">
        <w:t xml:space="preserve">banking was a “profession,” a field in which </w:t>
      </w:r>
      <w:r w:rsidR="00CC563F">
        <w:t xml:space="preserve">a sense of </w:t>
      </w:r>
      <w:r w:rsidR="003379BC">
        <w:t xml:space="preserve">serving others was at least as important as compensation </w:t>
      </w:r>
      <w:r w:rsidR="003379BC">
        <w:rPr>
          <w:i/>
        </w:rPr>
        <w:t>per se</w:t>
      </w:r>
      <w:r w:rsidR="003379BC">
        <w:t>.  A</w:t>
      </w:r>
      <w:r w:rsidR="002B45F4">
        <w:t xml:space="preserve"> banker prospered by building a reputation for making decisions that </w:t>
      </w:r>
      <w:r w:rsidR="00A161B5">
        <w:t>showed a due concern for other parties’</w:t>
      </w:r>
      <w:r w:rsidR="002B45F4">
        <w:t xml:space="preserve"> welfare.</w:t>
      </w:r>
    </w:p>
    <w:p w:rsidR="002B45F4" w:rsidRDefault="002B45F4" w:rsidP="007809A7">
      <w:pPr>
        <w:spacing w:line="480" w:lineRule="auto"/>
        <w:ind w:firstLine="720"/>
      </w:pPr>
      <w:r>
        <w:t xml:space="preserve">Today, </w:t>
      </w:r>
      <w:r w:rsidR="003379BC">
        <w:t>creditor</w:t>
      </w:r>
      <w:r>
        <w:t xml:space="preserve"> trust comes less from </w:t>
      </w:r>
      <w:r w:rsidR="0056267E">
        <w:t xml:space="preserve">a management team’s </w:t>
      </w:r>
      <w:r>
        <w:t xml:space="preserve">building a record of </w:t>
      </w:r>
      <w:r w:rsidR="00CC563F">
        <w:t>running</w:t>
      </w:r>
      <w:r>
        <w:t xml:space="preserve"> a bank prudently than from government regulators </w:t>
      </w:r>
      <w:r w:rsidR="00A161B5">
        <w:t xml:space="preserve">repeatedly </w:t>
      </w:r>
      <w:r>
        <w:t xml:space="preserve">showing that they have the ability to protect the interests of bank customers, creditors, and managers even in circumstances where rent-seeking personnel managed to </w:t>
      </w:r>
      <w:r w:rsidR="00CC563F">
        <w:t>disable</w:t>
      </w:r>
      <w:r>
        <w:t xml:space="preserve"> </w:t>
      </w:r>
      <w:r w:rsidR="00A161B5">
        <w:t>a bank’s</w:t>
      </w:r>
      <w:r w:rsidR="0056267E">
        <w:t xml:space="preserve"> “contracting vehicle</w:t>
      </w:r>
      <w:r>
        <w:t xml:space="preserve">” severely.  This re-working of the foundations of </w:t>
      </w:r>
      <w:r w:rsidR="003379BC">
        <w:t>creditor</w:t>
      </w:r>
      <w:r>
        <w:t xml:space="preserve"> trust has been accompanied by increase</w:t>
      </w:r>
      <w:r w:rsidR="00A161B5">
        <w:t>s</w:t>
      </w:r>
      <w:r>
        <w:t xml:space="preserve"> in the average depth and geographic extent of incidents of </w:t>
      </w:r>
      <w:r w:rsidR="00A161B5">
        <w:t>banking crisis</w:t>
      </w:r>
      <w:r>
        <w:t xml:space="preserve"> (</w:t>
      </w:r>
      <w:proofErr w:type="spellStart"/>
      <w:r>
        <w:t>Laeven</w:t>
      </w:r>
      <w:proofErr w:type="spellEnd"/>
      <w:r>
        <w:t xml:space="preserve"> and Valencia, 2012).  </w:t>
      </w:r>
    </w:p>
    <w:p w:rsidR="002B45F4" w:rsidRDefault="002B45F4" w:rsidP="007809A7">
      <w:pPr>
        <w:spacing w:line="480" w:lineRule="auto"/>
        <w:ind w:firstLine="720"/>
      </w:pPr>
      <w:r>
        <w:t xml:space="preserve">This paper uses the </w:t>
      </w:r>
      <w:r w:rsidR="00A161B5">
        <w:t xml:space="preserve">legal </w:t>
      </w:r>
      <w:r>
        <w:t>concept</w:t>
      </w:r>
      <w:r w:rsidR="00A161B5">
        <w:t>s</w:t>
      </w:r>
      <w:r>
        <w:t xml:space="preserve"> of public endangerment</w:t>
      </w:r>
      <w:r w:rsidR="00A161B5">
        <w:t xml:space="preserve"> and unjust enrichment</w:t>
      </w:r>
      <w:r>
        <w:t xml:space="preserve"> </w:t>
      </w:r>
      <w:r w:rsidR="0064285B">
        <w:t>—</w:t>
      </w:r>
      <w:r>
        <w:t xml:space="preserve">conduct that </w:t>
      </w:r>
      <w:r w:rsidR="0056267E">
        <w:t>self-interestedly imposes losses on</w:t>
      </w:r>
      <w:r w:rsidR="00EC4567">
        <w:t xml:space="preserve"> third parties—to argue that </w:t>
      </w:r>
      <w:r w:rsidR="0064285B">
        <w:t xml:space="preserve">safety-net guarantees impose on </w:t>
      </w:r>
      <w:r w:rsidR="00EC4567">
        <w:t xml:space="preserve">regulators and bankers fiduciary duties of loyalty, competence, and care </w:t>
      </w:r>
      <w:r w:rsidR="0064285B">
        <w:t xml:space="preserve">that go </w:t>
      </w:r>
      <w:r w:rsidR="0064285B">
        <w:lastRenderedPageBreak/>
        <w:t xml:space="preserve">beyond shareholders </w:t>
      </w:r>
      <w:r w:rsidR="00EC4567">
        <w:t xml:space="preserve">to the citizenry at large.  To justify </w:t>
      </w:r>
      <w:r w:rsidR="0064285B">
        <w:t>this claim</w:t>
      </w:r>
      <w:r w:rsidR="00EC4567">
        <w:t xml:space="preserve">, </w:t>
      </w:r>
      <w:r w:rsidR="002652D8">
        <w:t>I take</w:t>
      </w:r>
      <w:r w:rsidR="00EC4567">
        <w:t xml:space="preserve"> as a first principle Immanuel Kant’s imperative </w:t>
      </w:r>
      <w:r w:rsidR="002652D8">
        <w:t xml:space="preserve">against using others (here, taxpayers) only </w:t>
      </w:r>
      <w:r w:rsidR="00EC4567">
        <w:t xml:space="preserve">as a means to an end.  Applied to banking, this principle condemns as immoral the acts of public endangerment inherent in </w:t>
      </w:r>
      <w:r w:rsidR="002652D8">
        <w:t>booking potentially ruinous</w:t>
      </w:r>
      <w:r w:rsidR="00EC4567">
        <w:t xml:space="preserve"> tail risks </w:t>
      </w:r>
      <w:r w:rsidR="002652D8">
        <w:t>so as to generate</w:t>
      </w:r>
      <w:r w:rsidR="00EC4567">
        <w:t xml:space="preserve"> safety-net </w:t>
      </w:r>
      <w:r w:rsidR="002652D8">
        <w:t>rents</w:t>
      </w:r>
      <w:r w:rsidR="00EC4567">
        <w:t xml:space="preserve">.  </w:t>
      </w:r>
      <w:r w:rsidR="002652D8">
        <w:t xml:space="preserve">The existence of these rents carries with it </w:t>
      </w:r>
      <w:r w:rsidR="00EC4567">
        <w:t xml:space="preserve">a positive “obligation </w:t>
      </w:r>
      <w:r w:rsidR="002652D8">
        <w:t>for professional bankers to</w:t>
      </w:r>
      <w:r w:rsidR="00EC4567">
        <w:t xml:space="preserve"> know and appreciate” the consequences of reckless or unjust decisions (</w:t>
      </w:r>
      <w:proofErr w:type="spellStart"/>
      <w:r w:rsidR="00EC4567">
        <w:t>Vanderheiden</w:t>
      </w:r>
      <w:proofErr w:type="spellEnd"/>
      <w:r w:rsidR="00EC4567">
        <w:t>, 2016) and to use their knowledge, skill, and experience to guard against tail risks that impose bad outcomes on other parties.</w:t>
      </w:r>
    </w:p>
    <w:p w:rsidR="00EC4567" w:rsidRDefault="00EC4567" w:rsidP="007809A7">
      <w:pPr>
        <w:spacing w:line="480" w:lineRule="auto"/>
        <w:ind w:firstLine="720"/>
      </w:pPr>
      <w:r>
        <w:t>In the US and Europe</w:t>
      </w:r>
      <w:r w:rsidR="002652D8">
        <w:t xml:space="preserve"> of today</w:t>
      </w:r>
      <w:r>
        <w:t xml:space="preserve">, hard-to-enforce fraud laws give </w:t>
      </w:r>
      <w:proofErr w:type="spellStart"/>
      <w:r>
        <w:t>megabankers</w:t>
      </w:r>
      <w:proofErr w:type="spellEnd"/>
      <w:r>
        <w:t xml:space="preserve"> a </w:t>
      </w:r>
      <w:r>
        <w:rPr>
          <w:u w:val="single"/>
        </w:rPr>
        <w:t>de facto</w:t>
      </w:r>
      <w:r>
        <w:t xml:space="preserve"> right to delay asset </w:t>
      </w:r>
      <w:proofErr w:type="spellStart"/>
      <w:r>
        <w:t>writedowns</w:t>
      </w:r>
      <w:proofErr w:type="spellEnd"/>
      <w:r>
        <w:t xml:space="preserve"> and conceal other unfavorable information from customers and regulators alike.  </w:t>
      </w:r>
      <w:proofErr w:type="spellStart"/>
      <w:r>
        <w:t>Megabankers</w:t>
      </w:r>
      <w:proofErr w:type="spellEnd"/>
      <w:r>
        <w:t xml:space="preserve"> understan</w:t>
      </w:r>
      <w:r w:rsidR="002652D8">
        <w:t xml:space="preserve">d that </w:t>
      </w:r>
      <w:r w:rsidR="0064285B">
        <w:t>—</w:t>
      </w:r>
      <w:r w:rsidR="002652D8">
        <w:t>as shown in Table 1</w:t>
      </w:r>
      <w:r w:rsidR="0064285B">
        <w:t>—</w:t>
      </w:r>
      <w:r w:rsidR="002652D8">
        <w:t xml:space="preserve"> </w:t>
      </w:r>
      <w:r>
        <w:t>movements in their default probabilities are highly correlated</w:t>
      </w:r>
      <w:r w:rsidR="002652D8">
        <w:t>.  This means that,</w:t>
      </w:r>
      <w:r>
        <w:t xml:space="preserve"> by the time evidence of any one </w:t>
      </w:r>
      <w:r w:rsidR="002652D8">
        <w:t>megabank’s</w:t>
      </w:r>
      <w:r>
        <w:t xml:space="preserve"> insolvency can no longer be suppressed, </w:t>
      </w:r>
      <w:r w:rsidR="002652D8">
        <w:t>its sister</w:t>
      </w:r>
      <w:r>
        <w:t xml:space="preserve"> institutions will be in trouble, too.</w:t>
      </w:r>
    </w:p>
    <w:p w:rsidR="007809A7" w:rsidRDefault="002652D8" w:rsidP="00EC4567">
      <w:pPr>
        <w:spacing w:line="480" w:lineRule="auto"/>
        <w:ind w:firstLine="720"/>
      </w:pPr>
      <w:r>
        <w:t>Understanding the inevitability of informational</w:t>
      </w:r>
      <w:r w:rsidR="00EC4567">
        <w:t xml:space="preserve"> </w:t>
      </w:r>
      <w:r>
        <w:t xml:space="preserve">blockages </w:t>
      </w:r>
      <w:r w:rsidR="00EC4567">
        <w:t xml:space="preserve">transforms the supervision of financial firms operating in an insolvent condition into repeated games of chicken that </w:t>
      </w:r>
      <w:proofErr w:type="spellStart"/>
      <w:r w:rsidR="00EC4567">
        <w:t>megabankers</w:t>
      </w:r>
      <w:proofErr w:type="spellEnd"/>
      <w:r w:rsidR="00EC4567">
        <w:t xml:space="preserve"> expect taxpayers to lose.  R</w:t>
      </w:r>
      <w:r w:rsidR="00003C0B">
        <w:t xml:space="preserve">egulators’ </w:t>
      </w:r>
      <w:r w:rsidR="00EC4567">
        <w:t>ability</w:t>
      </w:r>
      <w:r w:rsidR="00003C0B">
        <w:t xml:space="preserve"> to rescue </w:t>
      </w:r>
      <w:r w:rsidR="00433789">
        <w:t xml:space="preserve">insolvent </w:t>
      </w:r>
      <w:proofErr w:type="spellStart"/>
      <w:r w:rsidR="00003C0B">
        <w:t>megabankers</w:t>
      </w:r>
      <w:proofErr w:type="spellEnd"/>
      <w:r w:rsidR="00003C0B">
        <w:t xml:space="preserve"> and their creditors </w:t>
      </w:r>
      <w:r w:rsidR="00EC4567" w:rsidRPr="00EC4567">
        <w:rPr>
          <w:u w:val="single"/>
        </w:rPr>
        <w:t>ex post</w:t>
      </w:r>
      <w:r w:rsidR="00EC4567">
        <w:t xml:space="preserve"> distorts incentives all around by</w:t>
      </w:r>
      <w:r w:rsidR="00433789">
        <w:t xml:space="preserve"> relieving</w:t>
      </w:r>
      <w:r w:rsidR="00003C0B">
        <w:t xml:space="preserve"> </w:t>
      </w:r>
      <w:r w:rsidR="00EC4567">
        <w:t>bank counterparties from</w:t>
      </w:r>
      <w:r w:rsidR="00003C0B">
        <w:t xml:space="preserve"> suffering </w:t>
      </w:r>
      <w:r w:rsidR="00433789">
        <w:t xml:space="preserve">the </w:t>
      </w:r>
      <w:r w:rsidR="00003C0B">
        <w:t xml:space="preserve">consequences </w:t>
      </w:r>
      <w:r w:rsidR="00433789">
        <w:t xml:space="preserve">of </w:t>
      </w:r>
      <w:r w:rsidR="00EC4567">
        <w:t>managerial</w:t>
      </w:r>
      <w:r w:rsidR="00433789">
        <w:t xml:space="preserve"> recklessness </w:t>
      </w:r>
      <w:r w:rsidR="00003C0B">
        <w:t>in full</w:t>
      </w:r>
      <w:r w:rsidR="007809A7">
        <w:t>.</w:t>
      </w:r>
      <w:r w:rsidR="007016BA">
        <w:t xml:space="preserve">  These </w:t>
      </w:r>
      <w:r w:rsidR="00C714D8">
        <w:t xml:space="preserve">overlapping </w:t>
      </w:r>
      <w:r w:rsidR="00EC4567">
        <w:t>defects</w:t>
      </w:r>
      <w:r w:rsidR="00D32D81">
        <w:t xml:space="preserve"> </w:t>
      </w:r>
      <w:r w:rsidR="007016BA">
        <w:t>in megabank and regulatory culture</w:t>
      </w:r>
      <w:r w:rsidR="00EC4567">
        <w:t>s</w:t>
      </w:r>
      <w:r w:rsidR="007016BA">
        <w:t xml:space="preserve"> support patterns of risk </w:t>
      </w:r>
      <w:r w:rsidR="00EC4567">
        <w:t>shifting</w:t>
      </w:r>
      <w:r w:rsidR="007016BA">
        <w:t xml:space="preserve"> that </w:t>
      </w:r>
      <w:r w:rsidR="00C714D8">
        <w:t>this paper characterizes</w:t>
      </w:r>
      <w:r w:rsidR="007016BA">
        <w:t xml:space="preserve"> </w:t>
      </w:r>
      <w:r w:rsidR="00B3583F">
        <w:t xml:space="preserve">as </w:t>
      </w:r>
      <w:r w:rsidR="007016BA">
        <w:t xml:space="preserve">a series of </w:t>
      </w:r>
      <w:proofErr w:type="spellStart"/>
      <w:r w:rsidR="00AE3EF5">
        <w:t>criminali</w:t>
      </w:r>
      <w:r w:rsidR="00E46848">
        <w:t>zable</w:t>
      </w:r>
      <w:proofErr w:type="spellEnd"/>
      <w:r w:rsidR="00E46848">
        <w:t xml:space="preserve"> </w:t>
      </w:r>
      <w:r w:rsidR="007016BA">
        <w:t>“thefts by safety net.”</w:t>
      </w:r>
    </w:p>
    <w:p w:rsidR="007809A7" w:rsidRDefault="007809A7" w:rsidP="007809A7">
      <w:pPr>
        <w:spacing w:line="480" w:lineRule="auto"/>
        <w:ind w:firstLine="720"/>
      </w:pPr>
    </w:p>
    <w:p w:rsidR="007809A7" w:rsidRDefault="007809A7" w:rsidP="007809A7">
      <w:pPr>
        <w:spacing w:line="480" w:lineRule="auto"/>
        <w:rPr>
          <w:u w:val="single"/>
        </w:rPr>
      </w:pPr>
      <w:r>
        <w:rPr>
          <w:u w:val="single"/>
        </w:rPr>
        <w:t xml:space="preserve">What Should Regulators Allow </w:t>
      </w:r>
      <w:proofErr w:type="spellStart"/>
      <w:r>
        <w:rPr>
          <w:u w:val="single"/>
        </w:rPr>
        <w:t>Megabank</w:t>
      </w:r>
      <w:r w:rsidR="00EC4567">
        <w:rPr>
          <w:u w:val="single"/>
        </w:rPr>
        <w:t>ers</w:t>
      </w:r>
      <w:proofErr w:type="spellEnd"/>
      <w:r>
        <w:rPr>
          <w:u w:val="single"/>
        </w:rPr>
        <w:t xml:space="preserve"> to Get Away With?</w:t>
      </w:r>
    </w:p>
    <w:p w:rsidR="00EC4567" w:rsidRDefault="007809A7" w:rsidP="007809A7">
      <w:pPr>
        <w:spacing w:line="480" w:lineRule="auto"/>
        <w:ind w:firstLine="720"/>
      </w:pPr>
      <w:r>
        <w:lastRenderedPageBreak/>
        <w:t xml:space="preserve">It is convenient to </w:t>
      </w:r>
      <w:r w:rsidR="002652D8">
        <w:t>focus on supervision</w:t>
      </w:r>
      <w:r>
        <w:t xml:space="preserve"> first and to begin our inquiry by identifying similarities and differences in how US and UK regulators </w:t>
      </w:r>
      <w:r w:rsidR="00003C0B">
        <w:t>initially and subsequently</w:t>
      </w:r>
      <w:r>
        <w:t xml:space="preserve"> respond</w:t>
      </w:r>
      <w:r w:rsidR="00003C0B">
        <w:t>ed</w:t>
      </w:r>
      <w:r>
        <w:t xml:space="preserve"> to the most recent crisis.  </w:t>
      </w:r>
      <w:r w:rsidR="00660EE3">
        <w:t>In the US and Europe</w:t>
      </w:r>
      <w:r w:rsidR="008665BD">
        <w:t xml:space="preserve"> today</w:t>
      </w:r>
      <w:r w:rsidR="00155576">
        <w:t xml:space="preserve">, prudential regulators have </w:t>
      </w:r>
      <w:r w:rsidR="00D23007">
        <w:t>blamed</w:t>
      </w:r>
      <w:r w:rsidR="00155576">
        <w:t xml:space="preserve"> the Great Financial Crisis on </w:t>
      </w:r>
      <w:r w:rsidR="00D23007">
        <w:t xml:space="preserve">the </w:t>
      </w:r>
      <w:r>
        <w:t>reckless</w:t>
      </w:r>
      <w:r w:rsidR="00D23007">
        <w:t xml:space="preserve"> pursuit of profit opportunities at</w:t>
      </w:r>
      <w:r w:rsidR="00155576">
        <w:t xml:space="preserve"> </w:t>
      </w:r>
      <w:r w:rsidR="00660EE3">
        <w:t>the world’s</w:t>
      </w:r>
      <w:r w:rsidR="00155576">
        <w:t xml:space="preserve"> </w:t>
      </w:r>
      <w:r w:rsidR="00934A72">
        <w:t>leading banks (</w:t>
      </w:r>
      <w:proofErr w:type="spellStart"/>
      <w:r w:rsidR="00934A72">
        <w:t>Binham</w:t>
      </w:r>
      <w:proofErr w:type="spellEnd"/>
      <w:r w:rsidR="00934A72">
        <w:t xml:space="preserve">, 2015).  </w:t>
      </w:r>
      <w:r w:rsidR="00EC4567">
        <w:t xml:space="preserve">This reckless conduct was deemed blameworthy because it exhibited a blatant disregard for the foreseeable </w:t>
      </w:r>
      <w:r w:rsidR="002652D8">
        <w:t xml:space="preserve">adverse </w:t>
      </w:r>
      <w:r w:rsidR="00EC4567">
        <w:t xml:space="preserve">consequences it could and </w:t>
      </w:r>
      <w:r w:rsidR="002652D8">
        <w:t xml:space="preserve">eventually </w:t>
      </w:r>
      <w:r w:rsidR="00EC4567">
        <w:t xml:space="preserve">did </w:t>
      </w:r>
      <w:r w:rsidR="001B36FC">
        <w:t>visit on others.</w:t>
      </w:r>
    </w:p>
    <w:p w:rsidR="007809A7" w:rsidRDefault="00934A72" w:rsidP="007809A7">
      <w:pPr>
        <w:spacing w:line="480" w:lineRule="auto"/>
        <w:ind w:firstLine="720"/>
      </w:pPr>
      <w:r>
        <w:t xml:space="preserve">We now know that </w:t>
      </w:r>
      <w:r w:rsidR="001B36FC">
        <w:t>the recklessness of many</w:t>
      </w:r>
      <w:r>
        <w:t xml:space="preserve"> ventures were concealed from regulators by layering them through nonbank affiliates</w:t>
      </w:r>
      <w:r w:rsidR="00D32D81">
        <w:t xml:space="preserve"> and</w:t>
      </w:r>
      <w:r>
        <w:t xml:space="preserve"> complicated</w:t>
      </w:r>
      <w:r w:rsidR="00D32D81">
        <w:t xml:space="preserve"> contracting structures</w:t>
      </w:r>
      <w:r w:rsidR="00992B88">
        <w:t xml:space="preserve">.  </w:t>
      </w:r>
      <w:r w:rsidR="00D23007">
        <w:t xml:space="preserve">In the US, the Dodd-Frank Act of 2010 </w:t>
      </w:r>
      <w:r w:rsidR="00BE7C9B">
        <w:t>hopes</w:t>
      </w:r>
      <w:r w:rsidR="00D23007">
        <w:t xml:space="preserve"> to correct this by </w:t>
      </w:r>
      <w:r w:rsidR="00BE7C9B">
        <w:t>using</w:t>
      </w:r>
      <w:r w:rsidR="00D23007">
        <w:t xml:space="preserve"> federal regulators’ rule-m</w:t>
      </w:r>
      <w:r w:rsidR="00610D8B">
        <w:t>aking and supervisory authority</w:t>
      </w:r>
      <w:r w:rsidR="00D23007">
        <w:t xml:space="preserve"> </w:t>
      </w:r>
      <w:r w:rsidR="00BE7C9B">
        <w:t xml:space="preserve">to </w:t>
      </w:r>
      <w:r w:rsidR="00A00AD6">
        <w:t>claw</w:t>
      </w:r>
      <w:r w:rsidR="00D46482">
        <w:t xml:space="preserve"> </w:t>
      </w:r>
      <w:r w:rsidR="00A00AD6">
        <w:t xml:space="preserve">back managerial bonuses at failed banks and to </w:t>
      </w:r>
      <w:r w:rsidR="00BE7C9B">
        <w:t>force</w:t>
      </w:r>
      <w:r w:rsidR="00D23007">
        <w:t xml:space="preserve"> </w:t>
      </w:r>
      <w:r w:rsidR="00D32D81">
        <w:t xml:space="preserve">major </w:t>
      </w:r>
      <w:r w:rsidR="00D23007">
        <w:t>financial firms</w:t>
      </w:r>
      <w:r w:rsidR="00BE7C9B" w:rsidRPr="00BE7C9B">
        <w:t xml:space="preserve"> </w:t>
      </w:r>
      <w:r w:rsidR="00BE7C9B">
        <w:t>to maintain stronger</w:t>
      </w:r>
      <w:r w:rsidR="000213A9">
        <w:t>, more-transparent</w:t>
      </w:r>
      <w:r w:rsidR="00BE7C9B">
        <w:t xml:space="preserve"> and </w:t>
      </w:r>
      <w:r w:rsidR="00D32D81">
        <w:t>more-resolvable</w:t>
      </w:r>
      <w:r w:rsidR="00BE7C9B">
        <w:t xml:space="preserve"> balance sheets</w:t>
      </w:r>
      <w:r w:rsidR="007809A7">
        <w:t>.</w:t>
      </w:r>
    </w:p>
    <w:p w:rsidR="00F5673E" w:rsidRDefault="00610D8B" w:rsidP="007809A7">
      <w:pPr>
        <w:spacing w:line="480" w:lineRule="auto"/>
        <w:ind w:firstLine="720"/>
      </w:pPr>
      <w:r>
        <w:t>But in</w:t>
      </w:r>
      <w:r w:rsidR="00992B88">
        <w:t xml:space="preserve"> the UK, </w:t>
      </w:r>
      <w:r w:rsidR="007809A7">
        <w:t>concerns about banker recklessness</w:t>
      </w:r>
      <w:r w:rsidR="00F46395">
        <w:t xml:space="preserve"> led Parliament and</w:t>
      </w:r>
      <w:r w:rsidR="00992B88">
        <w:t xml:space="preserve"> the Financial Conduct Authority (FCA) </w:t>
      </w:r>
      <w:r w:rsidR="007016BA">
        <w:t xml:space="preserve">to move </w:t>
      </w:r>
      <w:r w:rsidR="001472DF">
        <w:t xml:space="preserve">simultaneously </w:t>
      </w:r>
      <w:r w:rsidR="00D073EC">
        <w:t>in a</w:t>
      </w:r>
      <w:r w:rsidR="00003C0B">
        <w:t xml:space="preserve"> normative</w:t>
      </w:r>
      <w:r w:rsidR="00F46395">
        <w:t xml:space="preserve"> direction</w:t>
      </w:r>
      <w:r w:rsidR="00934A72">
        <w:t xml:space="preserve"> as well</w:t>
      </w:r>
      <w:r w:rsidR="00F46395">
        <w:t xml:space="preserve">.  </w:t>
      </w:r>
      <w:r w:rsidR="00144BAA">
        <w:t xml:space="preserve">UK law first outlawed endgame gambles fueled with </w:t>
      </w:r>
      <w:r w:rsidR="0026368D">
        <w:t>creditors’</w:t>
      </w:r>
      <w:r w:rsidR="00144BAA">
        <w:t xml:space="preserve"> money</w:t>
      </w:r>
      <w:r w:rsidR="00F5673E">
        <w:t xml:space="preserve"> 30 years </w:t>
      </w:r>
      <w:r w:rsidR="00144BAA">
        <w:t>ago</w:t>
      </w:r>
      <w:r w:rsidR="00F5673E">
        <w:t xml:space="preserve"> (see Halliday and Carruthers, 1996; Brown 2010), although the focus was </w:t>
      </w:r>
      <w:r w:rsidR="00D46482">
        <w:t>never</w:t>
      </w:r>
      <w:r w:rsidR="00F5673E">
        <w:t xml:space="preserve"> on banks.  For corporations generally, the Insolvency Act of 1986 define</w:t>
      </w:r>
      <w:r w:rsidR="00144BAA">
        <w:t>d</w:t>
      </w:r>
      <w:r w:rsidR="00F5673E">
        <w:t xml:space="preserve"> crime</w:t>
      </w:r>
      <w:r w:rsidR="00D32D81">
        <w:t>s of “fraudulent” and “wrongful” insolvent trading.</w:t>
      </w:r>
      <w:r w:rsidR="00934A72">
        <w:t xml:space="preserve">  Directors who kne</w:t>
      </w:r>
      <w:r w:rsidR="00F5673E">
        <w:t xml:space="preserve">w </w:t>
      </w:r>
      <w:r w:rsidR="00D32D81">
        <w:t xml:space="preserve">or should have known that </w:t>
      </w:r>
      <w:r w:rsidR="00F5673E">
        <w:t>their zombie firm is insolvent and add to the debts of their company anyway can be made personally liable for company debts and disqualified from serving as a director of other UK corporations for a number of years.  The purpose of the law is to encourage directors to enter into a creditor-liquidator agreement that would prioritize the interests of creditors and the creditors’ guarantors.</w:t>
      </w:r>
    </w:p>
    <w:p w:rsidR="00F77BE4" w:rsidRDefault="00F46395" w:rsidP="007809A7">
      <w:pPr>
        <w:spacing w:line="480" w:lineRule="auto"/>
        <w:ind w:firstLine="720"/>
      </w:pPr>
      <w:r>
        <w:t xml:space="preserve">The Financial Services (Banking Reform) Act of 2013 </w:t>
      </w:r>
      <w:r w:rsidR="00F5673E">
        <w:t>similarly defined</w:t>
      </w:r>
      <w:r>
        <w:t xml:space="preserve"> a new criminal offense</w:t>
      </w:r>
      <w:r w:rsidR="00F5673E">
        <w:t>, that</w:t>
      </w:r>
      <w:r>
        <w:t xml:space="preserve"> of </w:t>
      </w:r>
      <w:r w:rsidR="001B36FC">
        <w:t>“</w:t>
      </w:r>
      <w:r>
        <w:t>reckless misconduct leadi</w:t>
      </w:r>
      <w:r w:rsidR="00610D8B">
        <w:t>ng to the i</w:t>
      </w:r>
      <w:r>
        <w:t xml:space="preserve">nsolvency of a </w:t>
      </w:r>
      <w:r w:rsidRPr="0056267E">
        <w:rPr>
          <w:i/>
        </w:rPr>
        <w:t>bank</w:t>
      </w:r>
      <w:r w:rsidR="006F7AA5">
        <w:t>,</w:t>
      </w:r>
      <w:r w:rsidR="001B36FC">
        <w:t>”</w:t>
      </w:r>
      <w:r>
        <w:t xml:space="preserve"> and </w:t>
      </w:r>
      <w:r w:rsidR="006F7AA5">
        <w:t xml:space="preserve">set </w:t>
      </w:r>
      <w:r>
        <w:t xml:space="preserve">a </w:t>
      </w:r>
      <w:r w:rsidR="00B34B7A">
        <w:t xml:space="preserve">relaxed </w:t>
      </w:r>
      <w:r>
        <w:lastRenderedPageBreak/>
        <w:t xml:space="preserve">burden of proof </w:t>
      </w:r>
      <w:r w:rsidR="00610D8B">
        <w:t xml:space="preserve">for this crime </w:t>
      </w:r>
      <w:r>
        <w:t xml:space="preserve">that would have required senior bankers to prove that they took every reasonable step to prevent regulatory breaches in their areas of responsibility.  </w:t>
      </w:r>
      <w:r w:rsidR="00DE0C52">
        <w:t>Although the relaxed burden of proof was shelved before it could take effect, m</w:t>
      </w:r>
      <w:r w:rsidR="00B34B7A">
        <w:t xml:space="preserve">embers of the Senior Management Regime at a bank that </w:t>
      </w:r>
      <w:r w:rsidR="005D2EDD">
        <w:t xml:space="preserve">has been </w:t>
      </w:r>
      <w:r w:rsidR="00DE0C52">
        <w:t>declared</w:t>
      </w:r>
      <w:r w:rsidR="00B34B7A">
        <w:t xml:space="preserve"> insolvent can still be found guilty of this offen</w:t>
      </w:r>
      <w:r w:rsidR="00DE0C52">
        <w:t xml:space="preserve">se </w:t>
      </w:r>
      <w:r w:rsidR="00B34B7A" w:rsidRPr="00DE0C52">
        <w:rPr>
          <w:i/>
        </w:rPr>
        <w:t>if</w:t>
      </w:r>
      <w:r w:rsidR="00B34B7A">
        <w:t xml:space="preserve"> regulators can prove that the defendant was responsible for a material breach of FCA rules.  </w:t>
      </w:r>
      <w:r w:rsidR="001B36FC">
        <w:t xml:space="preserve">The idea is that </w:t>
      </w:r>
      <w:r w:rsidR="002652D8">
        <w:t>–for high-paid professional managers—</w:t>
      </w:r>
      <w:r w:rsidR="001B36FC">
        <w:t>a</w:t>
      </w:r>
      <w:r w:rsidR="002652D8">
        <w:t xml:space="preserve"> material</w:t>
      </w:r>
      <w:r w:rsidR="001B36FC">
        <w:t xml:space="preserve"> breach </w:t>
      </w:r>
      <w:r w:rsidR="0056267E">
        <w:t>should carry</w:t>
      </w:r>
      <w:r w:rsidR="001B36FC">
        <w:t xml:space="preserve"> with it knowledge of the breach’s adverse consequences for society at large.  </w:t>
      </w:r>
      <w:r w:rsidR="00B34B7A">
        <w:t>The penalty for the crime is a substantial fine</w:t>
      </w:r>
      <w:r>
        <w:t xml:space="preserve"> and up to 7 years in prison.  </w:t>
      </w:r>
    </w:p>
    <w:p w:rsidR="00003C0B" w:rsidRDefault="00F46395" w:rsidP="007809A7">
      <w:pPr>
        <w:spacing w:line="480" w:lineRule="auto"/>
        <w:ind w:firstLine="720"/>
      </w:pPr>
      <w:r>
        <w:t>At the same time, the FCA started</w:t>
      </w:r>
      <w:r w:rsidR="00992B88">
        <w:t xml:space="preserve"> a thorough review (since abandoned) of post-cr</w:t>
      </w:r>
      <w:r w:rsidR="00660EE3">
        <w:t xml:space="preserve">isis changes in banking culture, pay, and practices, </w:t>
      </w:r>
      <w:r w:rsidR="00992B88">
        <w:t xml:space="preserve">looking to impose a </w:t>
      </w:r>
      <w:r w:rsidR="00D23007">
        <w:t>more s</w:t>
      </w:r>
      <w:r w:rsidR="00660EE3">
        <w:t>ocially responsible</w:t>
      </w:r>
      <w:r w:rsidR="008D1669">
        <w:t xml:space="preserve"> </w:t>
      </w:r>
      <w:r w:rsidR="00610D8B">
        <w:t>ethos on bankers</w:t>
      </w:r>
      <w:r w:rsidR="00660EE3">
        <w:t xml:space="preserve">.  Presumably, </w:t>
      </w:r>
      <w:r w:rsidR="00610D8B">
        <w:t>the new</w:t>
      </w:r>
      <w:r w:rsidR="00D23007">
        <w:t xml:space="preserve"> </w:t>
      </w:r>
      <w:r w:rsidR="00660EE3">
        <w:t xml:space="preserve">ethos would </w:t>
      </w:r>
      <w:r w:rsidR="00D23007">
        <w:t xml:space="preserve">have </w:t>
      </w:r>
      <w:r w:rsidR="00610D8B">
        <w:t xml:space="preserve">improved corporate governance </w:t>
      </w:r>
      <w:r w:rsidR="003C799E">
        <w:t xml:space="preserve">in banks </w:t>
      </w:r>
      <w:r w:rsidR="00610D8B">
        <w:t xml:space="preserve">by </w:t>
      </w:r>
      <w:r>
        <w:t>expanding</w:t>
      </w:r>
      <w:r w:rsidR="00660EE3">
        <w:t xml:space="preserve"> the roles </w:t>
      </w:r>
      <w:r w:rsidR="00DE46E4">
        <w:t xml:space="preserve">of </w:t>
      </w:r>
      <w:r w:rsidR="004407BE">
        <w:t xml:space="preserve">officers in charge </w:t>
      </w:r>
      <w:r w:rsidR="00660EE3">
        <w:t xml:space="preserve">of risk </w:t>
      </w:r>
      <w:r w:rsidR="004407BE">
        <w:t xml:space="preserve">management </w:t>
      </w:r>
      <w:r w:rsidR="00660EE3">
        <w:t xml:space="preserve">and </w:t>
      </w:r>
      <w:r w:rsidR="004407BE">
        <w:t xml:space="preserve">regulatory </w:t>
      </w:r>
      <w:r w:rsidR="00660EE3">
        <w:t xml:space="preserve">compliance </w:t>
      </w:r>
      <w:r w:rsidR="00155576">
        <w:t xml:space="preserve">and </w:t>
      </w:r>
      <w:r w:rsidR="00660EE3">
        <w:t>subject</w:t>
      </w:r>
      <w:r w:rsidR="00610D8B">
        <w:t>ing</w:t>
      </w:r>
      <w:r w:rsidR="004407BE">
        <w:t xml:space="preserve"> them to stiff</w:t>
      </w:r>
      <w:r w:rsidR="00660EE3">
        <w:t xml:space="preserve"> penalties for </w:t>
      </w:r>
      <w:r w:rsidR="0064285B">
        <w:t>endangering</w:t>
      </w:r>
      <w:r w:rsidR="00660EE3">
        <w:t xml:space="preserve"> behavior</w:t>
      </w:r>
      <w:r w:rsidR="0064285B">
        <w:t xml:space="preserve"> even in banks that were nor formally declared insolvent</w:t>
      </w:r>
      <w:r w:rsidR="00003C0B">
        <w:t>.</w:t>
      </w:r>
    </w:p>
    <w:p w:rsidR="007809A7" w:rsidRDefault="00D23007" w:rsidP="00003C0B">
      <w:pPr>
        <w:spacing w:line="480" w:lineRule="auto"/>
        <w:ind w:firstLine="720"/>
      </w:pPr>
      <w:r>
        <w:t>In both countries, megabank</w:t>
      </w:r>
      <w:r w:rsidR="008665BD">
        <w:t xml:space="preserve"> lobbyists </w:t>
      </w:r>
      <w:r w:rsidR="00992B88">
        <w:t>pushed</w:t>
      </w:r>
      <w:r w:rsidR="00B04248">
        <w:t xml:space="preserve"> back </w:t>
      </w:r>
      <w:r w:rsidR="00155576">
        <w:t xml:space="preserve">with </w:t>
      </w:r>
      <w:r w:rsidR="00D44D23">
        <w:t>self-serving</w:t>
      </w:r>
      <w:r w:rsidR="00155576">
        <w:t xml:space="preserve"> narrative</w:t>
      </w:r>
      <w:r w:rsidR="00F46395">
        <w:t>s</w:t>
      </w:r>
      <w:r w:rsidR="00D44D23">
        <w:t xml:space="preserve"> that </w:t>
      </w:r>
      <w:r w:rsidR="00F46395">
        <w:t>characterize</w:t>
      </w:r>
      <w:r w:rsidR="00610D8B">
        <w:t>d</w:t>
      </w:r>
      <w:r>
        <w:t xml:space="preserve"> post-crisis rule making as over-regulation and </w:t>
      </w:r>
      <w:r w:rsidR="00F46395">
        <w:t>claim</w:t>
      </w:r>
      <w:r w:rsidR="00610D8B">
        <w:t>ed</w:t>
      </w:r>
      <w:r w:rsidR="00F46395">
        <w:t xml:space="preserve"> considerable</w:t>
      </w:r>
      <w:r>
        <w:t xml:space="preserve"> social value </w:t>
      </w:r>
      <w:r w:rsidR="00F46395">
        <w:t>for</w:t>
      </w:r>
      <w:r w:rsidR="00D44D23">
        <w:t xml:space="preserve"> </w:t>
      </w:r>
      <w:r w:rsidR="003C799E">
        <w:t>minor</w:t>
      </w:r>
      <w:r w:rsidR="00155576">
        <w:t xml:space="preserve"> changes in </w:t>
      </w:r>
      <w:r w:rsidR="00610D8B">
        <w:t xml:space="preserve">corporate governance and </w:t>
      </w:r>
      <w:r w:rsidR="00155576">
        <w:t>risk management practice</w:t>
      </w:r>
      <w:r w:rsidR="00992B88">
        <w:t>s that</w:t>
      </w:r>
      <w:r w:rsidR="00155576">
        <w:t xml:space="preserve"> the industry has </w:t>
      </w:r>
      <w:r w:rsidR="00610D8B">
        <w:t>seen fit to adopt</w:t>
      </w:r>
      <w:r w:rsidR="00155576">
        <w:t xml:space="preserve"> on its own (</w:t>
      </w:r>
      <w:r w:rsidR="00C714D8">
        <w:t xml:space="preserve">e.g., </w:t>
      </w:r>
      <w:r w:rsidR="00155576">
        <w:t>Waxman, 2016)</w:t>
      </w:r>
      <w:r w:rsidR="008D1669">
        <w:t xml:space="preserve">.  </w:t>
      </w:r>
      <w:r w:rsidR="00C714D8">
        <w:t>The industry</w:t>
      </w:r>
      <w:r w:rsidR="00003C0B">
        <w:t xml:space="preserve"> narrative characterizes </w:t>
      </w:r>
      <w:r w:rsidR="007809A7">
        <w:t xml:space="preserve">government efforts to improve post-crisis standards of banking conduct –not in ethical terms—but as vindictive “bank bashing.”  </w:t>
      </w:r>
      <w:r w:rsidR="00003C0B">
        <w:t xml:space="preserve">Everyone agrees that the bursting of twin bubbles in housing prices and securitization activity triggered sharp declines in asset prices that resulted in the Great Financial Crisis.  But in the industry narrative, supervisory weaknesses exploited by a few bad apples–not an industrywide exploitation of </w:t>
      </w:r>
      <w:r w:rsidR="00D46482">
        <w:t>dangerous</w:t>
      </w:r>
      <w:r w:rsidR="00003C0B">
        <w:t xml:space="preserve"> regulatory loopholes—generated these </w:t>
      </w:r>
      <w:r w:rsidR="00003C0B">
        <w:lastRenderedPageBreak/>
        <w:t xml:space="preserve">bubbles.  </w:t>
      </w:r>
      <w:proofErr w:type="spellStart"/>
      <w:r w:rsidR="007809A7">
        <w:t>Megabankers</w:t>
      </w:r>
      <w:proofErr w:type="spellEnd"/>
      <w:r w:rsidR="007809A7">
        <w:t xml:space="preserve"> </w:t>
      </w:r>
      <w:r w:rsidR="0056267E">
        <w:t>frame</w:t>
      </w:r>
      <w:r w:rsidR="007809A7">
        <w:t xml:space="preserve"> proposed corporate-governance reforms </w:t>
      </w:r>
      <w:r w:rsidR="00003C0B">
        <w:t>less</w:t>
      </w:r>
      <w:r w:rsidR="007809A7">
        <w:t xml:space="preserve"> as a conscientious effort by government officials to reduce </w:t>
      </w:r>
      <w:r w:rsidR="003C799E">
        <w:t xml:space="preserve">both </w:t>
      </w:r>
      <w:r w:rsidR="007809A7">
        <w:t xml:space="preserve">the </w:t>
      </w:r>
      <w:r w:rsidR="003C799E">
        <w:t>frequency of</w:t>
      </w:r>
      <w:r w:rsidR="00003C0B">
        <w:t xml:space="preserve"> future crises</w:t>
      </w:r>
      <w:r w:rsidR="003C799E">
        <w:t xml:space="preserve"> and the harm they </w:t>
      </w:r>
      <w:r w:rsidR="002652D8">
        <w:t>visit on others</w:t>
      </w:r>
      <w:r w:rsidR="00003C0B">
        <w:t xml:space="preserve">, and more </w:t>
      </w:r>
      <w:r w:rsidR="007809A7">
        <w:t xml:space="preserve">as a </w:t>
      </w:r>
      <w:proofErr w:type="spellStart"/>
      <w:r w:rsidR="007809A7">
        <w:t>weaselly</w:t>
      </w:r>
      <w:proofErr w:type="spellEnd"/>
      <w:r w:rsidR="007809A7">
        <w:t xml:space="preserve"> attempt to exculpate the government sector from blame that it deserves for not perceiving in timely</w:t>
      </w:r>
      <w:r w:rsidR="00433789">
        <w:t xml:space="preserve"> fashion a pre-crisis breakdown</w:t>
      </w:r>
      <w:r w:rsidR="007809A7">
        <w:t xml:space="preserve"> in its efforts to contain potentially ruinous forms of risk-taking, especially in innovative mortgages, securitization</w:t>
      </w:r>
      <w:r w:rsidR="00003C0B">
        <w:t xml:space="preserve"> structures</w:t>
      </w:r>
      <w:r w:rsidR="007809A7">
        <w:t xml:space="preserve"> and </w:t>
      </w:r>
      <w:r w:rsidR="003C799E">
        <w:t>various</w:t>
      </w:r>
      <w:r w:rsidR="007809A7">
        <w:t xml:space="preserve"> derivatives markets.  </w:t>
      </w:r>
    </w:p>
    <w:p w:rsidR="007016BA" w:rsidRDefault="00610D8B" w:rsidP="008D1669">
      <w:pPr>
        <w:spacing w:line="480" w:lineRule="auto"/>
        <w:ind w:firstLine="720"/>
      </w:pPr>
      <w:r>
        <w:t xml:space="preserve">This recap of </w:t>
      </w:r>
      <w:proofErr w:type="spellStart"/>
      <w:r>
        <w:t>postcrisis</w:t>
      </w:r>
      <w:proofErr w:type="spellEnd"/>
      <w:r>
        <w:t xml:space="preserve"> reform </w:t>
      </w:r>
      <w:r w:rsidR="00936964">
        <w:t xml:space="preserve">and industry resistance </w:t>
      </w:r>
      <w:r>
        <w:t>suggests that</w:t>
      </w:r>
      <w:r w:rsidR="00660EE3">
        <w:t xml:space="preserve"> modern bankers and regulators</w:t>
      </w:r>
      <w:r w:rsidR="00992B88">
        <w:t xml:space="preserve"> are</w:t>
      </w:r>
      <w:r w:rsidR="008D1669">
        <w:t xml:space="preserve"> </w:t>
      </w:r>
      <w:r w:rsidR="00D44D23">
        <w:t xml:space="preserve">locked in </w:t>
      </w:r>
      <w:r w:rsidR="00003C0B">
        <w:t>a</w:t>
      </w:r>
      <w:r w:rsidR="00D23007">
        <w:t xml:space="preserve"> </w:t>
      </w:r>
      <w:r w:rsidR="007016BA">
        <w:t>cat-and-mouse</w:t>
      </w:r>
      <w:r w:rsidR="00F46395">
        <w:t xml:space="preserve"> </w:t>
      </w:r>
      <w:r w:rsidR="00D23007">
        <w:t xml:space="preserve">game in which they </w:t>
      </w:r>
      <w:r w:rsidR="00003C0B">
        <w:t xml:space="preserve">use their very different resources in an unequal </w:t>
      </w:r>
      <w:r w:rsidR="00D23007">
        <w:t xml:space="preserve">struggle to bend </w:t>
      </w:r>
      <w:r w:rsidR="007016BA">
        <w:t>the opponent</w:t>
      </w:r>
      <w:r w:rsidR="00D23007">
        <w:t xml:space="preserve"> to their will</w:t>
      </w:r>
      <w:r w:rsidR="00D44D23">
        <w:t xml:space="preserve">.  </w:t>
      </w:r>
      <w:r w:rsidR="00D32D81">
        <w:t>In this game, megabank cats</w:t>
      </w:r>
      <w:r w:rsidR="007016BA">
        <w:t xml:space="preserve"> do not want to eat the mouse.  They want to get subsidies to tail risk that the underpowered mouse is </w:t>
      </w:r>
      <w:r w:rsidR="007016BA" w:rsidRPr="00722187">
        <w:rPr>
          <w:i/>
        </w:rPr>
        <w:t>supposed</w:t>
      </w:r>
      <w:r w:rsidR="007016BA">
        <w:t xml:space="preserve"> to be guarding.</w:t>
      </w:r>
    </w:p>
    <w:p w:rsidR="00610D8B" w:rsidRDefault="007016BA" w:rsidP="008D1669">
      <w:pPr>
        <w:spacing w:line="480" w:lineRule="auto"/>
        <w:ind w:firstLine="720"/>
      </w:pPr>
      <w:r>
        <w:t>T</w:t>
      </w:r>
      <w:r w:rsidR="00936964">
        <w:t xml:space="preserve">he intensity of this </w:t>
      </w:r>
      <w:r w:rsidR="00D44D23">
        <w:t xml:space="preserve">struggle leaves both sides </w:t>
      </w:r>
      <w:r w:rsidR="00003C0B">
        <w:t xml:space="preserve">not </w:t>
      </w:r>
      <w:r w:rsidR="00433789">
        <w:t>merely</w:t>
      </w:r>
      <w:r w:rsidR="00003C0B">
        <w:t xml:space="preserve"> un</w:t>
      </w:r>
      <w:r w:rsidR="00D44D23">
        <w:t>interested</w:t>
      </w:r>
      <w:r w:rsidR="008D1669">
        <w:t xml:space="preserve"> in </w:t>
      </w:r>
      <w:r w:rsidR="00D46482">
        <w:t>moral</w:t>
      </w:r>
      <w:r w:rsidR="008D1669">
        <w:t xml:space="preserve"> </w:t>
      </w:r>
      <w:r w:rsidR="00D23007">
        <w:t>principles</w:t>
      </w:r>
      <w:r w:rsidR="00433789">
        <w:t>, but</w:t>
      </w:r>
      <w:r w:rsidR="00003C0B">
        <w:t xml:space="preserve"> </w:t>
      </w:r>
      <w:r w:rsidR="00936964">
        <w:t xml:space="preserve">as a form of “motivated ignorance,” </w:t>
      </w:r>
      <w:r w:rsidR="00D23007">
        <w:t xml:space="preserve">unable to </w:t>
      </w:r>
      <w:r w:rsidR="00660EE3">
        <w:t>acknowledge</w:t>
      </w:r>
      <w:r w:rsidR="00992B88">
        <w:t xml:space="preserve"> that government safety nets </w:t>
      </w:r>
      <w:r w:rsidR="00936964">
        <w:t xml:space="preserve">have </w:t>
      </w:r>
      <w:r w:rsidR="00992B88">
        <w:t>turn</w:t>
      </w:r>
      <w:r w:rsidR="00936964">
        <w:t>ed</w:t>
      </w:r>
      <w:r w:rsidR="00992B88">
        <w:t xml:space="preserve"> taxpayers into </w:t>
      </w:r>
      <w:r w:rsidR="00660EE3">
        <w:t>unfairly</w:t>
      </w:r>
      <w:r w:rsidR="00D073EC">
        <w:t xml:space="preserve"> compensated equity investors of</w:t>
      </w:r>
      <w:r w:rsidR="00992B88">
        <w:t xml:space="preserve"> last resort.  </w:t>
      </w:r>
      <w:r w:rsidR="00433789">
        <w:t>D</w:t>
      </w:r>
      <w:r w:rsidR="00D23007">
        <w:t xml:space="preserve">espite </w:t>
      </w:r>
      <w:r w:rsidR="00936964">
        <w:t xml:space="preserve">the </w:t>
      </w:r>
      <w:r w:rsidR="00003C0B">
        <w:t>reckless</w:t>
      </w:r>
      <w:r w:rsidR="00936964">
        <w:t xml:space="preserve"> way that </w:t>
      </w:r>
      <w:r w:rsidR="00A00AD6">
        <w:t>man</w:t>
      </w:r>
      <w:r w:rsidR="00AB58E7">
        <w:t>y</w:t>
      </w:r>
      <w:r w:rsidR="00A00AD6">
        <w:t xml:space="preserve"> </w:t>
      </w:r>
      <w:r w:rsidR="00003C0B">
        <w:t xml:space="preserve">bank managers </w:t>
      </w:r>
      <w:r w:rsidR="00936964">
        <w:t>conducted themselves</w:t>
      </w:r>
      <w:r w:rsidR="00D23007">
        <w:t xml:space="preserve"> in the previous boom, </w:t>
      </w:r>
      <w:r w:rsidR="00433789">
        <w:t>as the dust from the crisi</w:t>
      </w:r>
      <w:r w:rsidR="00003C0B">
        <w:t xml:space="preserve">s has settled, </w:t>
      </w:r>
      <w:r w:rsidR="00A00AD6">
        <w:t>industry lobbyists have</w:t>
      </w:r>
      <w:r w:rsidR="00003C0B">
        <w:t xml:space="preserve"> bullied </w:t>
      </w:r>
      <w:r w:rsidR="00D23007">
        <w:t xml:space="preserve">political leaders </w:t>
      </w:r>
      <w:r w:rsidR="00003C0B">
        <w:t xml:space="preserve">in both countries </w:t>
      </w:r>
      <w:r w:rsidR="00936964">
        <w:t>into letting</w:t>
      </w:r>
      <w:r w:rsidR="00D23007">
        <w:t xml:space="preserve"> the industry set</w:t>
      </w:r>
      <w:r w:rsidR="00992B88">
        <w:t xml:space="preserve"> </w:t>
      </w:r>
      <w:r w:rsidR="00D44D23">
        <w:t xml:space="preserve">the </w:t>
      </w:r>
      <w:r w:rsidR="003C799E">
        <w:t xml:space="preserve">dialectic’s </w:t>
      </w:r>
      <w:r w:rsidR="00D44D23">
        <w:t xml:space="preserve">next </w:t>
      </w:r>
      <w:r w:rsidR="00936964">
        <w:t>round</w:t>
      </w:r>
      <w:r w:rsidR="00D44D23">
        <w:t xml:space="preserve"> of </w:t>
      </w:r>
      <w:r w:rsidR="00992B88">
        <w:t xml:space="preserve">ethical codes and </w:t>
      </w:r>
      <w:r w:rsidR="00936964">
        <w:t>approved</w:t>
      </w:r>
      <w:r w:rsidR="00992B88">
        <w:t xml:space="preserve"> practices more or less </w:t>
      </w:r>
      <w:r w:rsidR="00F46395">
        <w:t xml:space="preserve">by and </w:t>
      </w:r>
      <w:r w:rsidR="00992B88">
        <w:t xml:space="preserve">for </w:t>
      </w:r>
      <w:r w:rsidR="00F46395">
        <w:t>itself</w:t>
      </w:r>
      <w:r w:rsidR="008D1669">
        <w:t xml:space="preserve">.  </w:t>
      </w:r>
    </w:p>
    <w:p w:rsidR="00155576" w:rsidRDefault="00610D8B" w:rsidP="008D1669">
      <w:pPr>
        <w:spacing w:line="480" w:lineRule="auto"/>
        <w:ind w:firstLine="720"/>
      </w:pPr>
      <w:r>
        <w:t xml:space="preserve">To protect future taxpayers, this paper argues that government officials and megabank managers </w:t>
      </w:r>
      <w:r w:rsidR="003C799E">
        <w:t xml:space="preserve">each </w:t>
      </w:r>
      <w:r w:rsidR="00936964">
        <w:t xml:space="preserve">have an obligation to understand how safety net guarantees </w:t>
      </w:r>
      <w:r w:rsidR="00A00AD6">
        <w:t xml:space="preserve">and gaps in supervision </w:t>
      </w:r>
      <w:r w:rsidR="00003C0B">
        <w:t>have been</w:t>
      </w:r>
      <w:r w:rsidR="00936964">
        <w:t xml:space="preserve"> abused </w:t>
      </w:r>
      <w:r w:rsidR="00003C0B">
        <w:t xml:space="preserve">in the past </w:t>
      </w:r>
      <w:r w:rsidR="00936964">
        <w:t xml:space="preserve">and to guard against </w:t>
      </w:r>
      <w:r w:rsidR="00003C0B">
        <w:t>future</w:t>
      </w:r>
      <w:r w:rsidR="00936964">
        <w:t xml:space="preserve"> abuse.  </w:t>
      </w:r>
      <w:r w:rsidR="003C799E">
        <w:t>This means that they “should”</w:t>
      </w:r>
      <w:r>
        <w:t xml:space="preserve"> work together </w:t>
      </w:r>
      <w:r w:rsidR="00D32D81">
        <w:t xml:space="preserve">in some kind of task force </w:t>
      </w:r>
      <w:r>
        <w:t xml:space="preserve">to craft </w:t>
      </w:r>
      <w:r w:rsidR="003C799E">
        <w:t>interlocking</w:t>
      </w:r>
      <w:r>
        <w:t xml:space="preserve"> m</w:t>
      </w:r>
      <w:r w:rsidR="00936964">
        <w:t xml:space="preserve">oral standards for </w:t>
      </w:r>
      <w:r w:rsidR="003C799E">
        <w:t>both sectors</w:t>
      </w:r>
      <w:r w:rsidR="00936964">
        <w:t>.  But current</w:t>
      </w:r>
      <w:r>
        <w:t xml:space="preserve"> </w:t>
      </w:r>
      <w:r w:rsidR="001D6848">
        <w:t xml:space="preserve">corporate law </w:t>
      </w:r>
      <w:r w:rsidR="00003C0B">
        <w:t xml:space="preserve">and its </w:t>
      </w:r>
      <w:r w:rsidR="00D073EC">
        <w:t xml:space="preserve">outmoded </w:t>
      </w:r>
      <w:r w:rsidR="00433789">
        <w:t>embrace</w:t>
      </w:r>
      <w:r w:rsidR="00003C0B">
        <w:t xml:space="preserve"> of stockholder primacy gives </w:t>
      </w:r>
      <w:r w:rsidR="00003C0B">
        <w:lastRenderedPageBreak/>
        <w:t xml:space="preserve">neither side </w:t>
      </w:r>
      <w:r w:rsidR="00936964">
        <w:t>an</w:t>
      </w:r>
      <w:r>
        <w:t xml:space="preserve"> incentive to do this.  </w:t>
      </w:r>
      <w:r w:rsidR="00936964">
        <w:t>Nor does it offer a</w:t>
      </w:r>
      <w:r w:rsidR="00003C0B">
        <w:t>n</w:t>
      </w:r>
      <w:r w:rsidR="00936964">
        <w:t xml:space="preserve"> </w:t>
      </w:r>
      <w:r w:rsidR="00003C0B">
        <w:t xml:space="preserve">adequate </w:t>
      </w:r>
      <w:r w:rsidR="00936964">
        <w:t xml:space="preserve">conceptual platform for </w:t>
      </w:r>
      <w:r w:rsidR="00003C0B">
        <w:t>reframing these</w:t>
      </w:r>
      <w:r w:rsidR="00936964">
        <w:t xml:space="preserve"> standards.  </w:t>
      </w:r>
      <w:r w:rsidR="00003C0B">
        <w:t xml:space="preserve">This paper explains that in too-big-to-fail institutions, stockholders and taxpayers have morally </w:t>
      </w:r>
      <w:r w:rsidR="00433789">
        <w:t>equivalent</w:t>
      </w:r>
      <w:r w:rsidR="00003C0B">
        <w:t xml:space="preserve"> </w:t>
      </w:r>
      <w:r w:rsidR="00A941F0">
        <w:t xml:space="preserve">equity </w:t>
      </w:r>
      <w:r w:rsidR="00003C0B">
        <w:t xml:space="preserve">claims on current and future earnings.  </w:t>
      </w:r>
      <w:r w:rsidR="001D6848">
        <w:t xml:space="preserve">To establish </w:t>
      </w:r>
      <w:r w:rsidR="00936964">
        <w:t>the</w:t>
      </w:r>
      <w:r w:rsidR="001D6848">
        <w:t xml:space="preserve"> incentives</w:t>
      </w:r>
      <w:r w:rsidR="00936964">
        <w:t xml:space="preserve"> and platforms needed</w:t>
      </w:r>
      <w:r w:rsidR="00521354">
        <w:t xml:space="preserve"> to balance these claims</w:t>
      </w:r>
      <w:r w:rsidR="001D6848">
        <w:t xml:space="preserve">, company law </w:t>
      </w:r>
      <w:r w:rsidR="00936964">
        <w:t>must be amended</w:t>
      </w:r>
      <w:r w:rsidR="001D6848">
        <w:t xml:space="preserve"> to recognize </w:t>
      </w:r>
      <w:r w:rsidR="00521354">
        <w:t xml:space="preserve">that the safety </w:t>
      </w:r>
      <w:r w:rsidR="00433789">
        <w:t xml:space="preserve">net </w:t>
      </w:r>
      <w:r w:rsidR="00521354">
        <w:t>makes taxpayers</w:t>
      </w:r>
      <w:r w:rsidR="001D6848">
        <w:t xml:space="preserve"> equity investors of last resort</w:t>
      </w:r>
      <w:r w:rsidR="00521354">
        <w:t xml:space="preserve">.  </w:t>
      </w:r>
      <w:r w:rsidR="00433789">
        <w:t>The last part of the paper sketches</w:t>
      </w:r>
      <w:r w:rsidR="001D6848">
        <w:t xml:space="preserve"> </w:t>
      </w:r>
      <w:r w:rsidR="00936964">
        <w:t xml:space="preserve">a framework </w:t>
      </w:r>
      <w:r w:rsidR="003C799E">
        <w:t>for establishing enforceable</w:t>
      </w:r>
      <w:r w:rsidR="00936964">
        <w:t xml:space="preserve"> fiduciary obligations from bank managers to taxpayers </w:t>
      </w:r>
      <w:r w:rsidR="007016BA">
        <w:t>whose express purpose would be to see</w:t>
      </w:r>
      <w:r w:rsidR="00433789">
        <w:t xml:space="preserve"> that taxpayers’ </w:t>
      </w:r>
      <w:r w:rsidR="00D32D81">
        <w:t xml:space="preserve">equity </w:t>
      </w:r>
      <w:r w:rsidR="003C799E">
        <w:t>s</w:t>
      </w:r>
      <w:r w:rsidR="00433789">
        <w:t xml:space="preserve">take is </w:t>
      </w:r>
      <w:r w:rsidR="00D073EC">
        <w:t>safeguarded from abuse by measuring it</w:t>
      </w:r>
      <w:r w:rsidR="00433789">
        <w:t xml:space="preserve"> appropriately</w:t>
      </w:r>
      <w:r w:rsidR="00D073EC">
        <w:t xml:space="preserve">, servicing it fairly, and treating faithless behavior by individual </w:t>
      </w:r>
      <w:proofErr w:type="spellStart"/>
      <w:r w:rsidR="00D073EC">
        <w:t>megabankers</w:t>
      </w:r>
      <w:proofErr w:type="spellEnd"/>
      <w:r w:rsidR="00D073EC">
        <w:t xml:space="preserve"> as a serious crime</w:t>
      </w:r>
      <w:r w:rsidR="001D6848">
        <w:t>.</w:t>
      </w:r>
    </w:p>
    <w:p w:rsidR="00D44D23" w:rsidRDefault="00433789" w:rsidP="00433789">
      <w:pPr>
        <w:tabs>
          <w:tab w:val="left" w:pos="8475"/>
        </w:tabs>
        <w:spacing w:line="480" w:lineRule="auto"/>
        <w:ind w:firstLine="720"/>
      </w:pPr>
      <w:r>
        <w:tab/>
      </w:r>
    </w:p>
    <w:p w:rsidR="00D44D23" w:rsidRPr="00D44D23" w:rsidRDefault="00D23007" w:rsidP="00D44D23">
      <w:pPr>
        <w:spacing w:line="480" w:lineRule="auto"/>
      </w:pPr>
      <w:r>
        <w:rPr>
          <w:u w:val="single"/>
        </w:rPr>
        <w:t xml:space="preserve">Importance of </w:t>
      </w:r>
      <w:r w:rsidR="00D44D23">
        <w:rPr>
          <w:u w:val="single"/>
        </w:rPr>
        <w:t>The Dunning-Kruger Effect</w:t>
      </w:r>
    </w:p>
    <w:p w:rsidR="008D1669" w:rsidRDefault="00D32D81" w:rsidP="008D1669">
      <w:pPr>
        <w:spacing w:line="480" w:lineRule="auto"/>
        <w:ind w:firstLine="720"/>
      </w:pPr>
      <w:r>
        <w:t>Banker aggressiveness and f</w:t>
      </w:r>
      <w:r w:rsidR="00D23007">
        <w:t xml:space="preserve">inancial crises are </w:t>
      </w:r>
      <w:r w:rsidR="00936964">
        <w:t>in part</w:t>
      </w:r>
      <w:r w:rsidR="00521354">
        <w:t xml:space="preserve"> a people problem</w:t>
      </w:r>
      <w:r>
        <w:t xml:space="preserve"> (</w:t>
      </w:r>
      <w:proofErr w:type="spellStart"/>
      <w:r>
        <w:t>Hagendorff</w:t>
      </w:r>
      <w:proofErr w:type="spellEnd"/>
      <w:r>
        <w:t xml:space="preserve">, Saunders, Steffen, and </w:t>
      </w:r>
      <w:proofErr w:type="spellStart"/>
      <w:r>
        <w:t>Vallascas</w:t>
      </w:r>
      <w:proofErr w:type="spellEnd"/>
      <w:r>
        <w:t>, 2016)</w:t>
      </w:r>
      <w:r w:rsidR="00521354">
        <w:t>.  Far from being paragons of virtue, m</w:t>
      </w:r>
      <w:r w:rsidR="00D23007">
        <w:t xml:space="preserve">egabank managers </w:t>
      </w:r>
      <w:r w:rsidR="00F46395">
        <w:t xml:space="preserve">often </w:t>
      </w:r>
      <w:r w:rsidR="00936964">
        <w:t>display</w:t>
      </w:r>
      <w:r w:rsidR="00F46395">
        <w:t xml:space="preserve"> </w:t>
      </w:r>
      <w:r w:rsidR="00521354">
        <w:t>vindictive</w:t>
      </w:r>
      <w:r w:rsidR="00F46395">
        <w:t xml:space="preserve"> personalities</w:t>
      </w:r>
      <w:r w:rsidR="004407BE">
        <w:t xml:space="preserve">, </w:t>
      </w:r>
      <w:r w:rsidR="00936964">
        <w:t xml:space="preserve">difficulty in </w:t>
      </w:r>
      <w:r w:rsidR="00521354">
        <w:t>grasping</w:t>
      </w:r>
      <w:r w:rsidR="00936964">
        <w:t xml:space="preserve"> their </w:t>
      </w:r>
      <w:r w:rsidR="00433789">
        <w:t xml:space="preserve">particular </w:t>
      </w:r>
      <w:r w:rsidR="00936964">
        <w:t>limitations</w:t>
      </w:r>
      <w:r w:rsidR="004407BE">
        <w:t xml:space="preserve">, and a fascination with getting </w:t>
      </w:r>
      <w:r w:rsidR="00DE46E4">
        <w:t xml:space="preserve">very, very </w:t>
      </w:r>
      <w:r w:rsidR="004407BE">
        <w:t>rich</w:t>
      </w:r>
      <w:r w:rsidR="001D6848">
        <w:t xml:space="preserve"> (Flood, 2016</w:t>
      </w:r>
      <w:r w:rsidR="00C714D8">
        <w:t>; Ho, 2009</w:t>
      </w:r>
      <w:r w:rsidR="001D6848">
        <w:t>).  C</w:t>
      </w:r>
      <w:r w:rsidR="008665BD">
        <w:t xml:space="preserve">onfidence </w:t>
      </w:r>
      <w:r w:rsidR="00155576">
        <w:t xml:space="preserve">in </w:t>
      </w:r>
      <w:r w:rsidR="001D6848">
        <w:t xml:space="preserve">the banking </w:t>
      </w:r>
      <w:r w:rsidR="00F46395">
        <w:t>industry</w:t>
      </w:r>
      <w:r w:rsidR="001D6848">
        <w:t>’s</w:t>
      </w:r>
      <w:r w:rsidR="00F46395">
        <w:t xml:space="preserve"> </w:t>
      </w:r>
      <w:r w:rsidR="00660EE3">
        <w:t>ability to deal with</w:t>
      </w:r>
      <w:r w:rsidR="00155576">
        <w:t xml:space="preserve"> issues </w:t>
      </w:r>
      <w:r w:rsidR="00660EE3">
        <w:t xml:space="preserve">of conduct and practices </w:t>
      </w:r>
      <w:r w:rsidR="001D6848">
        <w:t>in a self-regulatory manner strikes me as a glaring</w:t>
      </w:r>
      <w:r w:rsidR="008D1669">
        <w:t xml:space="preserve"> instance of the Dunning-Kruger effect (Dunning, Johnson, </w:t>
      </w:r>
      <w:proofErr w:type="spellStart"/>
      <w:r w:rsidR="008D1669">
        <w:t>Ehrlinger</w:t>
      </w:r>
      <w:proofErr w:type="spellEnd"/>
      <w:r w:rsidR="008D1669">
        <w:t xml:space="preserve"> and Kruger, 2003).  The D-K effect i</w:t>
      </w:r>
      <w:r w:rsidR="002652D8">
        <w:t xml:space="preserve">s a cognitive bias that leads poorly </w:t>
      </w:r>
      <w:r w:rsidR="008D1669">
        <w:t xml:space="preserve">skilled persons to believe that their ability and </w:t>
      </w:r>
      <w:r w:rsidR="00521354">
        <w:t xml:space="preserve">job </w:t>
      </w:r>
      <w:r w:rsidR="008D1669">
        <w:t>performance are dramatically better than they are.  Dunning and Kruger hypothesized and (with various co</w:t>
      </w:r>
      <w:r w:rsidR="00B04248">
        <w:t>-</w:t>
      </w:r>
      <w:r w:rsidR="008D1669">
        <w:t>researchers) have confirmed that, for a given skill, poorly performing people will fail to recognize thei</w:t>
      </w:r>
      <w:r w:rsidR="008665BD">
        <w:t>r own lack of skill, fai</w:t>
      </w:r>
      <w:r w:rsidR="008D1669">
        <w:t xml:space="preserve">l to recognize the </w:t>
      </w:r>
      <w:r w:rsidR="008D1669">
        <w:rPr>
          <w:u w:val="single"/>
        </w:rPr>
        <w:t>extent</w:t>
      </w:r>
      <w:r w:rsidR="008D1669">
        <w:t xml:space="preserve"> of their inadequacy, and fail to recognize genuine skill in others.  To assess how good we are at something requires exactly the same skills as it does to be good at something in the first place.  </w:t>
      </w:r>
      <w:r w:rsidR="008D1669">
        <w:lastRenderedPageBreak/>
        <w:t xml:space="preserve">The D-K effect implies </w:t>
      </w:r>
      <w:r w:rsidR="00B04248">
        <w:t>that bankers and regulators whose careers have prospered</w:t>
      </w:r>
      <w:r w:rsidR="008D1669">
        <w:t xml:space="preserve"> </w:t>
      </w:r>
      <w:r w:rsidR="00992B88">
        <w:t xml:space="preserve">in </w:t>
      </w:r>
      <w:r w:rsidR="00B04248">
        <w:t>culture</w:t>
      </w:r>
      <w:r w:rsidR="00155576">
        <w:t xml:space="preserve">s shaped by </w:t>
      </w:r>
      <w:r w:rsidR="00660EE3">
        <w:t xml:space="preserve">predatory </w:t>
      </w:r>
      <w:r w:rsidR="00155576">
        <w:t>politics</w:t>
      </w:r>
      <w:r w:rsidR="008D1669">
        <w:t xml:space="preserve"> lack </w:t>
      </w:r>
      <w:r w:rsidR="00936964">
        <w:t xml:space="preserve">both </w:t>
      </w:r>
      <w:r w:rsidR="008D1669">
        <w:t xml:space="preserve">the skills </w:t>
      </w:r>
      <w:r w:rsidR="00936964">
        <w:t xml:space="preserve">and the motivation </w:t>
      </w:r>
      <w:r w:rsidR="008D1669">
        <w:t xml:space="preserve">needed to recognize and </w:t>
      </w:r>
      <w:r w:rsidR="00E209A3">
        <w:t>root out injustice.</w:t>
      </w:r>
    </w:p>
    <w:p w:rsidR="00E209A3" w:rsidRDefault="00B04248" w:rsidP="008D1669">
      <w:pPr>
        <w:spacing w:line="480" w:lineRule="auto"/>
        <w:ind w:firstLine="720"/>
      </w:pPr>
      <w:r>
        <w:t>It</w:t>
      </w:r>
      <w:r w:rsidR="00E209A3">
        <w:t xml:space="preserve"> is hard to change the norms of </w:t>
      </w:r>
      <w:r>
        <w:t>any</w:t>
      </w:r>
      <w:r w:rsidR="00E209A3">
        <w:t xml:space="preserve"> culture</w:t>
      </w:r>
      <w:r>
        <w:t xml:space="preserve">, particularly </w:t>
      </w:r>
      <w:r w:rsidR="00D23007">
        <w:t xml:space="preserve">one that </w:t>
      </w:r>
      <w:r w:rsidR="00F46395">
        <w:t>continues to make</w:t>
      </w:r>
      <w:r w:rsidR="00D23007">
        <w:t xml:space="preserve"> its leaders rich</w:t>
      </w:r>
      <w:r w:rsidR="00521354">
        <w:t xml:space="preserve"> (Schein, 2010)</w:t>
      </w:r>
      <w:r w:rsidR="00E209A3">
        <w:t>.  Related research (</w:t>
      </w:r>
      <w:proofErr w:type="spellStart"/>
      <w:r w:rsidR="00E209A3">
        <w:t>Ehrlinger</w:t>
      </w:r>
      <w:proofErr w:type="spellEnd"/>
      <w:r w:rsidR="00E209A3">
        <w:t xml:space="preserve">, Johnson, Banner, Dunning, and Kruger, 2008) shows that poor performers </w:t>
      </w:r>
      <w:r w:rsidR="00D23007">
        <w:t xml:space="preserve">in any endeavor </w:t>
      </w:r>
      <w:r w:rsidR="00E209A3">
        <w:t xml:space="preserve">tend not to learn from feedback that </w:t>
      </w:r>
      <w:r w:rsidR="008665BD">
        <w:t xml:space="preserve">clearly </w:t>
      </w:r>
      <w:r w:rsidR="00E209A3">
        <w:t xml:space="preserve">suggests a need to improve.  For example, </w:t>
      </w:r>
      <w:r w:rsidR="00155576">
        <w:t xml:space="preserve">even in the wake of the Great Financial Crisis, </w:t>
      </w:r>
      <w:r w:rsidR="00E209A3">
        <w:t xml:space="preserve">government macroeconomists (e.g., Fischer, 2016) </w:t>
      </w:r>
      <w:r w:rsidR="00155576">
        <w:t xml:space="preserve">still </w:t>
      </w:r>
      <w:r>
        <w:t xml:space="preserve">espouse a myopic view of </w:t>
      </w:r>
      <w:r w:rsidR="00936964">
        <w:t>the variables on which</w:t>
      </w:r>
      <w:r>
        <w:t xml:space="preserve"> </w:t>
      </w:r>
      <w:r w:rsidR="00155576">
        <w:t>crisis-management</w:t>
      </w:r>
      <w:r>
        <w:t xml:space="preserve"> policies </w:t>
      </w:r>
      <w:r w:rsidR="00936964">
        <w:t>should focus</w:t>
      </w:r>
      <w:r>
        <w:t>.  Their models</w:t>
      </w:r>
      <w:r w:rsidR="00E209A3">
        <w:t xml:space="preserve"> neglect the </w:t>
      </w:r>
      <w:r w:rsidR="00660EE3">
        <w:t xml:space="preserve">longer-term </w:t>
      </w:r>
      <w:r w:rsidR="00E209A3">
        <w:t xml:space="preserve">impact that </w:t>
      </w:r>
      <w:r w:rsidR="008665BD">
        <w:t xml:space="preserve">creditor </w:t>
      </w:r>
      <w:r w:rsidR="00E209A3">
        <w:t xml:space="preserve">bailouts </w:t>
      </w:r>
      <w:r w:rsidR="00992B88">
        <w:t xml:space="preserve">aimed at </w:t>
      </w:r>
      <w:r w:rsidR="00D44D23">
        <w:t>averting</w:t>
      </w:r>
      <w:r w:rsidR="00992B88">
        <w:t xml:space="preserve"> runs and meltdowns </w:t>
      </w:r>
      <w:r w:rsidR="00E209A3">
        <w:t xml:space="preserve">and </w:t>
      </w:r>
      <w:r w:rsidR="00155576">
        <w:t xml:space="preserve">macroeconomic </w:t>
      </w:r>
      <w:r w:rsidR="00E209A3">
        <w:t xml:space="preserve">policies aimed at </w:t>
      </w:r>
      <w:r w:rsidR="008665BD">
        <w:t xml:space="preserve">current </w:t>
      </w:r>
      <w:r w:rsidR="00E209A3">
        <w:t>rates of inflation and unemployment have</w:t>
      </w:r>
      <w:r w:rsidR="008665BD">
        <w:t>: (1)</w:t>
      </w:r>
      <w:r w:rsidR="00E209A3">
        <w:t xml:space="preserve"> on </w:t>
      </w:r>
      <w:r>
        <w:t>the fairness of</w:t>
      </w:r>
      <w:r w:rsidR="00E209A3">
        <w:t xml:space="preserve"> distributions of income and wealth</w:t>
      </w:r>
      <w:r w:rsidRPr="00B04248">
        <w:t xml:space="preserve"> </w:t>
      </w:r>
      <w:r>
        <w:t xml:space="preserve">and </w:t>
      </w:r>
      <w:r w:rsidR="008665BD">
        <w:t xml:space="preserve">(2) </w:t>
      </w:r>
      <w:r>
        <w:t xml:space="preserve">on </w:t>
      </w:r>
      <w:r w:rsidR="00521354">
        <w:t xml:space="preserve">longer-term </w:t>
      </w:r>
      <w:r>
        <w:t>financial stability</w:t>
      </w:r>
      <w:r w:rsidR="00E209A3">
        <w:t xml:space="preserve">.  This neglect is odd </w:t>
      </w:r>
      <w:r w:rsidR="00936964">
        <w:t xml:space="preserve">(and </w:t>
      </w:r>
      <w:r w:rsidR="004407BE">
        <w:t>seemingly</w:t>
      </w:r>
      <w:r w:rsidR="00936964">
        <w:t xml:space="preserve"> culpable) </w:t>
      </w:r>
      <w:r w:rsidR="00E209A3">
        <w:t xml:space="preserve">since </w:t>
      </w:r>
      <w:r w:rsidR="008665BD">
        <w:t xml:space="preserve">it is well-known that </w:t>
      </w:r>
      <w:r w:rsidR="00E209A3">
        <w:t xml:space="preserve">reinforcing go-for-broke financial behavior </w:t>
      </w:r>
      <w:r w:rsidR="002652D8">
        <w:t>distorts the flow</w:t>
      </w:r>
      <w:r w:rsidR="00D44D23">
        <w:t xml:space="preserve"> </w:t>
      </w:r>
      <w:r>
        <w:t>of</w:t>
      </w:r>
      <w:r w:rsidR="00E209A3">
        <w:t xml:space="preserve"> real investment </w:t>
      </w:r>
      <w:r w:rsidR="002652D8">
        <w:t>toward low</w:t>
      </w:r>
      <w:r w:rsidR="0064285B">
        <w:t xml:space="preserve"> (even negative)</w:t>
      </w:r>
      <w:r w:rsidR="00CC563F">
        <w:t xml:space="preserve"> </w:t>
      </w:r>
      <w:r w:rsidR="0056267E">
        <w:t>expected-value</w:t>
      </w:r>
      <w:r w:rsidR="002652D8">
        <w:t>, projects</w:t>
      </w:r>
      <w:r w:rsidR="0064285B">
        <w:t xml:space="preserve"> with long positive tails</w:t>
      </w:r>
      <w:r w:rsidR="002652D8">
        <w:t xml:space="preserve"> </w:t>
      </w:r>
      <w:r w:rsidR="00E209A3">
        <w:t xml:space="preserve">and </w:t>
      </w:r>
      <w:r w:rsidR="008665BD">
        <w:t xml:space="preserve">that </w:t>
      </w:r>
      <w:r w:rsidR="00E209A3">
        <w:t xml:space="preserve">the marginal propensity to spend out of income and wealth is </w:t>
      </w:r>
      <w:r w:rsidR="008665BD">
        <w:t>apt</w:t>
      </w:r>
      <w:r w:rsidR="00E209A3">
        <w:t xml:space="preserve"> to be much higher for low-income </w:t>
      </w:r>
      <w:r w:rsidR="008665BD">
        <w:t xml:space="preserve">and middle-income </w:t>
      </w:r>
      <w:r w:rsidR="00E209A3">
        <w:t xml:space="preserve">families than for </w:t>
      </w:r>
      <w:r w:rsidR="00155576">
        <w:t xml:space="preserve">the </w:t>
      </w:r>
      <w:r w:rsidR="008665BD">
        <w:t>ultra</w:t>
      </w:r>
      <w:r w:rsidR="00155576">
        <w:t>-</w:t>
      </w:r>
      <w:r w:rsidR="00E209A3">
        <w:t xml:space="preserve">high-income </w:t>
      </w:r>
      <w:r w:rsidR="008665BD">
        <w:t>households that benefit directly from creditor bailouts</w:t>
      </w:r>
      <w:r w:rsidR="00E209A3">
        <w:t>.  So at least to this extent, bailou</w:t>
      </w:r>
      <w:r w:rsidR="008665BD">
        <w:t>t policies</w:t>
      </w:r>
      <w:r w:rsidR="00E209A3">
        <w:t xml:space="preserve"> that </w:t>
      </w:r>
      <w:r w:rsidR="00155576">
        <w:t xml:space="preserve">indiscriminately </w:t>
      </w:r>
      <w:r w:rsidR="00E209A3">
        <w:t>load future tax burdens on ordinary citizens</w:t>
      </w:r>
      <w:r w:rsidR="00936964">
        <w:t xml:space="preserve">: (1) </w:t>
      </w:r>
      <w:r>
        <w:t>reduce</w:t>
      </w:r>
      <w:r w:rsidR="00506128">
        <w:t xml:space="preserve"> </w:t>
      </w:r>
      <w:r w:rsidR="00521354">
        <w:t xml:space="preserve">employment and </w:t>
      </w:r>
      <w:r w:rsidR="00506128">
        <w:t>aggregate demand</w:t>
      </w:r>
      <w:r w:rsidR="00521354">
        <w:t>,</w:t>
      </w:r>
      <w:r w:rsidR="00506128">
        <w:t xml:space="preserve"> and</w:t>
      </w:r>
      <w:r>
        <w:t xml:space="preserve"> </w:t>
      </w:r>
      <w:r w:rsidR="00936964">
        <w:t xml:space="preserve">(2) </w:t>
      </w:r>
      <w:r>
        <w:t>promote</w:t>
      </w:r>
      <w:r w:rsidR="00506128">
        <w:t xml:space="preserve"> t</w:t>
      </w:r>
      <w:r w:rsidR="00E209A3">
        <w:t xml:space="preserve">he </w:t>
      </w:r>
      <w:r w:rsidR="008665BD">
        <w:t xml:space="preserve">reckless </w:t>
      </w:r>
      <w:r>
        <w:t>pursuit of</w:t>
      </w:r>
      <w:r w:rsidR="00506128">
        <w:t xml:space="preserve"> safety-net subsidies </w:t>
      </w:r>
      <w:r>
        <w:t xml:space="preserve">in ways that </w:t>
      </w:r>
      <w:r w:rsidR="00F46395">
        <w:t>lessen the social value and sustainability of</w:t>
      </w:r>
      <w:r w:rsidR="00506128">
        <w:t xml:space="preserve"> post-crisis </w:t>
      </w:r>
      <w:r w:rsidR="00D44D23">
        <w:t>economic</w:t>
      </w:r>
      <w:r w:rsidR="00506128">
        <w:t xml:space="preserve"> growth.</w:t>
      </w:r>
    </w:p>
    <w:p w:rsidR="00D30E22" w:rsidRPr="00D30E22" w:rsidRDefault="00A449DA" w:rsidP="00433789">
      <w:pPr>
        <w:spacing w:line="480" w:lineRule="auto"/>
        <w:ind w:firstLine="720"/>
      </w:pPr>
      <w:r>
        <w:t xml:space="preserve">The D-K effect </w:t>
      </w:r>
      <w:r w:rsidR="001D1D65">
        <w:t>implies that</w:t>
      </w:r>
      <w:r w:rsidR="005D1212">
        <w:t>, however skilled they may be in generating profits,</w:t>
      </w:r>
      <w:r w:rsidR="001D1D65">
        <w:t xml:space="preserve"> </w:t>
      </w:r>
      <w:proofErr w:type="spellStart"/>
      <w:r w:rsidR="001D1D65">
        <w:t>megabankers</w:t>
      </w:r>
      <w:proofErr w:type="spellEnd"/>
      <w:r w:rsidR="001D1D65">
        <w:t xml:space="preserve"> instinctively over-rate the quality of their </w:t>
      </w:r>
      <w:r w:rsidR="00F46395">
        <w:t>personal</w:t>
      </w:r>
      <w:r w:rsidR="001D1D65">
        <w:t xml:space="preserve"> </w:t>
      </w:r>
      <w:r w:rsidR="00936964">
        <w:t xml:space="preserve">and corporate </w:t>
      </w:r>
      <w:r w:rsidR="001D1D65">
        <w:t xml:space="preserve">ethical standards.  </w:t>
      </w:r>
      <w:r w:rsidR="00D30E22">
        <w:t xml:space="preserve">Industry </w:t>
      </w:r>
      <w:r w:rsidR="00D30E22">
        <w:rPr>
          <w:i/>
        </w:rPr>
        <w:t>standards of performance</w:t>
      </w:r>
      <w:r w:rsidR="00D30E22">
        <w:t xml:space="preserve"> have always been high, but the </w:t>
      </w:r>
      <w:r w:rsidR="00D30E22">
        <w:rPr>
          <w:i/>
        </w:rPr>
        <w:t>standards of review</w:t>
      </w:r>
      <w:r w:rsidR="00D30E22">
        <w:t xml:space="preserve"> designed </w:t>
      </w:r>
      <w:r w:rsidR="00D30E22">
        <w:lastRenderedPageBreak/>
        <w:t xml:space="preserve">to enforce these aspirations have been </w:t>
      </w:r>
      <w:r w:rsidR="009332E2">
        <w:t xml:space="preserve">and remain </w:t>
      </w:r>
      <w:r w:rsidR="00D30E22">
        <w:t xml:space="preserve">overly forgiving.  As a result, few individual managers have been prosecuted </w:t>
      </w:r>
      <w:r w:rsidR="009332E2" w:rsidRPr="009332E2">
        <w:rPr>
          <w:i/>
        </w:rPr>
        <w:t>ex post</w:t>
      </w:r>
      <w:r w:rsidR="00D30E22">
        <w:t xml:space="preserve"> </w:t>
      </w:r>
      <w:r w:rsidR="005A611E">
        <w:t xml:space="preserve">for </w:t>
      </w:r>
      <w:r w:rsidR="00D30E22">
        <w:t xml:space="preserve">reckless behavior </w:t>
      </w:r>
      <w:r w:rsidR="009332E2">
        <w:t xml:space="preserve">that took place </w:t>
      </w:r>
      <w:r w:rsidR="00D30E22">
        <w:t xml:space="preserve">during the </w:t>
      </w:r>
      <w:proofErr w:type="spellStart"/>
      <w:r w:rsidR="00E92BE8">
        <w:t>precrisis</w:t>
      </w:r>
      <w:proofErr w:type="spellEnd"/>
      <w:r w:rsidR="00D30E22">
        <w:t xml:space="preserve"> bubble phase.  </w:t>
      </w:r>
      <w:r w:rsidR="00E92BE8">
        <w:t>P</w:t>
      </w:r>
      <w:r w:rsidR="00D30E22">
        <w:t xml:space="preserve">erformance standards </w:t>
      </w:r>
      <w:r w:rsidR="009332E2">
        <w:t>–</w:t>
      </w:r>
      <w:r w:rsidR="00D30E22">
        <w:t>such as the Dutch Bankers’ Oath of 2014</w:t>
      </w:r>
      <w:r w:rsidR="009332E2">
        <w:rPr>
          <w:rStyle w:val="FootnoteReference"/>
        </w:rPr>
        <w:footnoteReference w:id="2"/>
      </w:r>
      <w:r w:rsidR="00E92BE8">
        <w:t>–</w:t>
      </w:r>
      <w:r w:rsidR="009332E2">
        <w:t xml:space="preserve"> </w:t>
      </w:r>
      <w:r w:rsidR="00E92BE8">
        <w:t>have toughened in several countries, but it remains to be seen how energetically prosecutors will pursue opportunities to fine, suspend, and/or blacklist violators</w:t>
      </w:r>
      <w:r w:rsidR="00D30E22">
        <w:t>.</w:t>
      </w:r>
    </w:p>
    <w:p w:rsidR="003C799E" w:rsidRDefault="00D30E22" w:rsidP="00433789">
      <w:pPr>
        <w:spacing w:line="480" w:lineRule="auto"/>
        <w:ind w:firstLine="720"/>
      </w:pPr>
      <w:r>
        <w:t xml:space="preserve">This paper argues </w:t>
      </w:r>
      <w:r w:rsidR="00433789">
        <w:t xml:space="preserve">the unwillingness </w:t>
      </w:r>
      <w:r w:rsidR="00E92BE8">
        <w:t xml:space="preserve">of the industry and its regulators </w:t>
      </w:r>
      <w:r w:rsidR="00433789">
        <w:t>to face up to the logical flaw in their insistence that stockholder value may properly serve as the touchstone for ethical behavi</w:t>
      </w:r>
      <w:r w:rsidR="003C799E">
        <w:t xml:space="preserve">or at too-big-to-fail firms amounts to </w:t>
      </w:r>
      <w:r w:rsidR="00936964">
        <w:t xml:space="preserve">a violation of top managers’ </w:t>
      </w:r>
      <w:r w:rsidR="00521354">
        <w:t>“</w:t>
      </w:r>
      <w:r w:rsidR="00936964">
        <w:t>duty to understand</w:t>
      </w:r>
      <w:r w:rsidR="00521354">
        <w:t>”</w:t>
      </w:r>
      <w:r w:rsidR="00936964">
        <w:t xml:space="preserve"> the consequences of actions</w:t>
      </w:r>
      <w:r w:rsidR="00433789">
        <w:t xml:space="preserve"> that risk the ruination of their firm. </w:t>
      </w:r>
      <w:r w:rsidR="00936964">
        <w:t xml:space="preserve"> </w:t>
      </w:r>
      <w:r w:rsidR="00D32D81">
        <w:t xml:space="preserve">Kant’s (1785) second moral imperative </w:t>
      </w:r>
      <w:r w:rsidR="002652D8">
        <w:t>makes it clear that</w:t>
      </w:r>
      <w:r w:rsidR="00D32D81">
        <w:t xml:space="preserve"> t</w:t>
      </w:r>
      <w:r w:rsidR="003C799E">
        <w:t xml:space="preserve">he maximization of stockholder value </w:t>
      </w:r>
      <w:r w:rsidR="002652D8">
        <w:t>is</w:t>
      </w:r>
      <w:r w:rsidR="003C799E">
        <w:t xml:space="preserve"> an ethica</w:t>
      </w:r>
      <w:r w:rsidR="001472DF">
        <w:t xml:space="preserve">lly abusive goal for a </w:t>
      </w:r>
      <w:proofErr w:type="spellStart"/>
      <w:r w:rsidR="001472DF">
        <w:t>megabanking</w:t>
      </w:r>
      <w:proofErr w:type="spellEnd"/>
      <w:r w:rsidR="001472DF">
        <w:t xml:space="preserve"> institution </w:t>
      </w:r>
      <w:r w:rsidR="003C799E">
        <w:t xml:space="preserve">(Kane, 2016).  </w:t>
      </w:r>
      <w:r w:rsidR="00C714D8">
        <w:t xml:space="preserve">This goal is abusive because it </w:t>
      </w:r>
      <w:r w:rsidR="001472DF">
        <w:t>lets</w:t>
      </w:r>
      <w:r w:rsidR="00C714D8">
        <w:t xml:space="preserve"> managers write contracts that reward them for booking </w:t>
      </w:r>
      <w:r w:rsidR="004407BE">
        <w:t xml:space="preserve">dangerous </w:t>
      </w:r>
      <w:r w:rsidR="00C714D8">
        <w:t xml:space="preserve">tail risks </w:t>
      </w:r>
      <w:r w:rsidR="001472DF">
        <w:t xml:space="preserve">that </w:t>
      </w:r>
      <w:r w:rsidR="0011403D">
        <w:t>they fund</w:t>
      </w:r>
      <w:r w:rsidR="001472DF">
        <w:t xml:space="preserve"> with </w:t>
      </w:r>
      <w:r w:rsidR="00C714D8">
        <w:t xml:space="preserve">guarantees extracted from taxpayers </w:t>
      </w:r>
      <w:r w:rsidR="002652D8">
        <w:t>coercively</w:t>
      </w:r>
      <w:r w:rsidR="004407BE">
        <w:t xml:space="preserve"> </w:t>
      </w:r>
      <w:r w:rsidR="00C714D8">
        <w:t xml:space="preserve">through the safety net.  </w:t>
      </w:r>
      <w:r w:rsidR="00B55A30">
        <w:t xml:space="preserve">The next section shows </w:t>
      </w:r>
      <w:r w:rsidR="002652D8">
        <w:t>that</w:t>
      </w:r>
      <w:r w:rsidR="00B55A30">
        <w:t xml:space="preserve"> n</w:t>
      </w:r>
      <w:r w:rsidR="004407BE">
        <w:t xml:space="preserve">ot measuring, </w:t>
      </w:r>
      <w:r w:rsidR="003C799E">
        <w:t>servicing</w:t>
      </w:r>
      <w:r w:rsidR="004407BE">
        <w:t>, or safeguarding</w:t>
      </w:r>
      <w:r w:rsidR="003C799E">
        <w:t xml:space="preserve"> taxpayers’ equity position violates </w:t>
      </w:r>
      <w:r w:rsidR="00D32D81">
        <w:t xml:space="preserve">Kant’s </w:t>
      </w:r>
      <w:r w:rsidR="00B55A30">
        <w:t>common-sense ethical</w:t>
      </w:r>
      <w:r w:rsidR="003C799E">
        <w:t xml:space="preserve"> principles.  </w:t>
      </w:r>
    </w:p>
    <w:p w:rsidR="00992B88" w:rsidRDefault="001472DF" w:rsidP="00433789">
      <w:pPr>
        <w:spacing w:line="480" w:lineRule="auto"/>
        <w:ind w:firstLine="720"/>
      </w:pPr>
      <w:r>
        <w:t>At megabanks, e</w:t>
      </w:r>
      <w:r w:rsidR="00781D9B">
        <w:t>fforts to defend t</w:t>
      </w:r>
      <w:r w:rsidR="00F46395">
        <w:t>he stockholder-primac</w:t>
      </w:r>
      <w:r w:rsidR="001D1D65">
        <w:t xml:space="preserve">y hypothesis </w:t>
      </w:r>
      <w:r w:rsidR="00781D9B">
        <w:t>ignore</w:t>
      </w:r>
      <w:r w:rsidR="00F46395">
        <w:t xml:space="preserve"> </w:t>
      </w:r>
      <w:r w:rsidR="0011403D">
        <w:t>an</w:t>
      </w:r>
      <w:r w:rsidR="00F46395">
        <w:t xml:space="preserve"> obvious fact</w:t>
      </w:r>
      <w:r w:rsidR="0011403D">
        <w:t xml:space="preserve">: </w:t>
      </w:r>
      <w:r w:rsidR="0011403D" w:rsidRPr="00722187">
        <w:rPr>
          <w:i/>
        </w:rPr>
        <w:t>A</w:t>
      </w:r>
      <w:r w:rsidR="001D1D65" w:rsidRPr="00722187">
        <w:rPr>
          <w:i/>
        </w:rPr>
        <w:t>nticipatable</w:t>
      </w:r>
      <w:r w:rsidR="00A449DA" w:rsidRPr="00722187">
        <w:rPr>
          <w:i/>
        </w:rPr>
        <w:t xml:space="preserve"> credit support </w:t>
      </w:r>
      <w:r w:rsidR="0011403D" w:rsidRPr="00722187">
        <w:rPr>
          <w:i/>
        </w:rPr>
        <w:t xml:space="preserve">is </w:t>
      </w:r>
      <w:r w:rsidRPr="00722187">
        <w:rPr>
          <w:i/>
        </w:rPr>
        <w:t>available</w:t>
      </w:r>
      <w:r w:rsidR="00781D9B" w:rsidRPr="00722187">
        <w:rPr>
          <w:i/>
        </w:rPr>
        <w:t xml:space="preserve"> to</w:t>
      </w:r>
      <w:r w:rsidRPr="00722187">
        <w:rPr>
          <w:i/>
        </w:rPr>
        <w:t xml:space="preserve"> a</w:t>
      </w:r>
      <w:r w:rsidR="0011403D" w:rsidRPr="00722187">
        <w:rPr>
          <w:i/>
        </w:rPr>
        <w:t>ny</w:t>
      </w:r>
      <w:r w:rsidR="00F46395" w:rsidRPr="00722187">
        <w:rPr>
          <w:i/>
        </w:rPr>
        <w:t xml:space="preserve"> </w:t>
      </w:r>
      <w:r w:rsidRPr="00722187">
        <w:rPr>
          <w:i/>
        </w:rPr>
        <w:t>firm</w:t>
      </w:r>
      <w:r w:rsidR="00A00AD6">
        <w:rPr>
          <w:i/>
        </w:rPr>
        <w:t xml:space="preserve"> –large or small-- </w:t>
      </w:r>
      <w:r w:rsidR="00521354" w:rsidRPr="00722187">
        <w:rPr>
          <w:i/>
        </w:rPr>
        <w:t xml:space="preserve">that </w:t>
      </w:r>
      <w:r w:rsidR="0011403D" w:rsidRPr="00722187">
        <w:rPr>
          <w:i/>
        </w:rPr>
        <w:t>authorities find</w:t>
      </w:r>
      <w:r w:rsidR="00521354" w:rsidRPr="00722187">
        <w:rPr>
          <w:i/>
        </w:rPr>
        <w:t xml:space="preserve"> hard to fail and </w:t>
      </w:r>
      <w:r w:rsidR="00F46395" w:rsidRPr="00722187">
        <w:rPr>
          <w:i/>
        </w:rPr>
        <w:t xml:space="preserve">unwind </w:t>
      </w:r>
      <w:r w:rsidR="0011403D" w:rsidRPr="00722187">
        <w:rPr>
          <w:i/>
        </w:rPr>
        <w:t>when and as</w:t>
      </w:r>
      <w:r w:rsidR="003C799E" w:rsidRPr="00722187">
        <w:rPr>
          <w:i/>
        </w:rPr>
        <w:t xml:space="preserve"> </w:t>
      </w:r>
      <w:r w:rsidRPr="00722187">
        <w:rPr>
          <w:i/>
        </w:rPr>
        <w:t>it</w:t>
      </w:r>
      <w:r w:rsidR="003C799E" w:rsidRPr="00722187">
        <w:rPr>
          <w:i/>
        </w:rPr>
        <w:t xml:space="preserve"> approach</w:t>
      </w:r>
      <w:r w:rsidRPr="00722187">
        <w:rPr>
          <w:i/>
        </w:rPr>
        <w:t>es</w:t>
      </w:r>
      <w:r w:rsidR="003C799E" w:rsidRPr="00722187">
        <w:rPr>
          <w:i/>
        </w:rPr>
        <w:t xml:space="preserve"> insolvency</w:t>
      </w:r>
      <w:r w:rsidR="00781D9B" w:rsidRPr="00722187">
        <w:rPr>
          <w:i/>
        </w:rPr>
        <w:t>.</w:t>
      </w:r>
      <w:r w:rsidR="00781D9B">
        <w:t xml:space="preserve">  </w:t>
      </w:r>
      <w:r w:rsidR="00C714D8">
        <w:t xml:space="preserve">Central-bank incentives to rescue </w:t>
      </w:r>
      <w:r w:rsidR="00C714D8">
        <w:lastRenderedPageBreak/>
        <w:t xml:space="preserve">the creditors of </w:t>
      </w:r>
      <w:r>
        <w:t>zombie</w:t>
      </w:r>
      <w:r w:rsidR="00C714D8">
        <w:t xml:space="preserve"> megabanks </w:t>
      </w:r>
      <w:r w:rsidR="00A00AD6">
        <w:t xml:space="preserve">in particular </w:t>
      </w:r>
      <w:r w:rsidR="00C714D8">
        <w:t xml:space="preserve">force taxpayers to supply loss-absorbing equity capital to these firms on concessionary terms at times when no one else will give them any credit at all.  </w:t>
      </w:r>
      <w:r w:rsidR="0011403D">
        <w:t xml:space="preserve">Authorities’ propensity to rescue megabanks assigns taxpayers a coerced and badly structured equity stake in their operations.  </w:t>
      </w:r>
      <w:r w:rsidR="00781D9B">
        <w:t xml:space="preserve">From </w:t>
      </w:r>
      <w:r w:rsidR="00521354">
        <w:t>a moral perspective</w:t>
      </w:r>
      <w:r w:rsidR="00781D9B">
        <w:t xml:space="preserve">, this stake </w:t>
      </w:r>
      <w:r w:rsidR="001D1D65">
        <w:t xml:space="preserve">deserves to be measured and serviced </w:t>
      </w:r>
      <w:r w:rsidR="001D6848">
        <w:t>every bit</w:t>
      </w:r>
      <w:r w:rsidR="001D1D65">
        <w:t xml:space="preserve"> as </w:t>
      </w:r>
      <w:r>
        <w:t>carefully</w:t>
      </w:r>
      <w:r w:rsidR="001D1D65">
        <w:t xml:space="preserve"> as </w:t>
      </w:r>
      <w:r w:rsidR="001D6848">
        <w:t>the stake</w:t>
      </w:r>
      <w:r w:rsidR="001D1D65">
        <w:t xml:space="preserve"> </w:t>
      </w:r>
      <w:r w:rsidR="00521354">
        <w:t xml:space="preserve">that </w:t>
      </w:r>
      <w:r w:rsidR="001D1D65">
        <w:t>explicit shareholders</w:t>
      </w:r>
      <w:r w:rsidR="001D6848">
        <w:t xml:space="preserve"> enjoy</w:t>
      </w:r>
      <w:r w:rsidR="001D1D65">
        <w:t xml:space="preserve">.  </w:t>
      </w:r>
      <w:r w:rsidR="00E46848">
        <w:t xml:space="preserve">Figure </w:t>
      </w:r>
      <w:r w:rsidR="002B0476">
        <w:t>1</w:t>
      </w:r>
      <w:r w:rsidR="00E46848">
        <w:t xml:space="preserve"> shows that representative estimates of </w:t>
      </w:r>
      <w:r w:rsidR="00AE3EF5">
        <w:t xml:space="preserve">the dividends due on </w:t>
      </w:r>
      <w:r w:rsidR="00E46848">
        <w:t>this stak</w:t>
      </w:r>
      <w:r w:rsidR="00B34B7A">
        <w:t>e increase</w:t>
      </w:r>
      <w:r w:rsidR="00AE3EF5">
        <w:t xml:space="preserve"> in recessions, fall back in booms, and have</w:t>
      </w:r>
      <w:r w:rsidR="00E46848">
        <w:t xml:space="preserve"> been increasing on average over time.</w:t>
      </w:r>
    </w:p>
    <w:p w:rsidR="00DE0C52" w:rsidRDefault="00DE0C52" w:rsidP="00DE0C52">
      <w:pPr>
        <w:spacing w:line="480" w:lineRule="auto"/>
        <w:ind w:firstLine="720"/>
      </w:pPr>
      <w:r>
        <w:t>Managers can hide losses and tail risk</w:t>
      </w:r>
      <w:r w:rsidR="00215B05">
        <w:t>s</w:t>
      </w:r>
      <w:r>
        <w:t xml:space="preserve"> with impunity as long as they </w:t>
      </w:r>
      <w:r w:rsidR="00215B05">
        <w:t>understand how to exploit</w:t>
      </w:r>
      <w:r>
        <w:t xml:space="preserve"> an evolving set of </w:t>
      </w:r>
      <w:r w:rsidR="00215B05">
        <w:t xml:space="preserve">professionally </w:t>
      </w:r>
      <w:r>
        <w:t xml:space="preserve">certified accounting loopholes.  Like </w:t>
      </w:r>
      <w:r w:rsidR="00215B05">
        <w:t>a Las Vegas magician</w:t>
      </w:r>
      <w:r>
        <w:t xml:space="preserve">, managers and accountants expect directors and stockholders to admire their </w:t>
      </w:r>
      <w:r w:rsidR="00215B05">
        <w:t>skillful use of</w:t>
      </w:r>
      <w:r>
        <w:t xml:space="preserve"> smoke and mirrors to make losses and loss exposures invisible to the naked eye.</w:t>
      </w:r>
    </w:p>
    <w:p w:rsidR="00215B05" w:rsidRDefault="00DE0C52" w:rsidP="00DE0C52">
      <w:pPr>
        <w:spacing w:line="480" w:lineRule="auto"/>
        <w:ind w:firstLine="720"/>
      </w:pPr>
      <w:r>
        <w:t xml:space="preserve">To stop the secular expansion of safety-net subsidies, society needs to make profits based on subsidy extraction a source of </w:t>
      </w:r>
      <w:r w:rsidR="00215B05">
        <w:t xml:space="preserve">professional </w:t>
      </w:r>
      <w:r>
        <w:t>disdain, rather than admiration. This will not happen until and unless regulators and supervisors strip out from reported profit flows the embedded value of the taxpayer credi</w:t>
      </w:r>
      <w:r w:rsidR="00215B05">
        <w:t>t support a megabank receives.</w:t>
      </w:r>
    </w:p>
    <w:p w:rsidR="00DE0C52" w:rsidRDefault="00215B05" w:rsidP="00DE0C52">
      <w:pPr>
        <w:spacing w:line="480" w:lineRule="auto"/>
        <w:ind w:firstLine="720"/>
      </w:pPr>
      <w:r>
        <w:t>Safety-net</w:t>
      </w:r>
      <w:r w:rsidR="00DE0C52">
        <w:t xml:space="preserve"> subsidies </w:t>
      </w:r>
      <w:r>
        <w:t xml:space="preserve">are rooted in regulatory </w:t>
      </w:r>
      <w:r w:rsidR="00722187">
        <w:t>norms</w:t>
      </w:r>
      <w:r>
        <w:t xml:space="preserve"> that delay the recognition and resolution of </w:t>
      </w:r>
      <w:r w:rsidRPr="00215B05">
        <w:rPr>
          <w:i/>
        </w:rPr>
        <w:t>de facto</w:t>
      </w:r>
      <w:r w:rsidR="00DE0C52">
        <w:t xml:space="preserve"> insolvencies.  Delays in loss detection and regulatory intervention intensified the Great Financial Crisis by enabling insolvent </w:t>
      </w:r>
      <w:r>
        <w:t xml:space="preserve">zombie </w:t>
      </w:r>
      <w:r w:rsidR="00DE0C52">
        <w:t>institutions</w:t>
      </w:r>
      <w:r>
        <w:t xml:space="preserve"> (such as Countrywide Financial)</w:t>
      </w:r>
      <w:r w:rsidR="00DE0C52">
        <w:t xml:space="preserve"> to adopt aggressive </w:t>
      </w:r>
      <w:r>
        <w:t>endgame</w:t>
      </w:r>
      <w:r w:rsidR="00DE0C52">
        <w:t xml:space="preserve"> strategies that—by squeezing </w:t>
      </w:r>
      <w:r w:rsidR="002652D8">
        <w:t>the</w:t>
      </w:r>
      <w:r w:rsidR="00DE0C52">
        <w:t xml:space="preserve"> profit margins</w:t>
      </w:r>
      <w:r w:rsidR="002652D8">
        <w:t xml:space="preserve"> competitors could earn</w:t>
      </w:r>
      <w:r w:rsidR="00DE0C52">
        <w:t xml:space="preserve">—spread insolvency to competing institutions.  Extending accounting principles to highlight </w:t>
      </w:r>
      <w:r w:rsidR="00D46482">
        <w:t xml:space="preserve">and service </w:t>
      </w:r>
      <w:r w:rsidR="00DE0C52">
        <w:t xml:space="preserve">taxpayers’ stake can force regulators and auditors to focus specifically on whether and to what extent particular market extensions and financial innovations reduce the effectiveness of prudential policies. </w:t>
      </w:r>
    </w:p>
    <w:p w:rsidR="00781D9B" w:rsidRDefault="00781D9B" w:rsidP="00215B05">
      <w:pPr>
        <w:spacing w:line="480" w:lineRule="auto"/>
      </w:pPr>
    </w:p>
    <w:p w:rsidR="00781D9B" w:rsidRPr="00781D9B" w:rsidRDefault="00781D9B" w:rsidP="00781D9B">
      <w:pPr>
        <w:spacing w:line="480" w:lineRule="auto"/>
        <w:rPr>
          <w:u w:val="single"/>
        </w:rPr>
      </w:pPr>
      <w:r>
        <w:rPr>
          <w:u w:val="single"/>
        </w:rPr>
        <w:t xml:space="preserve">What Should Regulators and </w:t>
      </w:r>
      <w:proofErr w:type="spellStart"/>
      <w:r>
        <w:rPr>
          <w:u w:val="single"/>
        </w:rPr>
        <w:t>Megabankers</w:t>
      </w:r>
      <w:proofErr w:type="spellEnd"/>
      <w:r>
        <w:rPr>
          <w:u w:val="single"/>
        </w:rPr>
        <w:t xml:space="preserve"> Do?</w:t>
      </w:r>
    </w:p>
    <w:p w:rsidR="00521354" w:rsidRDefault="00E46848" w:rsidP="008D1669">
      <w:pPr>
        <w:spacing w:line="480" w:lineRule="auto"/>
        <w:ind w:firstLine="720"/>
      </w:pPr>
      <w:r>
        <w:t>My</w:t>
      </w:r>
      <w:r w:rsidR="00A941F0">
        <w:t xml:space="preserve"> answer</w:t>
      </w:r>
      <w:r w:rsidR="00781D9B">
        <w:t xml:space="preserve"> </w:t>
      </w:r>
      <w:r>
        <w:t>to this question is</w:t>
      </w:r>
      <w:r w:rsidR="00781D9B">
        <w:t xml:space="preserve"> </w:t>
      </w:r>
      <w:r w:rsidR="003C799E">
        <w:t>based on</w:t>
      </w:r>
      <w:r w:rsidR="00155576">
        <w:t xml:space="preserve"> an </w:t>
      </w:r>
      <w:r w:rsidR="00722187">
        <w:t>apolitical</w:t>
      </w:r>
      <w:r w:rsidR="00155576">
        <w:t xml:space="preserve"> </w:t>
      </w:r>
      <w:r>
        <w:t>theory</w:t>
      </w:r>
      <w:r w:rsidR="00155576">
        <w:t xml:space="preserve"> of </w:t>
      </w:r>
      <w:r w:rsidR="00521354">
        <w:t xml:space="preserve">the </w:t>
      </w:r>
      <w:r w:rsidR="00781D9B">
        <w:t>fiduciary duties</w:t>
      </w:r>
      <w:r w:rsidR="00521354">
        <w:t xml:space="preserve"> that, in principle,</w:t>
      </w:r>
      <w:r w:rsidR="00781D9B">
        <w:t xml:space="preserve"> </w:t>
      </w:r>
      <w:r w:rsidR="00A00AD6">
        <w:t>managers of difficult-to- resolve banks</w:t>
      </w:r>
      <w:r w:rsidR="00781D9B">
        <w:t xml:space="preserve"> owe taxpayers as implicit shareholders in their firms.</w:t>
      </w:r>
      <w:r w:rsidR="003C799E">
        <w:t xml:space="preserve">  Regulators and </w:t>
      </w:r>
      <w:proofErr w:type="spellStart"/>
      <w:r w:rsidR="003C799E">
        <w:t>megabankers</w:t>
      </w:r>
      <w:proofErr w:type="spellEnd"/>
      <w:r w:rsidR="003C799E">
        <w:t xml:space="preserve"> should </w:t>
      </w:r>
      <w:r w:rsidR="00722187">
        <w:t xml:space="preserve">in principle </w:t>
      </w:r>
      <w:r w:rsidR="003C799E">
        <w:t>work together to give taxpayers a fair return on the equity</w:t>
      </w:r>
      <w:r w:rsidR="00434C9A">
        <w:t xml:space="preserve"> funding</w:t>
      </w:r>
      <w:r w:rsidR="003C799E">
        <w:t xml:space="preserve"> they supply.</w:t>
      </w:r>
      <w:r w:rsidR="00781D9B">
        <w:t xml:space="preserve">  </w:t>
      </w:r>
      <w:r w:rsidR="00433789">
        <w:t>The follow-on</w:t>
      </w:r>
      <w:r w:rsidR="00521354">
        <w:t xml:space="preserve"> policy</w:t>
      </w:r>
      <w:r w:rsidR="00781D9B">
        <w:t xml:space="preserve"> problem </w:t>
      </w:r>
      <w:r w:rsidR="00433789">
        <w:t>is to insist that</w:t>
      </w:r>
      <w:r w:rsidR="001D1D65">
        <w:t xml:space="preserve"> </w:t>
      </w:r>
      <w:r w:rsidR="00155576">
        <w:t xml:space="preserve">the executive cultures </w:t>
      </w:r>
      <w:r w:rsidR="009C189B">
        <w:t>of</w:t>
      </w:r>
      <w:r w:rsidR="00155576">
        <w:t xml:space="preserve"> the post-crisis banking an</w:t>
      </w:r>
      <w:r w:rsidR="009E5CEC">
        <w:t>d financial-regulation sectors of the US and UK</w:t>
      </w:r>
      <w:r w:rsidR="00521354">
        <w:t xml:space="preserve"> </w:t>
      </w:r>
      <w:r w:rsidR="00434C9A">
        <w:t xml:space="preserve">explicitly </w:t>
      </w:r>
      <w:r w:rsidR="00521354">
        <w:t xml:space="preserve">incorporate </w:t>
      </w:r>
      <w:r w:rsidR="00A941F0">
        <w:t xml:space="preserve">and enforce </w:t>
      </w:r>
      <w:r w:rsidR="00521354">
        <w:t>duties</w:t>
      </w:r>
      <w:r w:rsidR="003C799E">
        <w:t xml:space="preserve"> of loyalty, competence, and care </w:t>
      </w:r>
      <w:r w:rsidR="00434C9A">
        <w:t xml:space="preserve">that as a matter of principle </w:t>
      </w:r>
      <w:r w:rsidR="003C799E">
        <w:t xml:space="preserve">they </w:t>
      </w:r>
      <w:r w:rsidR="00434C9A">
        <w:t xml:space="preserve">already </w:t>
      </w:r>
      <w:r w:rsidR="003C799E">
        <w:t xml:space="preserve">owe to taxpayers.  This section seeks to </w:t>
      </w:r>
      <w:r w:rsidR="00A941F0">
        <w:t>establish a</w:t>
      </w:r>
      <w:r w:rsidR="003C799E">
        <w:t xml:space="preserve"> moral basis for </w:t>
      </w:r>
      <w:r w:rsidR="00A941F0">
        <w:t>recognizing the existence of</w:t>
      </w:r>
      <w:r w:rsidR="003C799E">
        <w:t xml:space="preserve"> these duties.</w:t>
      </w:r>
    </w:p>
    <w:p w:rsidR="00433789" w:rsidRDefault="00433789" w:rsidP="00433789">
      <w:pPr>
        <w:spacing w:line="480" w:lineRule="auto"/>
        <w:ind w:firstLine="720"/>
      </w:pPr>
      <w:r>
        <w:t>The core problem of ethical theory is to distinguish motives and conduct that are morally right from motives and conduct that are morally wrong or dicey.  Immanuel Kant (1724-1804) based his common-sense ethical theory on the existence of what he described as “categorical imperatives.”  These are universal principles that determine abstract duties that everyone logically owes to others.  Dutiful action is to be contrasted with conduct that is aimed rationally at achieving some self-serving end.  Kant’s second imperative states that one should act so that one treats oneself and others as ends in themselves and never only as a means to an end</w:t>
      </w:r>
      <w:r w:rsidR="00C714D8">
        <w:t xml:space="preserve"> (Kant</w:t>
      </w:r>
      <w:r w:rsidR="007016BA">
        <w:t>, 1993, 1785)</w:t>
      </w:r>
      <w:r>
        <w:t xml:space="preserve">. On this criterion, no professional or bureaucratic code of ethics can be morally right if it tolerates using other citizens </w:t>
      </w:r>
      <w:r>
        <w:rPr>
          <w:u w:val="single"/>
        </w:rPr>
        <w:t>merely</w:t>
      </w:r>
      <w:r>
        <w:t xml:space="preserve"> as means to achieve the self-serving end of maximizing stockholder value.</w:t>
      </w:r>
    </w:p>
    <w:p w:rsidR="00433789" w:rsidRDefault="00433789" w:rsidP="00433789">
      <w:pPr>
        <w:spacing w:line="480" w:lineRule="auto"/>
        <w:ind w:firstLine="720"/>
      </w:pPr>
      <w:r>
        <w:t xml:space="preserve">The key is to see </w:t>
      </w:r>
      <w:r w:rsidR="007016BA">
        <w:t xml:space="preserve">that </w:t>
      </w:r>
      <w:r>
        <w:t xml:space="preserve">the confident expectation that creditor bailouts will emerge when a megabank falls into distress lets the managers and boards of megabanks treat other citizens as means rather than ends.  The firmness of creditors’ expectations of rescue makes creditors pay </w:t>
      </w:r>
      <w:r>
        <w:lastRenderedPageBreak/>
        <w:t xml:space="preserve">insufficient attention to risks in booms and helps zombie firms to force central bankers into unwinnable games of chicken when and if these risks sour.  This process allows predatory megabanks to shift what may </w:t>
      </w:r>
      <w:r w:rsidR="0056267E">
        <w:t xml:space="preserve">actually </w:t>
      </w:r>
      <w:r>
        <w:t xml:space="preserve">be diseconomies from large-scale operation to competitors and ordinary citizens as tax </w:t>
      </w:r>
      <w:r w:rsidR="00D32D81">
        <w:t xml:space="preserve">and other </w:t>
      </w:r>
      <w:r>
        <w:t xml:space="preserve">burdens generated by forcing them to live with a heightened frequency and depth of financial crises.  </w:t>
      </w:r>
    </w:p>
    <w:p w:rsidR="00D073EC" w:rsidRDefault="00D073EC" w:rsidP="003C799E">
      <w:pPr>
        <w:spacing w:line="480" w:lineRule="auto"/>
        <w:ind w:firstLine="720"/>
      </w:pPr>
      <w:r>
        <w:t xml:space="preserve">Doing good may be good business, but it is hard to prove </w:t>
      </w:r>
      <w:r w:rsidR="00B3583F">
        <w:t>that</w:t>
      </w:r>
      <w:r>
        <w:t xml:space="preserve"> by </w:t>
      </w:r>
      <w:r w:rsidR="00B3583F">
        <w:t xml:space="preserve">looking at </w:t>
      </w:r>
      <w:r>
        <w:t xml:space="preserve">the behavior of the world’s biggest </w:t>
      </w:r>
      <w:r w:rsidR="00B3583F">
        <w:t xml:space="preserve">and most successful </w:t>
      </w:r>
      <w:r>
        <w:t xml:space="preserve">banks.  Figure </w:t>
      </w:r>
      <w:r w:rsidR="0053774D">
        <w:t>2</w:t>
      </w:r>
      <w:r>
        <w:t xml:space="preserve"> shows that 10 world-class firms paid fines for </w:t>
      </w:r>
      <w:r w:rsidR="00B55A30">
        <w:t xml:space="preserve">specific </w:t>
      </w:r>
      <w:r>
        <w:t xml:space="preserve">regulatory breaches during 2009-2015 that totaled $150 billion.  Over $60 billion of this amount was for lying to clients either in reporting or </w:t>
      </w:r>
      <w:r w:rsidR="00A941F0">
        <w:t>in describing</w:t>
      </w:r>
      <w:r>
        <w:t xml:space="preserve"> the quality of </w:t>
      </w:r>
      <w:r w:rsidR="00A941F0">
        <w:t xml:space="preserve">loan </w:t>
      </w:r>
      <w:r>
        <w:t>securitizations</w:t>
      </w:r>
      <w:r w:rsidR="00A941F0">
        <w:t xml:space="preserve"> in particular</w:t>
      </w:r>
      <w:r>
        <w:t>.</w:t>
      </w:r>
      <w:r w:rsidR="00722187">
        <w:t xml:space="preserve">  </w:t>
      </w:r>
      <w:r w:rsidR="00A00AD6">
        <w:t xml:space="preserve">Many of these breaches (e.g., for </w:t>
      </w:r>
      <w:proofErr w:type="spellStart"/>
      <w:r w:rsidR="00A00AD6">
        <w:t>mis</w:t>
      </w:r>
      <w:proofErr w:type="spellEnd"/>
      <w:r w:rsidR="00A00AD6">
        <w:t xml:space="preserve">-selling personal protection insurance and various derivative instruments) harmed customers directly and fooled outsider shareholders into thinking the bankers involved were doing a great job.  </w:t>
      </w:r>
      <w:r w:rsidR="00722187">
        <w:t>Buried inside these figures are fines for perpetrating frauds engineered to conceal for years the increasingly perilous economic</w:t>
      </w:r>
      <w:r w:rsidR="00D32D81">
        <w:t xml:space="preserve"> condition of Greece and Enron [</w:t>
      </w:r>
      <w:r w:rsidR="00722187">
        <w:t>see, e.g., Abdel-</w:t>
      </w:r>
      <w:proofErr w:type="spellStart"/>
      <w:r w:rsidR="00722187">
        <w:t>khalik</w:t>
      </w:r>
      <w:proofErr w:type="spellEnd"/>
      <w:r w:rsidR="00722187">
        <w:t xml:space="preserve"> (2016)</w:t>
      </w:r>
      <w:r w:rsidR="00D32D81">
        <w:t>]</w:t>
      </w:r>
      <w:r w:rsidR="00722187">
        <w:t>.</w:t>
      </w:r>
    </w:p>
    <w:p w:rsidR="00A941F0" w:rsidRDefault="00A941F0" w:rsidP="00A941F0">
      <w:pPr>
        <w:spacing w:line="480" w:lineRule="auto"/>
        <w:ind w:firstLine="720"/>
      </w:pPr>
      <w:r>
        <w:t xml:space="preserve">Edgar Schein’s model of organizational culture (2010) can help us to understand how central-bank incentive conflict </w:t>
      </w:r>
      <w:r w:rsidR="00D32D81">
        <w:t>has worked</w:t>
      </w:r>
      <w:r>
        <w:t xml:space="preserve"> to disadvantage taxpayers over a </w:t>
      </w:r>
      <w:r w:rsidR="00D32D81">
        <w:t>series</w:t>
      </w:r>
      <w:r>
        <w:t xml:space="preserve"> of economic booms and busts.  His model </w:t>
      </w:r>
      <w:r w:rsidR="00D32D81">
        <w:t xml:space="preserve">uses the methods </w:t>
      </w:r>
      <w:r w:rsidR="00934A72">
        <w:t>of cultural anthropology and, p</w:t>
      </w:r>
      <w:r w:rsidR="00D32D81">
        <w:t xml:space="preserve">erhaps for that reason, is not even mentioned in </w:t>
      </w:r>
      <w:proofErr w:type="spellStart"/>
      <w:r w:rsidR="00D32D81">
        <w:t>Alisina</w:t>
      </w:r>
      <w:proofErr w:type="spellEnd"/>
      <w:r w:rsidR="00D32D81">
        <w:t xml:space="preserve"> and </w:t>
      </w:r>
      <w:proofErr w:type="spellStart"/>
      <w:r w:rsidR="00D32D81">
        <w:t>Giuliano’s</w:t>
      </w:r>
      <w:proofErr w:type="spellEnd"/>
      <w:r w:rsidR="00D32D81">
        <w:t xml:space="preserve"> otherwise comprehensive 2015 review of the economics of culture.  Schein’s model </w:t>
      </w:r>
      <w:r>
        <w:t xml:space="preserve">of organizational culture has three components: (1) espoused goals and strategies for achieving them; (2) artifacts: buildings, staffs, equipment, various processes the organization uses, and other observable features of its operation; and (3) deeply imbedded behavioral norms and shared assumptions (“beliefs”) about how to behave in </w:t>
      </w:r>
      <w:r>
        <w:lastRenderedPageBreak/>
        <w:t xml:space="preserve">different circumstances.  These unspoken and resilient norms and assumptions (what the French call </w:t>
      </w:r>
      <w:r>
        <w:rPr>
          <w:i/>
        </w:rPr>
        <w:t xml:space="preserve">le non </w:t>
      </w:r>
      <w:proofErr w:type="spellStart"/>
      <w:r>
        <w:rPr>
          <w:i/>
        </w:rPr>
        <w:t>dit</w:t>
      </w:r>
      <w:proofErr w:type="spellEnd"/>
      <w:r>
        <w:t>) often conflict with espoused goals.</w:t>
      </w:r>
    </w:p>
    <w:p w:rsidR="00A941F0" w:rsidRDefault="00D32D81" w:rsidP="00A941F0">
      <w:pPr>
        <w:spacing w:line="480" w:lineRule="auto"/>
        <w:ind w:firstLine="720"/>
      </w:pPr>
      <w:r>
        <w:t xml:space="preserve">Schein’s distinctions </w:t>
      </w:r>
      <w:r w:rsidR="0064285B">
        <w:t>can help us to reframe compensation derived from</w:t>
      </w:r>
      <w:r>
        <w:t xml:space="preserve"> </w:t>
      </w:r>
      <w:r w:rsidR="00934A72">
        <w:t xml:space="preserve">TBTF-based </w:t>
      </w:r>
      <w:r>
        <w:t>safety-net abuse</w:t>
      </w:r>
      <w:r w:rsidR="0064285B">
        <w:t xml:space="preserve"> as a form of unjust enrichment</w:t>
      </w:r>
      <w:r>
        <w:t>.  I believe l</w:t>
      </w:r>
      <w:r w:rsidR="00EE5157">
        <w:t xml:space="preserve">egal systems must </w:t>
      </w:r>
      <w:r w:rsidR="00934A72">
        <w:t xml:space="preserve">(and will </w:t>
      </w:r>
      <w:r>
        <w:t>eventually</w:t>
      </w:r>
      <w:r w:rsidR="00934A72">
        <w:t>)</w:t>
      </w:r>
      <w:r>
        <w:t xml:space="preserve"> </w:t>
      </w:r>
      <w:r w:rsidR="00EE5157">
        <w:t xml:space="preserve">make it clear that recklessly increasing </w:t>
      </w:r>
      <w:r w:rsidR="0064285B">
        <w:t>a fully guaranteed</w:t>
      </w:r>
      <w:r w:rsidR="00EE5157">
        <w:t xml:space="preserve"> </w:t>
      </w:r>
      <w:r w:rsidR="00CC563F">
        <w:t xml:space="preserve">bank’s </w:t>
      </w:r>
      <w:r w:rsidR="00EE5157">
        <w:t xml:space="preserve">risk of ruin is a form of theft from the equivalent of a </w:t>
      </w:r>
      <w:r w:rsidR="0064285B">
        <w:t xml:space="preserve">coerced </w:t>
      </w:r>
      <w:r w:rsidR="00EE5157">
        <w:t xml:space="preserve">trust fund that taxpayers </w:t>
      </w:r>
      <w:r w:rsidR="0064285B">
        <w:t>dedicate</w:t>
      </w:r>
      <w:r w:rsidR="00EE5157">
        <w:t xml:space="preserve"> to covering ruin</w:t>
      </w:r>
      <w:r w:rsidR="00215B05">
        <w:t xml:space="preserve">ous losses at each TBTF bank.  </w:t>
      </w:r>
      <w:r w:rsidR="00CC563F">
        <w:t>To</w:t>
      </w:r>
      <w:r>
        <w:t xml:space="preserve"> </w:t>
      </w:r>
      <w:r w:rsidR="00CC563F">
        <w:t xml:space="preserve">make this </w:t>
      </w:r>
      <w:r w:rsidR="00D46482">
        <w:t>clear</w:t>
      </w:r>
      <w:r>
        <w:t>,</w:t>
      </w:r>
      <w:r w:rsidR="00215B05">
        <w:t xml:space="preserve"> bank charters and enforceable r</w:t>
      </w:r>
      <w:r w:rsidR="00EE5157">
        <w:t xml:space="preserve">ules of the </w:t>
      </w:r>
      <w:r w:rsidR="00CC563F">
        <w:t>banking</w:t>
      </w:r>
      <w:r w:rsidR="00EE5157">
        <w:t xml:space="preserve"> game </w:t>
      </w:r>
      <w:r w:rsidR="00934A72">
        <w:t xml:space="preserve">must be rewritten </w:t>
      </w:r>
      <w:r w:rsidR="00CC563F">
        <w:t>so as to encourage authorities to punish</w:t>
      </w:r>
      <w:r w:rsidR="00EE5157">
        <w:t xml:space="preserve"> individual managers </w:t>
      </w:r>
      <w:r w:rsidR="00CC563F">
        <w:t>who</w:t>
      </w:r>
      <w:r w:rsidR="00EE5157">
        <w:t xml:space="preserve"> adopt risk-management strategies that willfully conceal </w:t>
      </w:r>
      <w:r w:rsidR="00CC563F">
        <w:t>surges in</w:t>
      </w:r>
      <w:r w:rsidR="00EE5157">
        <w:t xml:space="preserve"> taxpayers’ equity stake in </w:t>
      </w:r>
      <w:r w:rsidR="00934A72">
        <w:t>a TBTF institution</w:t>
      </w:r>
      <w:r w:rsidR="00EE5157">
        <w:t xml:space="preserve">.  </w:t>
      </w:r>
      <w:r>
        <w:t>F</w:t>
      </w:r>
      <w:r w:rsidR="00EE5157">
        <w:t xml:space="preserve">aithless behavior </w:t>
      </w:r>
      <w:r>
        <w:t xml:space="preserve">toward taxpayers </w:t>
      </w:r>
      <w:r w:rsidR="00EE5157">
        <w:t xml:space="preserve">deserves to be sanctioned explicitly by both corporate and criminal law and should </w:t>
      </w:r>
      <w:r w:rsidR="00CC563F">
        <w:t>not be dismissed routinely</w:t>
      </w:r>
      <w:r w:rsidR="00EE5157">
        <w:t xml:space="preserve"> by insurance law as inevitable moral hazard.</w:t>
      </w:r>
    </w:p>
    <w:p w:rsidR="00D073EC" w:rsidRDefault="00B3583F" w:rsidP="00EE5157">
      <w:pPr>
        <w:spacing w:line="480" w:lineRule="auto"/>
        <w:ind w:firstLine="720"/>
      </w:pPr>
      <w:r>
        <w:t xml:space="preserve">Although </w:t>
      </w:r>
      <w:r w:rsidR="00A941F0">
        <w:t>regulators seem eager to collect</w:t>
      </w:r>
      <w:r>
        <w:t xml:space="preserve"> corporate-level </w:t>
      </w:r>
      <w:r w:rsidR="00B068C4">
        <w:t>fines</w:t>
      </w:r>
      <w:r>
        <w:t>, t</w:t>
      </w:r>
      <w:r w:rsidR="00D073EC">
        <w:t>he</w:t>
      </w:r>
      <w:r w:rsidR="00433789">
        <w:t xml:space="preserve"> regulatory cultures</w:t>
      </w:r>
      <w:r w:rsidR="00D073EC">
        <w:t xml:space="preserve"> of most Western countries</w:t>
      </w:r>
      <w:r w:rsidR="00433789">
        <w:t xml:space="preserve"> </w:t>
      </w:r>
      <w:r w:rsidR="00D32D81">
        <w:t>undermine financial stability by showing</w:t>
      </w:r>
      <w:r w:rsidR="00433789">
        <w:t xml:space="preserve"> a </w:t>
      </w:r>
      <w:r w:rsidR="00D073EC">
        <w:t>perverse</w:t>
      </w:r>
      <w:r w:rsidR="00433789">
        <w:t xml:space="preserve"> reluctance to punish reckless </w:t>
      </w:r>
      <w:r w:rsidR="00A00AD6">
        <w:t xml:space="preserve">and dishonest </w:t>
      </w:r>
      <w:r w:rsidR="00433789">
        <w:t xml:space="preserve">banking at the </w:t>
      </w:r>
      <w:r w:rsidR="00433789" w:rsidRPr="00D073EC">
        <w:rPr>
          <w:i/>
        </w:rPr>
        <w:t>individual</w:t>
      </w:r>
      <w:r w:rsidR="00D46482">
        <w:rPr>
          <w:i/>
        </w:rPr>
        <w:t>-manager</w:t>
      </w:r>
      <w:r w:rsidR="00433789">
        <w:t xml:space="preserve"> level.  </w:t>
      </w:r>
      <w:r w:rsidR="0064285B">
        <w:t>In my opinion, t</w:t>
      </w:r>
      <w:r w:rsidR="00D073EC">
        <w:t>his</w:t>
      </w:r>
      <w:r w:rsidR="00C15242">
        <w:t xml:space="preserve"> leniency traces to unacknowledged norms </w:t>
      </w:r>
      <w:r w:rsidR="00D073EC">
        <w:t xml:space="preserve">of mercy and helpfulness for </w:t>
      </w:r>
      <w:r>
        <w:t>“</w:t>
      </w:r>
      <w:r w:rsidR="00D073EC">
        <w:t>good people caught in bad situations</w:t>
      </w:r>
      <w:r w:rsidR="00B068C4">
        <w:t>”</w:t>
      </w:r>
      <w:r w:rsidR="00A941F0">
        <w:t xml:space="preserve"> (see </w:t>
      </w:r>
      <w:proofErr w:type="spellStart"/>
      <w:r w:rsidR="00A941F0">
        <w:t>Eisinger</w:t>
      </w:r>
      <w:proofErr w:type="spellEnd"/>
      <w:r w:rsidR="00A941F0">
        <w:t>, 2016).</w:t>
      </w:r>
      <w:r w:rsidR="00B068C4">
        <w:t xml:space="preserve">  These n</w:t>
      </w:r>
      <w:r>
        <w:t>orms</w:t>
      </w:r>
      <w:r w:rsidR="00C15242">
        <w:t xml:space="preserve"> </w:t>
      </w:r>
      <w:r w:rsidR="00D073EC">
        <w:t>conflict</w:t>
      </w:r>
      <w:r w:rsidR="00C15242">
        <w:t xml:space="preserve"> </w:t>
      </w:r>
      <w:r>
        <w:t xml:space="preserve">sharply </w:t>
      </w:r>
      <w:r w:rsidR="00C15242">
        <w:t xml:space="preserve">with </w:t>
      </w:r>
      <w:r w:rsidR="00B068C4">
        <w:t>regulators’</w:t>
      </w:r>
      <w:r>
        <w:t xml:space="preserve"> espoused mission and values, but </w:t>
      </w:r>
      <w:r w:rsidR="00C15242">
        <w:t>are deeply imbedded in central-bank cultures</w:t>
      </w:r>
      <w:r w:rsidR="00A941F0">
        <w:t>,</w:t>
      </w:r>
      <w:r w:rsidR="00B068C4">
        <w:t xml:space="preserve"> as </w:t>
      </w:r>
      <w:r w:rsidR="00B55A30">
        <w:t>modeled</w:t>
      </w:r>
      <w:r w:rsidR="00B068C4">
        <w:t xml:space="preserve"> in Figure </w:t>
      </w:r>
      <w:r w:rsidR="00D25B0F">
        <w:t>3</w:t>
      </w:r>
      <w:r w:rsidR="00C15242">
        <w:t xml:space="preserve">.  Among other </w:t>
      </w:r>
      <w:r>
        <w:t>prescriptions</w:t>
      </w:r>
      <w:r w:rsidR="00C15242">
        <w:t xml:space="preserve">, </w:t>
      </w:r>
      <w:r w:rsidR="00A941F0">
        <w:t>central-bank</w:t>
      </w:r>
      <w:r w:rsidR="00C15242">
        <w:t xml:space="preserve"> norms </w:t>
      </w:r>
      <w:r>
        <w:t>celebrate</w:t>
      </w:r>
      <w:r w:rsidR="00C15242">
        <w:t xml:space="preserve"> not rocking the boat, regarding big banks as </w:t>
      </w:r>
      <w:r w:rsidR="00C15242">
        <w:rPr>
          <w:i/>
        </w:rPr>
        <w:t>clients</w:t>
      </w:r>
      <w:r w:rsidR="00C15242">
        <w:t xml:space="preserve"> to be helped (especially </w:t>
      </w:r>
      <w:r>
        <w:t>in competing</w:t>
      </w:r>
      <w:r w:rsidR="00C15242">
        <w:t xml:space="preserve"> with foreign firms) and, even if </w:t>
      </w:r>
      <w:r w:rsidR="00D46482">
        <w:t>the evidence suggests</w:t>
      </w:r>
      <w:r w:rsidR="00C15242">
        <w:t xml:space="preserve"> otherwise, to attribute solvency</w:t>
      </w:r>
      <w:r w:rsidR="00D073EC">
        <w:t xml:space="preserve"> problems to bad luck, bad judg</w:t>
      </w:r>
      <w:r w:rsidR="00C15242">
        <w:t xml:space="preserve">ment, and </w:t>
      </w:r>
      <w:r w:rsidR="00D073EC">
        <w:t>persons</w:t>
      </w:r>
      <w:r w:rsidR="00C15242">
        <w:t xml:space="preserve"> doing “one bad thing,” rather than to </w:t>
      </w:r>
      <w:r w:rsidR="00A941F0">
        <w:t>endless</w:t>
      </w:r>
      <w:r w:rsidR="00C15242">
        <w:t xml:space="preserve"> games of </w:t>
      </w:r>
      <w:r w:rsidR="00B068C4">
        <w:t>hide-and-seek</w:t>
      </w:r>
      <w:r w:rsidR="00C15242">
        <w:t xml:space="preserve"> and chicken that </w:t>
      </w:r>
      <w:proofErr w:type="spellStart"/>
      <w:r w:rsidR="00B068C4">
        <w:t>megabankers</w:t>
      </w:r>
      <w:proofErr w:type="spellEnd"/>
      <w:r w:rsidR="00B068C4">
        <w:t xml:space="preserve"> have </w:t>
      </w:r>
      <w:r w:rsidR="00A941F0">
        <w:t>been putting</w:t>
      </w:r>
      <w:r w:rsidR="00B068C4">
        <w:t xml:space="preserve"> over on them</w:t>
      </w:r>
      <w:r w:rsidR="00C15242">
        <w:t xml:space="preserve"> for years.</w:t>
      </w:r>
    </w:p>
    <w:p w:rsidR="00934A72" w:rsidRDefault="00D073EC" w:rsidP="00B3583F">
      <w:pPr>
        <w:spacing w:line="480" w:lineRule="auto"/>
        <w:ind w:firstLine="720"/>
      </w:pPr>
      <w:r>
        <w:lastRenderedPageBreak/>
        <w:t xml:space="preserve">From a game-theory perspective, how particular policy strategies work in practice is co-determined by the </w:t>
      </w:r>
      <w:r>
        <w:rPr>
          <w:i/>
        </w:rPr>
        <w:t>rules</w:t>
      </w:r>
      <w:r>
        <w:t xml:space="preserve"> officials promulgate and by </w:t>
      </w:r>
      <w:proofErr w:type="spellStart"/>
      <w:r>
        <w:t>regulatees</w:t>
      </w:r>
      <w:proofErr w:type="spellEnd"/>
      <w:r>
        <w:t xml:space="preserve">’ ability to find and exploit circumventive </w:t>
      </w:r>
      <w:r>
        <w:rPr>
          <w:i/>
        </w:rPr>
        <w:t>loopholes</w:t>
      </w:r>
      <w:r>
        <w:t xml:space="preserve"> in the enforcement of these rules.  Kane (1988) </w:t>
      </w:r>
      <w:r w:rsidR="00B55A30">
        <w:t>depicts this process as a</w:t>
      </w:r>
      <w:r>
        <w:t xml:space="preserve"> Regulatory Dialectic.</w:t>
      </w:r>
      <w:r w:rsidR="00B3583F">
        <w:t xml:space="preserve">  </w:t>
      </w:r>
      <w:r w:rsidR="00934A72">
        <w:t>In this game, a</w:t>
      </w:r>
      <w:r w:rsidR="00D32D81">
        <w:t xml:space="preserve"> good p</w:t>
      </w:r>
      <w:r w:rsidR="00EE5157">
        <w:t xml:space="preserve">art of </w:t>
      </w:r>
      <w:r w:rsidR="00D32D81">
        <w:t>taxpayers’ informational disadvantage lies in regulators’ reluctance</w:t>
      </w:r>
      <w:r w:rsidR="00EE5157">
        <w:t xml:space="preserve"> to publicize </w:t>
      </w:r>
      <w:r w:rsidR="00B55A30">
        <w:t xml:space="preserve">just </w:t>
      </w:r>
      <w:r w:rsidR="00EE5157">
        <w:t>how megabank</w:t>
      </w:r>
      <w:r w:rsidR="00DA68E0">
        <w:t>s</w:t>
      </w:r>
      <w:r w:rsidR="00EE5157">
        <w:t xml:space="preserve"> </w:t>
      </w:r>
      <w:r w:rsidR="00934A72">
        <w:t>invest in accumulating</w:t>
      </w:r>
      <w:r w:rsidR="00EE5157">
        <w:t xml:space="preserve"> political and economic clout </w:t>
      </w:r>
      <w:r w:rsidR="00934A72">
        <w:t xml:space="preserve">and </w:t>
      </w:r>
      <w:r w:rsidR="000213A9">
        <w:t xml:space="preserve">how they </w:t>
      </w:r>
      <w:r w:rsidR="00934A72">
        <w:t xml:space="preserve">exercise it.  This clout </w:t>
      </w:r>
      <w:r w:rsidR="000213A9">
        <w:t>simultaneously</w:t>
      </w:r>
      <w:r w:rsidR="00934A72">
        <w:t xml:space="preserve"> supports creditors’</w:t>
      </w:r>
      <w:r w:rsidR="00EE5157">
        <w:t xml:space="preserve"> expectations </w:t>
      </w:r>
      <w:r w:rsidR="00934A72">
        <w:t>of rescue and undermines</w:t>
      </w:r>
      <w:r w:rsidR="00EE5157">
        <w:t xml:space="preserve"> officials’ ability to force megabanks to behave more prudently.  </w:t>
      </w:r>
    </w:p>
    <w:p w:rsidR="00433789" w:rsidRDefault="003C799E" w:rsidP="00B3583F">
      <w:pPr>
        <w:spacing w:line="480" w:lineRule="auto"/>
        <w:ind w:firstLine="720"/>
      </w:pPr>
      <w:r>
        <w:t>Although they are outcoached, outgunned, and</w:t>
      </w:r>
      <w:r w:rsidR="00EE5157">
        <w:t xml:space="preserve"> almost always</w:t>
      </w:r>
      <w:r>
        <w:t xml:space="preserve"> playing from behind, </w:t>
      </w:r>
      <w:r w:rsidR="00434C9A">
        <w:t>regulators</w:t>
      </w:r>
      <w:r w:rsidR="00433789">
        <w:t xml:space="preserve"> soldier </w:t>
      </w:r>
      <w:r w:rsidR="007016BA">
        <w:t xml:space="preserve">on.  In the </w:t>
      </w:r>
      <w:proofErr w:type="spellStart"/>
      <w:r w:rsidR="007016BA">
        <w:t>postcrisis</w:t>
      </w:r>
      <w:proofErr w:type="spellEnd"/>
      <w:r w:rsidR="007016BA">
        <w:t xml:space="preserve"> era, s</w:t>
      </w:r>
      <w:r>
        <w:t>oldiering on entails writing loophole-riddled rules that ask</w:t>
      </w:r>
      <w:r w:rsidR="00433789">
        <w:t xml:space="preserve"> </w:t>
      </w:r>
      <w:r w:rsidR="00B3583F">
        <w:t>megabanks</w:t>
      </w:r>
      <w:r w:rsidR="00433789">
        <w:t xml:space="preserve"> </w:t>
      </w:r>
      <w:r w:rsidR="00B3583F">
        <w:t>in good faith</w:t>
      </w:r>
      <w:r w:rsidR="00EE5157">
        <w:t>: (1)</w:t>
      </w:r>
      <w:r w:rsidR="00B3583F">
        <w:t xml:space="preserve"> </w:t>
      </w:r>
      <w:r w:rsidR="00433789">
        <w:t>to formulate vi</w:t>
      </w:r>
      <w:r w:rsidR="00EE5157">
        <w:t>able windup plans; (2)</w:t>
      </w:r>
      <w:r w:rsidR="00433789">
        <w:t xml:space="preserve"> </w:t>
      </w:r>
      <w:r>
        <w:t xml:space="preserve">to </w:t>
      </w:r>
      <w:r w:rsidR="00433789">
        <w:t xml:space="preserve">accept </w:t>
      </w:r>
      <w:r w:rsidR="0011403D">
        <w:t xml:space="preserve">evolving </w:t>
      </w:r>
      <w:r w:rsidR="00433789">
        <w:t>disclosure obligations</w:t>
      </w:r>
      <w:r w:rsidR="00D073EC">
        <w:t xml:space="preserve">, </w:t>
      </w:r>
      <w:r>
        <w:t>stress tests</w:t>
      </w:r>
      <w:r w:rsidR="00D073EC">
        <w:t>, and compensation controls</w:t>
      </w:r>
      <w:r w:rsidR="00EE5157">
        <w:t>; (3)</w:t>
      </w:r>
      <w:r w:rsidR="00433789">
        <w:t xml:space="preserve"> and </w:t>
      </w:r>
      <w:r>
        <w:t xml:space="preserve">to </w:t>
      </w:r>
      <w:r w:rsidR="00433789">
        <w:t xml:space="preserve">strengthen balance-sheet liquidity and capital positions.  My concern is that </w:t>
      </w:r>
      <w:proofErr w:type="spellStart"/>
      <w:r w:rsidR="00B3583F">
        <w:t>megabankers</w:t>
      </w:r>
      <w:proofErr w:type="spellEnd"/>
      <w:r w:rsidR="00B3583F">
        <w:t xml:space="preserve"> have shown again and again </w:t>
      </w:r>
      <w:r w:rsidR="00650E14">
        <w:t xml:space="preserve">that </w:t>
      </w:r>
      <w:r w:rsidR="00433789">
        <w:t xml:space="preserve">rules of this kind </w:t>
      </w:r>
      <w:r w:rsidR="00EE5157">
        <w:t>can only temporarily</w:t>
      </w:r>
      <w:r w:rsidR="00433789">
        <w:t xml:space="preserve"> </w:t>
      </w:r>
      <w:r w:rsidR="00433789" w:rsidRPr="00434C9A">
        <w:rPr>
          <w:i/>
        </w:rPr>
        <w:t>constrain</w:t>
      </w:r>
      <w:r w:rsidR="00433789">
        <w:t xml:space="preserve"> the pursuit of </w:t>
      </w:r>
      <w:r w:rsidR="00EE5157">
        <w:t xml:space="preserve">destructive </w:t>
      </w:r>
      <w:r w:rsidR="00433789">
        <w:t>tail risk</w:t>
      </w:r>
      <w:r w:rsidR="00EE5157">
        <w:t>s</w:t>
      </w:r>
      <w:r w:rsidR="00433789">
        <w:t xml:space="preserve">.  </w:t>
      </w:r>
      <w:r w:rsidR="00B3583F">
        <w:t xml:space="preserve">To make </w:t>
      </w:r>
      <w:r w:rsidR="00650E14">
        <w:t>long-lasting</w:t>
      </w:r>
      <w:r w:rsidR="00B3583F">
        <w:t xml:space="preserve"> progress, </w:t>
      </w:r>
      <w:r w:rsidR="00EE5157">
        <w:t>I firmly believe that</w:t>
      </w:r>
      <w:r w:rsidR="00CC563F">
        <w:t xml:space="preserve"> the US and</w:t>
      </w:r>
      <w:r w:rsidR="00EE5157">
        <w:t xml:space="preserve"> </w:t>
      </w:r>
      <w:r w:rsidR="0064285B">
        <w:t xml:space="preserve">other </w:t>
      </w:r>
      <w:r w:rsidR="00B068C4">
        <w:t>governments</w:t>
      </w:r>
      <w:r w:rsidR="00B3583F">
        <w:t xml:space="preserve"> </w:t>
      </w:r>
      <w:r w:rsidR="0064285B">
        <w:t>ought</w:t>
      </w:r>
      <w:r w:rsidR="00B3583F">
        <w:t xml:space="preserve"> to</w:t>
      </w:r>
      <w:r w:rsidR="00433789">
        <w:t xml:space="preserve"> </w:t>
      </w:r>
      <w:r w:rsidR="0064285B">
        <w:t xml:space="preserve">build on the UK’s efforts to </w:t>
      </w:r>
      <w:r>
        <w:t xml:space="preserve">make </w:t>
      </w:r>
      <w:r w:rsidR="00DA68E0">
        <w:t>reckless</w:t>
      </w:r>
      <w:r w:rsidR="00433789">
        <w:t xml:space="preserve"> </w:t>
      </w:r>
      <w:r w:rsidR="00EE5157">
        <w:t xml:space="preserve">management of a TBTF bank </w:t>
      </w:r>
      <w:r>
        <w:t xml:space="preserve">a </w:t>
      </w:r>
      <w:r w:rsidR="00434C9A">
        <w:t xml:space="preserve">prosecutable </w:t>
      </w:r>
      <w:r>
        <w:t>crime</w:t>
      </w:r>
      <w:r w:rsidR="0064285B">
        <w:t xml:space="preserve"> of public endangerment, and even to </w:t>
      </w:r>
      <w:r w:rsidR="00E46848">
        <w:t xml:space="preserve">oblige themselves to prosecute </w:t>
      </w:r>
      <w:r w:rsidR="00CC563F">
        <w:t xml:space="preserve">—rather than settle— </w:t>
      </w:r>
      <w:r w:rsidR="00E46848">
        <w:t>at least the most-consequential cases.</w:t>
      </w:r>
    </w:p>
    <w:p w:rsidR="00D32D81" w:rsidRDefault="0064285B" w:rsidP="008D1669">
      <w:pPr>
        <w:spacing w:line="480" w:lineRule="auto"/>
        <w:ind w:firstLine="720"/>
      </w:pPr>
      <w:r>
        <w:t>Considered a</w:t>
      </w:r>
      <w:r w:rsidR="00241DC7">
        <w:t>s an extension of welfare economic</w:t>
      </w:r>
      <w:r w:rsidR="00434C9A">
        <w:t>s</w:t>
      </w:r>
      <w:r w:rsidR="00241DC7">
        <w:t xml:space="preserve"> theory, </w:t>
      </w:r>
      <w:r w:rsidR="00434C9A">
        <w:t>my</w:t>
      </w:r>
      <w:r w:rsidR="00781D9B">
        <w:t xml:space="preserve"> </w:t>
      </w:r>
      <w:r w:rsidR="00521354">
        <w:t>analysis</w:t>
      </w:r>
      <w:r w:rsidR="00781D9B">
        <w:t xml:space="preserve"> </w:t>
      </w:r>
      <w:r w:rsidR="00521354">
        <w:t>push</w:t>
      </w:r>
      <w:r>
        <w:t>es</w:t>
      </w:r>
      <w:r w:rsidR="00521354">
        <w:t xml:space="preserve"> the </w:t>
      </w:r>
      <w:r w:rsidR="00EE5157">
        <w:t xml:space="preserve">efficient </w:t>
      </w:r>
      <w:r w:rsidR="00722187">
        <w:t>utility-possibilities</w:t>
      </w:r>
      <w:r w:rsidR="00521354">
        <w:t xml:space="preserve"> frontier </w:t>
      </w:r>
      <w:r w:rsidR="00434C9A">
        <w:t xml:space="preserve">a step </w:t>
      </w:r>
      <w:r w:rsidR="00521354">
        <w:t>beyond the limits imposed by</w:t>
      </w:r>
      <w:r w:rsidR="00781D9B">
        <w:t xml:space="preserve"> Pareto </w:t>
      </w:r>
      <w:r w:rsidR="00521354">
        <w:t xml:space="preserve">optimality. </w:t>
      </w:r>
      <w:r w:rsidR="00781D9B">
        <w:t xml:space="preserve"> </w:t>
      </w:r>
      <w:r w:rsidR="00241DC7">
        <w:t>To</w:t>
      </w:r>
      <w:r w:rsidR="00521354">
        <w:t xml:space="preserve"> accomplish this, I </w:t>
      </w:r>
      <w:r>
        <w:t>impose</w:t>
      </w:r>
      <w:r w:rsidR="00521354">
        <w:t xml:space="preserve"> </w:t>
      </w:r>
      <w:r w:rsidR="009E5CEC">
        <w:t xml:space="preserve">Kantian ethical </w:t>
      </w:r>
      <w:r w:rsidR="009C189B">
        <w:t>principles</w:t>
      </w:r>
      <w:r w:rsidR="009E5CEC">
        <w:t xml:space="preserve"> </w:t>
      </w:r>
      <w:r w:rsidR="00C714D8">
        <w:t>as an additional constraint on the shape of</w:t>
      </w:r>
      <w:r w:rsidR="00241DC7">
        <w:t xml:space="preserve"> this frontier.  </w:t>
      </w:r>
      <w:r w:rsidR="003C799E">
        <w:t xml:space="preserve">These principles focus on discrediting what one does </w:t>
      </w:r>
      <w:r w:rsidR="003C799E" w:rsidRPr="003C799E">
        <w:rPr>
          <w:i/>
        </w:rPr>
        <w:t>to</w:t>
      </w:r>
      <w:r w:rsidR="003C799E">
        <w:t xml:space="preserve"> rather than </w:t>
      </w:r>
      <w:r w:rsidR="003C799E" w:rsidRPr="003C799E">
        <w:rPr>
          <w:i/>
        </w:rPr>
        <w:t>for</w:t>
      </w:r>
      <w:r w:rsidR="003C799E">
        <w:t xml:space="preserve"> others.  </w:t>
      </w:r>
      <w:r w:rsidR="00D32D81">
        <w:t xml:space="preserve">A move from one Pareto point to another must always “hurt” one person while it pleases another.  </w:t>
      </w:r>
      <w:r w:rsidR="00D32D81">
        <w:lastRenderedPageBreak/>
        <w:t xml:space="preserve">But </w:t>
      </w:r>
      <w:r w:rsidR="00934A72">
        <w:t>can such a move properly be called optimal</w:t>
      </w:r>
      <w:r w:rsidR="00D32D81">
        <w:t xml:space="preserve"> if the second person B is </w:t>
      </w:r>
      <w:r w:rsidR="00934A72" w:rsidRPr="0064285B">
        <w:rPr>
          <w:i/>
        </w:rPr>
        <w:t>deliberately</w:t>
      </w:r>
      <w:r w:rsidR="00D32D81">
        <w:t xml:space="preserve"> harmed (</w:t>
      </w:r>
      <w:r w:rsidR="00934A72">
        <w:t xml:space="preserve">or </w:t>
      </w:r>
      <w:r w:rsidR="00D32D81">
        <w:t>even killed) solely to benefit person A?</w:t>
      </w:r>
    </w:p>
    <w:p w:rsidR="00155576" w:rsidRDefault="00C714D8" w:rsidP="008D1669">
      <w:pPr>
        <w:spacing w:line="480" w:lineRule="auto"/>
        <w:ind w:firstLine="720"/>
      </w:pPr>
      <w:r>
        <w:t>To</w:t>
      </w:r>
      <w:r w:rsidR="001472DF">
        <w:t xml:space="preserve"> </w:t>
      </w:r>
      <w:r>
        <w:t>locate themselves on</w:t>
      </w:r>
      <w:r w:rsidR="00241DC7">
        <w:t xml:space="preserve"> </w:t>
      </w:r>
      <w:r w:rsidR="00EE5157">
        <w:t>my</w:t>
      </w:r>
      <w:r w:rsidR="007016BA">
        <w:t xml:space="preserve"> </w:t>
      </w:r>
      <w:r w:rsidR="00934A72">
        <w:t>Kant-</w:t>
      </w:r>
      <w:r w:rsidR="00241DC7">
        <w:t>restricted frontier,</w:t>
      </w:r>
      <w:r w:rsidR="00521354">
        <w:t xml:space="preserve"> </w:t>
      </w:r>
      <w:proofErr w:type="spellStart"/>
      <w:r w:rsidR="00521354">
        <w:t>megabankers</w:t>
      </w:r>
      <w:proofErr w:type="spellEnd"/>
      <w:r w:rsidR="00521354">
        <w:t xml:space="preserve"> have an obligation to </w:t>
      </w:r>
      <w:r w:rsidR="00241DC7">
        <w:t>acknowledge and repair</w:t>
      </w:r>
      <w:r w:rsidR="001D1D65">
        <w:t xml:space="preserve"> moral flaw</w:t>
      </w:r>
      <w:r w:rsidR="00521354">
        <w:t>s</w:t>
      </w:r>
      <w:r w:rsidR="009E5CEC">
        <w:t xml:space="preserve"> in </w:t>
      </w:r>
      <w:r w:rsidR="00F46395">
        <w:t>the way that</w:t>
      </w:r>
      <w:r w:rsidR="009E5CEC">
        <w:t xml:space="preserve"> </w:t>
      </w:r>
      <w:r w:rsidR="0064285B">
        <w:t>regulatory</w:t>
      </w:r>
      <w:r w:rsidR="00781D9B">
        <w:t xml:space="preserve"> and megabank</w:t>
      </w:r>
      <w:r w:rsidR="009E5CEC">
        <w:t xml:space="preserve"> cultures</w:t>
      </w:r>
      <w:r w:rsidR="003C799E">
        <w:t xml:space="preserve"> overlap</w:t>
      </w:r>
      <w:r w:rsidR="009E5CEC">
        <w:t xml:space="preserve">.  </w:t>
      </w:r>
      <w:r w:rsidR="00241DC7">
        <w:t>Currently, t</w:t>
      </w:r>
      <w:r w:rsidR="00521354">
        <w:t>hese</w:t>
      </w:r>
      <w:r w:rsidR="001D1D65">
        <w:t xml:space="preserve"> flaw</w:t>
      </w:r>
      <w:r w:rsidR="00521354">
        <w:t>s</w:t>
      </w:r>
      <w:r w:rsidR="009E5CEC">
        <w:t xml:space="preserve"> encourage </w:t>
      </w:r>
      <w:proofErr w:type="spellStart"/>
      <w:r w:rsidR="009E5CEC">
        <w:t>megabankers</w:t>
      </w:r>
      <w:proofErr w:type="spellEnd"/>
      <w:r w:rsidR="009E5CEC">
        <w:t xml:space="preserve"> </w:t>
      </w:r>
      <w:r w:rsidR="00D46482">
        <w:t xml:space="preserve">during economic booms </w:t>
      </w:r>
      <w:r w:rsidR="009E5CEC">
        <w:t xml:space="preserve">to </w:t>
      </w:r>
      <w:r w:rsidR="00CC563F">
        <w:t>expand</w:t>
      </w:r>
      <w:r w:rsidR="00D46482">
        <w:t xml:space="preserve"> the</w:t>
      </w:r>
      <w:r w:rsidR="009E5CEC">
        <w:t xml:space="preserve"> </w:t>
      </w:r>
      <w:r w:rsidR="00992B88">
        <w:t xml:space="preserve">risk </w:t>
      </w:r>
      <w:r w:rsidR="00D46482">
        <w:t>of</w:t>
      </w:r>
      <w:r w:rsidR="00992B88">
        <w:t xml:space="preserve"> ruin their firms </w:t>
      </w:r>
      <w:r w:rsidR="00CC563F">
        <w:t xml:space="preserve">face </w:t>
      </w:r>
      <w:r w:rsidR="009E5CEC">
        <w:t xml:space="preserve">to </w:t>
      </w:r>
      <w:r w:rsidR="00781D9B">
        <w:t xml:space="preserve">boost their </w:t>
      </w:r>
      <w:r w:rsidR="003C799E">
        <w:t xml:space="preserve">firms’ </w:t>
      </w:r>
      <w:r w:rsidR="00241DC7">
        <w:t xml:space="preserve">current </w:t>
      </w:r>
      <w:r w:rsidR="00781D9B">
        <w:t xml:space="preserve">stock price </w:t>
      </w:r>
      <w:r w:rsidR="00521354">
        <w:t xml:space="preserve">and </w:t>
      </w:r>
      <w:r w:rsidR="003C799E">
        <w:t xml:space="preserve">their own </w:t>
      </w:r>
      <w:r w:rsidR="00521354">
        <w:t xml:space="preserve">stock-based compensation </w:t>
      </w:r>
      <w:r w:rsidR="00241DC7">
        <w:t xml:space="preserve">by </w:t>
      </w:r>
      <w:r w:rsidR="00CC563F">
        <w:t xml:space="preserve">devising ways of </w:t>
      </w:r>
      <w:r w:rsidR="00241DC7">
        <w:t>shifting</w:t>
      </w:r>
      <w:r w:rsidR="00521354">
        <w:t xml:space="preserve"> </w:t>
      </w:r>
      <w:r w:rsidR="00CC563F" w:rsidRPr="00CC563F">
        <w:rPr>
          <w:i/>
        </w:rPr>
        <w:t>de facto</w:t>
      </w:r>
      <w:r w:rsidR="00521354">
        <w:t xml:space="preserve"> responsibility for </w:t>
      </w:r>
      <w:r w:rsidR="00241DC7">
        <w:t>covering</w:t>
      </w:r>
      <w:r w:rsidR="00521354">
        <w:t xml:space="preserve"> their firms’ worst</w:t>
      </w:r>
      <w:r w:rsidR="00781D9B">
        <w:t xml:space="preserve"> tail risks </w:t>
      </w:r>
      <w:r w:rsidR="00521354">
        <w:t>to</w:t>
      </w:r>
      <w:r w:rsidR="009E5CEC">
        <w:t xml:space="preserve"> taxpayers and the citizenry at large.  </w:t>
      </w:r>
      <w:r w:rsidR="00241DC7">
        <w:t xml:space="preserve">To </w:t>
      </w:r>
      <w:r w:rsidR="00CC563F">
        <w:t>attack</w:t>
      </w:r>
      <w:r w:rsidR="00241DC7">
        <w:t xml:space="preserve"> these incentives </w:t>
      </w:r>
      <w:r w:rsidR="00CC563F">
        <w:t xml:space="preserve">directly </w:t>
      </w:r>
      <w:r w:rsidR="00241DC7">
        <w:t>requires changes</w:t>
      </w:r>
      <w:r w:rsidR="009E5CEC">
        <w:t xml:space="preserve"> </w:t>
      </w:r>
      <w:r w:rsidR="001D1D65">
        <w:t xml:space="preserve">in company law and </w:t>
      </w:r>
      <w:r w:rsidR="00434C9A">
        <w:t xml:space="preserve">in </w:t>
      </w:r>
      <w:r w:rsidR="001D1D65">
        <w:t xml:space="preserve">prosecutorial duties </w:t>
      </w:r>
      <w:r w:rsidR="003C799E">
        <w:t xml:space="preserve">aimed </w:t>
      </w:r>
      <w:r w:rsidR="00434C9A">
        <w:t>at</w:t>
      </w:r>
      <w:r w:rsidR="003C799E">
        <w:t xml:space="preserve"> compelling</w:t>
      </w:r>
      <w:r w:rsidR="009E5CEC">
        <w:t xml:space="preserve"> </w:t>
      </w:r>
      <w:proofErr w:type="spellStart"/>
      <w:r w:rsidR="00434C9A">
        <w:t>megabankers</w:t>
      </w:r>
      <w:proofErr w:type="spellEnd"/>
      <w:r w:rsidR="00434C9A">
        <w:t xml:space="preserve"> and central-bank</w:t>
      </w:r>
      <w:r w:rsidR="00241DC7">
        <w:t xml:space="preserve"> officials in </w:t>
      </w:r>
      <w:r w:rsidR="00CC563F">
        <w:t xml:space="preserve">every </w:t>
      </w:r>
      <w:r w:rsidR="0064285B">
        <w:t>major</w:t>
      </w:r>
      <w:r w:rsidR="009E5CEC">
        <w:t xml:space="preserve"> co</w:t>
      </w:r>
      <w:r w:rsidR="00CC563F">
        <w:t>untry</w:t>
      </w:r>
      <w:r w:rsidR="009E5CEC">
        <w:t>’</w:t>
      </w:r>
      <w:r w:rsidR="00CC563F">
        <w:t>s</w:t>
      </w:r>
      <w:r w:rsidR="009E5CEC">
        <w:t xml:space="preserve"> financial </w:t>
      </w:r>
      <w:r w:rsidR="00781D9B">
        <w:t xml:space="preserve">and government </w:t>
      </w:r>
      <w:r w:rsidR="009E5CEC">
        <w:t xml:space="preserve">sectors </w:t>
      </w:r>
      <w:r w:rsidR="00241DC7">
        <w:t xml:space="preserve">to </w:t>
      </w:r>
      <w:r w:rsidR="00992B88">
        <w:t xml:space="preserve">treat taxpayers </w:t>
      </w:r>
      <w:r w:rsidR="00781D9B">
        <w:t>more fairly</w:t>
      </w:r>
      <w:r w:rsidR="00992B88">
        <w:t>.</w:t>
      </w:r>
    </w:p>
    <w:p w:rsidR="00781D9B" w:rsidRDefault="00781D9B" w:rsidP="001F6C98">
      <w:pPr>
        <w:spacing w:line="480" w:lineRule="auto"/>
        <w:ind w:firstLine="720"/>
      </w:pPr>
    </w:p>
    <w:p w:rsidR="00781D9B" w:rsidRPr="00781D9B" w:rsidRDefault="00781D9B" w:rsidP="00781D9B">
      <w:pPr>
        <w:spacing w:line="480" w:lineRule="auto"/>
      </w:pPr>
      <w:r>
        <w:rPr>
          <w:u w:val="single"/>
        </w:rPr>
        <w:t xml:space="preserve">How Should </w:t>
      </w:r>
      <w:proofErr w:type="spellStart"/>
      <w:r>
        <w:rPr>
          <w:u w:val="single"/>
        </w:rPr>
        <w:t>Megabankers</w:t>
      </w:r>
      <w:proofErr w:type="spellEnd"/>
      <w:r>
        <w:rPr>
          <w:u w:val="single"/>
        </w:rPr>
        <w:t xml:space="preserve"> Defend and Expand Their Profit-Making Activity?</w:t>
      </w:r>
    </w:p>
    <w:p w:rsidR="00EE5157" w:rsidRDefault="001472DF" w:rsidP="00037452">
      <w:pPr>
        <w:spacing w:line="480" w:lineRule="auto"/>
        <w:ind w:firstLine="720"/>
      </w:pPr>
      <w:r>
        <w:t>Despite the widespread suspicion that megabanks have become too large and complex to manage efficiently, i</w:t>
      </w:r>
      <w:r w:rsidR="00781D9B">
        <w:t xml:space="preserve">n the aftermath of the crisis, megabanks have </w:t>
      </w:r>
      <w:r w:rsidR="0011403D">
        <w:t>been allowed to increase</w:t>
      </w:r>
      <w:r w:rsidR="00781D9B">
        <w:t xml:space="preserve"> their </w:t>
      </w:r>
      <w:r w:rsidR="000A71FA">
        <w:t xml:space="preserve">market </w:t>
      </w:r>
      <w:r w:rsidR="00EE5157">
        <w:t>power</w:t>
      </w:r>
      <w:r>
        <w:t xml:space="preserve"> substantially</w:t>
      </w:r>
      <w:r w:rsidR="00781D9B">
        <w:t xml:space="preserve">.  </w:t>
      </w:r>
      <w:r w:rsidR="00A00AD6">
        <w:t>For the US, t</w:t>
      </w:r>
      <w:r w:rsidR="00EE5157">
        <w:t xml:space="preserve">he increase in market power is indicated graphically in Figure </w:t>
      </w:r>
      <w:r w:rsidR="00E461E5">
        <w:t xml:space="preserve">4 </w:t>
      </w:r>
      <w:r w:rsidR="00EE5157">
        <w:t>using the Hirschman-</w:t>
      </w:r>
      <w:proofErr w:type="spellStart"/>
      <w:r w:rsidR="00EE5157">
        <w:t>Herfindahl</w:t>
      </w:r>
      <w:proofErr w:type="spellEnd"/>
      <w:r w:rsidR="00EE5157">
        <w:t xml:space="preserve"> Index.</w:t>
      </w:r>
    </w:p>
    <w:p w:rsidR="00D44D23" w:rsidRDefault="00113601" w:rsidP="00037452">
      <w:pPr>
        <w:spacing w:line="480" w:lineRule="auto"/>
        <w:ind w:firstLine="720"/>
      </w:pPr>
      <w:r>
        <w:t xml:space="preserve">Arguably, </w:t>
      </w:r>
      <w:r w:rsidR="00811CB6">
        <w:t xml:space="preserve">megabanks owe </w:t>
      </w:r>
      <w:r w:rsidR="00781D9B">
        <w:t>this</w:t>
      </w:r>
      <w:r w:rsidR="00811CB6">
        <w:t xml:space="preserve"> </w:t>
      </w:r>
      <w:r w:rsidR="00650E14">
        <w:t>development</w:t>
      </w:r>
      <w:r w:rsidR="00811CB6">
        <w:t xml:space="preserve"> to </w:t>
      </w:r>
      <w:r w:rsidR="009C189B">
        <w:t>an</w:t>
      </w:r>
      <w:r w:rsidR="00811CB6">
        <w:t xml:space="preserve"> ability to corrupt </w:t>
      </w:r>
      <w:r w:rsidR="00EC3555">
        <w:t>the politics of the regulatory system</w:t>
      </w:r>
      <w:r w:rsidR="00434C9A">
        <w:t xml:space="preserve"> to impose disproportionate paperwork burdens on smaller competitors</w:t>
      </w:r>
      <w:r w:rsidR="00811CB6">
        <w:t>.  I</w:t>
      </w:r>
      <w:r>
        <w:t>n the absence of</w:t>
      </w:r>
      <w:r w:rsidR="00A449DA">
        <w:t xml:space="preserve"> safety-net subsidies</w:t>
      </w:r>
      <w:r>
        <w:t xml:space="preserve"> to tail risk</w:t>
      </w:r>
      <w:r w:rsidR="00037452">
        <w:t>s</w:t>
      </w:r>
      <w:r w:rsidR="00A449DA">
        <w:t>, many</w:t>
      </w:r>
      <w:r w:rsidR="001F6C98">
        <w:t xml:space="preserve"> of the tasks </w:t>
      </w:r>
      <w:r>
        <w:t>megabanks</w:t>
      </w:r>
      <w:r w:rsidR="001F6C98">
        <w:t xml:space="preserve"> perform </w:t>
      </w:r>
      <w:r w:rsidR="00781D9B">
        <w:t xml:space="preserve">through subsidiaries </w:t>
      </w:r>
      <w:r w:rsidR="001F6C98">
        <w:t xml:space="preserve">could be </w:t>
      </w:r>
      <w:r w:rsidR="00A449DA">
        <w:t xml:space="preserve">accomplished </w:t>
      </w:r>
      <w:r w:rsidR="00811CB6">
        <w:t xml:space="preserve">as well </w:t>
      </w:r>
      <w:r w:rsidR="00EC3555">
        <w:t xml:space="preserve">(or perhaps even </w:t>
      </w:r>
      <w:r w:rsidR="00811CB6">
        <w:t>better</w:t>
      </w:r>
      <w:r w:rsidR="00EC3555">
        <w:t xml:space="preserve">) </w:t>
      </w:r>
      <w:r w:rsidR="00A449DA">
        <w:t xml:space="preserve">by </w:t>
      </w:r>
      <w:r w:rsidR="00781D9B">
        <w:t xml:space="preserve">more loosely </w:t>
      </w:r>
      <w:r w:rsidR="00155576">
        <w:t>affiliated</w:t>
      </w:r>
      <w:r w:rsidR="00A449DA">
        <w:t xml:space="preserve"> firms</w:t>
      </w:r>
      <w:r w:rsidR="00781D9B">
        <w:t>,</w:t>
      </w:r>
      <w:r w:rsidR="00A449DA">
        <w:t xml:space="preserve"> </w:t>
      </w:r>
      <w:r w:rsidR="00EC3555">
        <w:t>able</w:t>
      </w:r>
      <w:r w:rsidR="00811CB6">
        <w:t xml:space="preserve"> to co-ordinate</w:t>
      </w:r>
      <w:r>
        <w:t xml:space="preserve"> their behavior across a series of</w:t>
      </w:r>
      <w:r w:rsidR="001F6C98">
        <w:t xml:space="preserve"> </w:t>
      </w:r>
      <w:r w:rsidR="00A449DA">
        <w:t xml:space="preserve">external </w:t>
      </w:r>
      <w:r w:rsidR="00811CB6">
        <w:t xml:space="preserve">information </w:t>
      </w:r>
      <w:r w:rsidR="00EC3555">
        <w:t xml:space="preserve">networks </w:t>
      </w:r>
      <w:r w:rsidR="00811CB6">
        <w:t xml:space="preserve">and trading </w:t>
      </w:r>
      <w:r w:rsidR="00A449DA">
        <w:t>platforms</w:t>
      </w:r>
      <w:r w:rsidR="001F6C98">
        <w:t>.</w:t>
      </w:r>
      <w:r w:rsidR="00D44D23" w:rsidRPr="00D44D23">
        <w:t xml:space="preserve"> </w:t>
      </w:r>
      <w:r w:rsidR="00811CB6">
        <w:t xml:space="preserve"> </w:t>
      </w:r>
      <w:r w:rsidR="00D44D23">
        <w:t xml:space="preserve">But </w:t>
      </w:r>
      <w:r w:rsidR="00EC3555">
        <w:t xml:space="preserve">because </w:t>
      </w:r>
      <w:r w:rsidR="00811CB6">
        <w:t xml:space="preserve">the </w:t>
      </w:r>
      <w:r w:rsidR="00811CB6" w:rsidRPr="0064285B">
        <w:rPr>
          <w:i/>
        </w:rPr>
        <w:t>reliability</w:t>
      </w:r>
      <w:r w:rsidR="00811CB6">
        <w:t xml:space="preserve"> of </w:t>
      </w:r>
      <w:r w:rsidR="000A71FA">
        <w:t xml:space="preserve">its access to </w:t>
      </w:r>
      <w:r w:rsidR="00D44D23">
        <w:t>safety-net subsidies grow</w:t>
      </w:r>
      <w:r w:rsidR="00811CB6">
        <w:t>s</w:t>
      </w:r>
      <w:r w:rsidR="00D44D23">
        <w:t xml:space="preserve"> with </w:t>
      </w:r>
      <w:r w:rsidR="000A71FA">
        <w:t xml:space="preserve">the political clout </w:t>
      </w:r>
      <w:r w:rsidR="00241DC7">
        <w:t xml:space="preserve">that </w:t>
      </w:r>
      <w:r w:rsidR="000A71FA">
        <w:t>a bank can generate by increasing its</w:t>
      </w:r>
      <w:r w:rsidR="00D44D23">
        <w:t xml:space="preserve"> size, complexity and geographic </w:t>
      </w:r>
      <w:r w:rsidR="00241DC7">
        <w:lastRenderedPageBreak/>
        <w:t>footprint</w:t>
      </w:r>
      <w:r w:rsidR="00EC3555">
        <w:t xml:space="preserve">, megabanks </w:t>
      </w:r>
      <w:r w:rsidR="00A00AD6">
        <w:t xml:space="preserve">have an </w:t>
      </w:r>
      <w:r w:rsidR="0064285B">
        <w:t>excessive appetite for takeover</w:t>
      </w:r>
      <w:r w:rsidR="00A00AD6">
        <w:t xml:space="preserve"> </w:t>
      </w:r>
      <w:r w:rsidR="00CC563F">
        <w:t>(Kane, 2000</w:t>
      </w:r>
      <w:r w:rsidR="0064285B">
        <w:t>) and a disproportionate influence on the shape of evolving banking laws and regulation</w:t>
      </w:r>
      <w:r w:rsidR="00D44D23">
        <w:t xml:space="preserve">.  The </w:t>
      </w:r>
      <w:r w:rsidR="0064285B">
        <w:t>sustained growth</w:t>
      </w:r>
      <w:r w:rsidR="00D44D23">
        <w:t xml:space="preserve"> of very large banks and the political power necessary </w:t>
      </w:r>
      <w:r w:rsidR="0064285B">
        <w:t>that</w:t>
      </w:r>
      <w:r w:rsidR="00241DC7">
        <w:t xml:space="preserve"> </w:t>
      </w:r>
      <w:r w:rsidR="00CC563F">
        <w:t>fuels</w:t>
      </w:r>
      <w:r w:rsidR="00241DC7">
        <w:t xml:space="preserve"> this </w:t>
      </w:r>
      <w:r w:rsidR="0064285B">
        <w:t>growth</w:t>
      </w:r>
      <w:r w:rsidR="00241DC7">
        <w:t xml:space="preserve"> </w:t>
      </w:r>
      <w:r w:rsidR="003C799E">
        <w:t xml:space="preserve">are </w:t>
      </w:r>
      <w:r w:rsidR="0064285B">
        <w:t xml:space="preserve">imposing onerous reporting burdens on small </w:t>
      </w:r>
      <w:r w:rsidR="00D44D23">
        <w:t>bank</w:t>
      </w:r>
      <w:r w:rsidR="0064285B">
        <w:t>s</w:t>
      </w:r>
      <w:r w:rsidR="00D44D23">
        <w:t xml:space="preserve"> </w:t>
      </w:r>
      <w:r w:rsidR="00CC563F">
        <w:t xml:space="preserve">that have all but eliminated new entry in recent years </w:t>
      </w:r>
      <w:r w:rsidR="00D44D23">
        <w:t xml:space="preserve">and </w:t>
      </w:r>
      <w:r w:rsidR="00D46482">
        <w:t>encouraged existing competitors</w:t>
      </w:r>
      <w:r w:rsidR="00CC563F">
        <w:t xml:space="preserve"> to offer themselves up</w:t>
      </w:r>
      <w:r w:rsidR="0064285B">
        <w:t xml:space="preserve"> for</w:t>
      </w:r>
      <w:r w:rsidR="00D44D23">
        <w:t xml:space="preserve"> </w:t>
      </w:r>
      <w:r w:rsidR="00D46482">
        <w:t>sale to</w:t>
      </w:r>
      <w:r w:rsidR="00D44D23">
        <w:t xml:space="preserve"> </w:t>
      </w:r>
      <w:r w:rsidR="00CC563F">
        <w:t>a larger entity</w:t>
      </w:r>
      <w:r w:rsidR="00D44D23">
        <w:t>.</w:t>
      </w:r>
    </w:p>
    <w:p w:rsidR="00D44D23" w:rsidRPr="00C15768" w:rsidRDefault="00781D9B" w:rsidP="00037452">
      <w:pPr>
        <w:spacing w:line="480" w:lineRule="auto"/>
        <w:ind w:firstLine="720"/>
      </w:pPr>
      <w:r>
        <w:t>Kant’s second moral imperative tells us th</w:t>
      </w:r>
      <w:r w:rsidR="00C15768">
        <w:t xml:space="preserve">at using the political and regulatory system to promote one’s welfare at the expense of competitors and ordinary citizens is </w:t>
      </w:r>
      <w:r w:rsidR="00C15768">
        <w:rPr>
          <w:u w:val="single"/>
        </w:rPr>
        <w:t>per se</w:t>
      </w:r>
      <w:r w:rsidR="00C15768">
        <w:t xml:space="preserve"> </w:t>
      </w:r>
      <w:r w:rsidR="00D32D81">
        <w:t>immoral</w:t>
      </w:r>
      <w:r w:rsidR="00C15768">
        <w:t xml:space="preserve">.  The harm suffered by </w:t>
      </w:r>
      <w:r w:rsidR="003C799E">
        <w:t>ordinary</w:t>
      </w:r>
      <w:r w:rsidR="00C15768">
        <w:t xml:space="preserve"> citizens </w:t>
      </w:r>
      <w:r w:rsidR="003C799E">
        <w:t xml:space="preserve">through the safety net depends on the same kind of coercion </w:t>
      </w:r>
      <w:r w:rsidR="00434C9A">
        <w:t>that</w:t>
      </w:r>
      <w:r w:rsidR="003C799E">
        <w:t xml:space="preserve"> we see in</w:t>
      </w:r>
      <w:r w:rsidR="000A71FA">
        <w:t xml:space="preserve"> </w:t>
      </w:r>
      <w:r w:rsidR="00C15768">
        <w:t>a protection racket</w:t>
      </w:r>
      <w:r w:rsidR="000A71FA">
        <w:t xml:space="preserve">.  Force is used or threatened by </w:t>
      </w:r>
      <w:r w:rsidR="00241DC7">
        <w:t>employing the central bank</w:t>
      </w:r>
      <w:r w:rsidR="000A71FA">
        <w:t xml:space="preserve"> </w:t>
      </w:r>
      <w:r w:rsidR="00D32D81">
        <w:t xml:space="preserve">and taxing authority </w:t>
      </w:r>
      <w:r w:rsidR="000A71FA">
        <w:t xml:space="preserve">as </w:t>
      </w:r>
      <w:r w:rsidR="00D32D81">
        <w:t>middleme</w:t>
      </w:r>
      <w:r w:rsidR="000A71FA">
        <w:t>n</w:t>
      </w:r>
      <w:r w:rsidR="00C15768">
        <w:t xml:space="preserve"> </w:t>
      </w:r>
      <w:r w:rsidR="00D32D81">
        <w:t>that</w:t>
      </w:r>
      <w:r w:rsidR="00C15768">
        <w:t xml:space="preserve"> </w:t>
      </w:r>
      <w:r w:rsidR="00434C9A">
        <w:t>scare the citizenry into transferring</w:t>
      </w:r>
      <w:r w:rsidR="00C15768">
        <w:t xml:space="preserve"> resources through the safety net from </w:t>
      </w:r>
      <w:r w:rsidR="00434C9A">
        <w:t>the central bank</w:t>
      </w:r>
      <w:r w:rsidR="000A71FA">
        <w:t xml:space="preserve"> to megabank perpetrators.  </w:t>
      </w:r>
      <w:r w:rsidR="00241DC7">
        <w:t xml:space="preserve">The Great </w:t>
      </w:r>
      <w:r w:rsidR="003C799E">
        <w:t xml:space="preserve">Recession that has followed the Great </w:t>
      </w:r>
      <w:r w:rsidR="00241DC7">
        <w:t>Financial crisis</w:t>
      </w:r>
      <w:r w:rsidR="000A71FA">
        <w:t xml:space="preserve"> show</w:t>
      </w:r>
      <w:r w:rsidR="00241DC7">
        <w:t>s</w:t>
      </w:r>
      <w:r w:rsidR="000A71FA">
        <w:t xml:space="preserve"> that </w:t>
      </w:r>
      <w:r w:rsidR="00241DC7">
        <w:t>t</w:t>
      </w:r>
      <w:r w:rsidR="00C15768">
        <w:t xml:space="preserve">he level of harm </w:t>
      </w:r>
      <w:r w:rsidR="000A71FA">
        <w:t xml:space="preserve">has </w:t>
      </w:r>
      <w:r w:rsidR="00241DC7">
        <w:t>become</w:t>
      </w:r>
      <w:r w:rsidR="00C15768">
        <w:t xml:space="preserve"> high enough that </w:t>
      </w:r>
      <w:r w:rsidR="000A71FA">
        <w:t>citizens</w:t>
      </w:r>
      <w:r w:rsidR="00C15768">
        <w:t xml:space="preserve"> have a right to expect </w:t>
      </w:r>
      <w:proofErr w:type="spellStart"/>
      <w:r w:rsidR="003C799E">
        <w:t>megabankers</w:t>
      </w:r>
      <w:proofErr w:type="spellEnd"/>
      <w:r w:rsidR="00C15768">
        <w:t xml:space="preserve"> and regulators to make a </w:t>
      </w:r>
      <w:r w:rsidR="00241DC7">
        <w:t>sincere</w:t>
      </w:r>
      <w:r w:rsidR="00C15768">
        <w:t xml:space="preserve"> effort to understand </w:t>
      </w:r>
      <w:r w:rsidR="000A71FA">
        <w:t xml:space="preserve">and repair the </w:t>
      </w:r>
      <w:r w:rsidR="0064285B">
        <w:t>incentives</w:t>
      </w:r>
      <w:r w:rsidR="000A71FA">
        <w:t xml:space="preserve"> that </w:t>
      </w:r>
      <w:r w:rsidR="00434C9A">
        <w:t xml:space="preserve">have </w:t>
      </w:r>
      <w:r w:rsidR="000A71FA">
        <w:t>sustain</w:t>
      </w:r>
      <w:r w:rsidR="00434C9A">
        <w:t>ed this</w:t>
      </w:r>
      <w:r w:rsidR="000A71FA">
        <w:t xml:space="preserve"> </w:t>
      </w:r>
      <w:r w:rsidR="00C15768">
        <w:t>process.</w:t>
      </w:r>
      <w:r w:rsidR="003C799E">
        <w:t xml:space="preserve">  </w:t>
      </w:r>
    </w:p>
    <w:p w:rsidR="00D44D23" w:rsidRDefault="00D44D23" w:rsidP="00037452">
      <w:pPr>
        <w:spacing w:line="480" w:lineRule="auto"/>
        <w:ind w:firstLine="720"/>
      </w:pPr>
    </w:p>
    <w:p w:rsidR="00241DC7" w:rsidRDefault="00CC563F" w:rsidP="00241DC7">
      <w:pPr>
        <w:spacing w:line="480" w:lineRule="auto"/>
      </w:pPr>
      <w:r>
        <w:rPr>
          <w:u w:val="single"/>
        </w:rPr>
        <w:t xml:space="preserve">Incentive </w:t>
      </w:r>
      <w:r w:rsidR="0064285B">
        <w:rPr>
          <w:u w:val="single"/>
        </w:rPr>
        <w:t>Conflicts Built into</w:t>
      </w:r>
      <w:r w:rsidR="00241DC7">
        <w:rPr>
          <w:u w:val="single"/>
        </w:rPr>
        <w:t xml:space="preserve"> Central-Bank Culture</w:t>
      </w:r>
      <w:r w:rsidR="0064285B">
        <w:rPr>
          <w:u w:val="single"/>
        </w:rPr>
        <w:t>s</w:t>
      </w:r>
    </w:p>
    <w:p w:rsidR="00241DC7" w:rsidRDefault="00434C9A" w:rsidP="00241DC7">
      <w:pPr>
        <w:spacing w:line="480" w:lineRule="auto"/>
        <w:ind w:firstLine="720"/>
      </w:pPr>
      <w:r>
        <w:t xml:space="preserve">It’s important to understand what’s gone wrong at central banks.  </w:t>
      </w:r>
      <w:r w:rsidR="003C799E">
        <w:t xml:space="preserve">The problem is not that prudential regulators do not </w:t>
      </w:r>
      <w:r w:rsidR="003C799E">
        <w:rPr>
          <w:i/>
        </w:rPr>
        <w:t>want</w:t>
      </w:r>
      <w:r w:rsidR="003C799E">
        <w:t xml:space="preserve"> to protect society from the consequences of reckless risk-taking, capital shortages, and loss concealment at megabanks.  The problem is that they also have other </w:t>
      </w:r>
      <w:r>
        <w:t xml:space="preserve">important </w:t>
      </w:r>
      <w:r w:rsidR="003C799E">
        <w:t>fish to fry.</w:t>
      </w:r>
    </w:p>
    <w:p w:rsidR="00C714D8" w:rsidRDefault="007016BA" w:rsidP="00241DC7">
      <w:pPr>
        <w:spacing w:line="480" w:lineRule="auto"/>
        <w:ind w:firstLine="720"/>
      </w:pPr>
      <w:r>
        <w:t xml:space="preserve">Various memoirs [e.g., </w:t>
      </w:r>
      <w:r w:rsidR="001472DF">
        <w:t xml:space="preserve">Arthur </w:t>
      </w:r>
      <w:r w:rsidR="00C714D8">
        <w:t xml:space="preserve">Burns’ diaries </w:t>
      </w:r>
      <w:r w:rsidR="001472DF">
        <w:t>(compiled in</w:t>
      </w:r>
      <w:r w:rsidR="00C714D8">
        <w:t xml:space="preserve"> </w:t>
      </w:r>
      <w:r w:rsidR="001472DF">
        <w:t xml:space="preserve">Ferrell, </w:t>
      </w:r>
      <w:r>
        <w:t>2010) and Berna</w:t>
      </w:r>
      <w:r w:rsidR="00C714D8">
        <w:t>n</w:t>
      </w:r>
      <w:r>
        <w:t xml:space="preserve">ke (2015)] indicate that central bankers see themselves as </w:t>
      </w:r>
      <w:r w:rsidR="00EE5157">
        <w:t>an</w:t>
      </w:r>
      <w:r>
        <w:t xml:space="preserve"> unfairly scapegoated team of heroes who in difficult times are assigned a series of overambitious goals by cynical politicians.  </w:t>
      </w:r>
      <w:r w:rsidR="00C714D8">
        <w:t xml:space="preserve">In </w:t>
      </w:r>
      <w:r w:rsidR="00C714D8">
        <w:lastRenderedPageBreak/>
        <w:t>advanced countries, p</w:t>
      </w:r>
      <w:r>
        <w:t xml:space="preserve">erformance norms for crisis management embody long-held assumptions about how regulators </w:t>
      </w:r>
      <w:r w:rsidR="001472DF">
        <w:t>might</w:t>
      </w:r>
      <w:r w:rsidR="00C714D8">
        <w:t xml:space="preserve"> best</w:t>
      </w:r>
      <w:r>
        <w:t xml:space="preserve"> dea</w:t>
      </w:r>
      <w:r w:rsidR="00C714D8">
        <w:t xml:space="preserve">l with a distressed </w:t>
      </w:r>
      <w:r w:rsidR="00A00AD6">
        <w:t>banking sector</w:t>
      </w:r>
      <w:r w:rsidR="00C714D8">
        <w:t>.  First, a</w:t>
      </w:r>
      <w:r>
        <w:t xml:space="preserve"> </w:t>
      </w:r>
      <w:r>
        <w:rPr>
          <w:i/>
        </w:rPr>
        <w:t>market-calming norm</w:t>
      </w:r>
      <w:r>
        <w:t xml:space="preserve"> says that it is okay to mischaracterize the </w:t>
      </w:r>
      <w:r w:rsidR="000F1BC3">
        <w:t>nature</w:t>
      </w:r>
      <w:r>
        <w:t xml:space="preserve"> of a hopelessly insolvent zombie firm’s distress as a liquidity problem to forestall a</w:t>
      </w:r>
      <w:r w:rsidR="00D32D81">
        <w:t xml:space="preserve"> threatened</w:t>
      </w:r>
      <w:r>
        <w:t xml:space="preserve"> run or system meltdown.  T</w:t>
      </w:r>
      <w:r w:rsidR="00C714D8">
        <w:t>hen, t</w:t>
      </w:r>
      <w:r>
        <w:t xml:space="preserve">o minimize spillover effects, </w:t>
      </w:r>
      <w:r w:rsidR="00E336EB">
        <w:t xml:space="preserve">central bankers </w:t>
      </w:r>
      <w:r w:rsidR="00C714D8">
        <w:t xml:space="preserve">also </w:t>
      </w:r>
      <w:r w:rsidR="00E336EB">
        <w:t>claim a duty to rescu</w:t>
      </w:r>
      <w:r w:rsidR="00A00AD6">
        <w:t xml:space="preserve">e the creditors of troubled </w:t>
      </w:r>
      <w:r w:rsidR="00E336EB">
        <w:t xml:space="preserve">banks </w:t>
      </w:r>
      <w:r w:rsidR="00E336EB" w:rsidRPr="00C714D8">
        <w:rPr>
          <w:i/>
        </w:rPr>
        <w:t>as fully as possible</w:t>
      </w:r>
      <w:r w:rsidR="00E336EB">
        <w:t xml:space="preserve">.  </w:t>
      </w:r>
    </w:p>
    <w:p w:rsidR="00E336EB" w:rsidRDefault="00E336EB" w:rsidP="00241DC7">
      <w:pPr>
        <w:spacing w:line="480" w:lineRule="auto"/>
        <w:ind w:firstLine="720"/>
      </w:pPr>
      <w:r>
        <w:t xml:space="preserve">But Kant makes clear that </w:t>
      </w:r>
      <w:r w:rsidR="00C714D8">
        <w:t>any</w:t>
      </w:r>
      <w:r>
        <w:t xml:space="preserve"> </w:t>
      </w:r>
      <w:r w:rsidR="001472DF">
        <w:t>and all duties</w:t>
      </w:r>
      <w:r w:rsidR="00C714D8">
        <w:t xml:space="preserve"> of rescue</w:t>
      </w:r>
      <w:r>
        <w:t xml:space="preserve"> </w:t>
      </w:r>
      <w:r w:rsidR="001472DF">
        <w:t>are</w:t>
      </w:r>
      <w:r>
        <w:t xml:space="preserve"> inferior to the moral imperative of </w:t>
      </w:r>
      <w:r>
        <w:rPr>
          <w:i/>
        </w:rPr>
        <w:t>not harming</w:t>
      </w:r>
      <w:r>
        <w:t xml:space="preserve"> other citizens.</w:t>
      </w:r>
      <w:r w:rsidR="00C714D8">
        <w:t xml:space="preserve">  To respect this imperative, central bankers must not </w:t>
      </w:r>
      <w:r w:rsidR="001472DF">
        <w:t>use the window of relief that</w:t>
      </w:r>
      <w:r w:rsidR="00C714D8">
        <w:t xml:space="preserve"> </w:t>
      </w:r>
      <w:r w:rsidR="00DE46E4">
        <w:t>emergency</w:t>
      </w:r>
      <w:r w:rsidR="00C714D8">
        <w:t xml:space="preserve"> guarantees </w:t>
      </w:r>
      <w:r w:rsidR="001472DF">
        <w:t xml:space="preserve">provide </w:t>
      </w:r>
      <w:r w:rsidR="00C714D8">
        <w:t xml:space="preserve">to </w:t>
      </w:r>
      <w:r w:rsidR="001472DF">
        <w:t xml:space="preserve">delay or </w:t>
      </w:r>
      <w:r w:rsidR="00C714D8">
        <w:t xml:space="preserve">avoid the cleanup </w:t>
      </w:r>
      <w:r w:rsidR="00DE46E4">
        <w:t>and allocation of losses</w:t>
      </w:r>
      <w:r w:rsidR="00C714D8">
        <w:t xml:space="preserve"> that economic recovery requires (Kane and </w:t>
      </w:r>
      <w:proofErr w:type="spellStart"/>
      <w:r w:rsidR="00C714D8">
        <w:t>Klingebiel</w:t>
      </w:r>
      <w:proofErr w:type="spellEnd"/>
      <w:r w:rsidR="00C714D8">
        <w:t>, 20</w:t>
      </w:r>
      <w:r w:rsidR="000A38C9">
        <w:t>0</w:t>
      </w:r>
      <w:r w:rsidR="00C714D8">
        <w:t>4).</w:t>
      </w:r>
    </w:p>
    <w:p w:rsidR="00E336EB" w:rsidRDefault="001472DF" w:rsidP="00241DC7">
      <w:pPr>
        <w:spacing w:line="480" w:lineRule="auto"/>
        <w:ind w:firstLine="720"/>
      </w:pPr>
      <w:r>
        <w:t>I find it</w:t>
      </w:r>
      <w:r w:rsidR="00E336EB">
        <w:t xml:space="preserve"> instructive to contrast central-bank efforts to rescue managers, creditors, and stockholders of zombie institutions with </w:t>
      </w:r>
      <w:r w:rsidR="00C714D8">
        <w:t xml:space="preserve">the </w:t>
      </w:r>
      <w:r>
        <w:t>way</w:t>
      </w:r>
      <w:r w:rsidR="00E336EB">
        <w:t xml:space="preserve"> firefighters</w:t>
      </w:r>
      <w:r>
        <w:t xml:space="preserve"> approach their jobs</w:t>
      </w:r>
      <w:r w:rsidR="00E336EB">
        <w:t xml:space="preserve">.  Both professions prioritize a duty of rescue, but providing </w:t>
      </w:r>
      <w:r w:rsidR="00C714D8">
        <w:t>funding</w:t>
      </w:r>
      <w:r w:rsidR="00E336EB">
        <w:t xml:space="preserve"> support </w:t>
      </w:r>
      <w:r w:rsidR="00C714D8">
        <w:t>to an insolvent</w:t>
      </w:r>
      <w:r w:rsidR="00A00AD6">
        <w:t xml:space="preserve"> </w:t>
      </w:r>
      <w:r w:rsidR="00C714D8">
        <w:t xml:space="preserve">bank </w:t>
      </w:r>
      <w:r w:rsidR="00E336EB">
        <w:t xml:space="preserve">without resolving </w:t>
      </w:r>
      <w:r w:rsidR="00C714D8">
        <w:t>its</w:t>
      </w:r>
      <w:r w:rsidR="00E336EB">
        <w:t xml:space="preserve"> insolvency </w:t>
      </w:r>
      <w:r w:rsidR="00C714D8">
        <w:t>amounts to abandoning</w:t>
      </w:r>
      <w:r w:rsidR="00E336EB">
        <w:t xml:space="preserve"> </w:t>
      </w:r>
      <w:r w:rsidR="00EE5157">
        <w:t xml:space="preserve">prematurely </w:t>
      </w:r>
      <w:r w:rsidR="00E336EB">
        <w:t xml:space="preserve">the </w:t>
      </w:r>
      <w:r w:rsidR="00650E14">
        <w:t xml:space="preserve">metaphorical </w:t>
      </w:r>
      <w:r w:rsidR="00E336EB">
        <w:t>“fire”</w:t>
      </w:r>
      <w:r w:rsidR="00EE5157">
        <w:t xml:space="preserve"> </w:t>
      </w:r>
      <w:r w:rsidR="00650E14">
        <w:t>that has burnt through</w:t>
      </w:r>
      <w:r w:rsidR="00EE5157">
        <w:t xml:space="preserve"> its assets</w:t>
      </w:r>
      <w:r w:rsidR="00E336EB">
        <w:t xml:space="preserve">.  </w:t>
      </w:r>
      <w:r w:rsidR="00EE5157">
        <w:t>Providing credit support to</w:t>
      </w:r>
      <w:r w:rsidR="00C714D8">
        <w:t xml:space="preserve"> a zombie firm allows </w:t>
      </w:r>
      <w:r>
        <w:t xml:space="preserve">the ashes of </w:t>
      </w:r>
      <w:r w:rsidR="00C714D8">
        <w:t>its</w:t>
      </w:r>
      <w:r w:rsidR="00E336EB">
        <w:t xml:space="preserve"> insolvency to fester</w:t>
      </w:r>
      <w:r w:rsidR="00C714D8">
        <w:t xml:space="preserve"> and encourages arsonist managers </w:t>
      </w:r>
      <w:r w:rsidR="00E336EB">
        <w:t xml:space="preserve">to fan the flames by </w:t>
      </w:r>
      <w:r>
        <w:t xml:space="preserve">loading up on new forms of tail risks.  On average, the lack of sustainability in the real investments the </w:t>
      </w:r>
      <w:r w:rsidR="00DE46E4">
        <w:t xml:space="preserve">zombie-bank </w:t>
      </w:r>
      <w:r>
        <w:t xml:space="preserve">borrowers are encouraged to pursue </w:t>
      </w:r>
      <w:r w:rsidR="004407BE">
        <w:t>is</w:t>
      </w:r>
      <w:r>
        <w:t xml:space="preserve"> bound to slow macroeconomic</w:t>
      </w:r>
      <w:r w:rsidR="00C714D8">
        <w:t xml:space="preserve"> recovery</w:t>
      </w:r>
      <w:r w:rsidR="00E336EB">
        <w:t xml:space="preserve"> (Kane, 1989).</w:t>
      </w:r>
    </w:p>
    <w:p w:rsidR="00E336EB" w:rsidRDefault="00E336EB" w:rsidP="00241DC7">
      <w:pPr>
        <w:spacing w:line="480" w:lineRule="auto"/>
        <w:ind w:firstLine="720"/>
      </w:pPr>
      <w:r>
        <w:t>Regulators, politicians and the</w:t>
      </w:r>
      <w:r w:rsidR="00C714D8">
        <w:t xml:space="preserve"> financial</w:t>
      </w:r>
      <w:r>
        <w:t xml:space="preserve"> industry </w:t>
      </w:r>
      <w:r w:rsidR="001472DF">
        <w:t>enjoy a great deal of cover because the precise depth of a zombie firm’s insolvency cannot be determined quickly.  They operate in a</w:t>
      </w:r>
      <w:r>
        <w:t xml:space="preserve"> regime of </w:t>
      </w:r>
      <w:r w:rsidR="001472DF">
        <w:t>secrecy</w:t>
      </w:r>
      <w:r>
        <w:t xml:space="preserve"> that –to </w:t>
      </w:r>
      <w:r w:rsidR="00C714D8">
        <w:t xml:space="preserve">protect confidential information and to </w:t>
      </w:r>
      <w:r>
        <w:t xml:space="preserve">limit the possibility of runs and meltdowns—makes it hard for outsiders (even well-trained bank examiners) to observe adverse </w:t>
      </w:r>
      <w:r>
        <w:lastRenderedPageBreak/>
        <w:t xml:space="preserve">information </w:t>
      </w:r>
      <w:r w:rsidR="001472DF">
        <w:t>promptly</w:t>
      </w:r>
      <w:r>
        <w:t xml:space="preserve">.  </w:t>
      </w:r>
      <w:r w:rsidR="00C714D8">
        <w:t xml:space="preserve">But to isolate the worst cases, authorities need </w:t>
      </w:r>
      <w:r w:rsidR="00DE46E4">
        <w:t>only</w:t>
      </w:r>
      <w:r w:rsidR="00C714D8">
        <w:t xml:space="preserve"> </w:t>
      </w:r>
      <w:r w:rsidR="001472DF">
        <w:t>establish</w:t>
      </w:r>
      <w:r w:rsidR="00C714D8">
        <w:t xml:space="preserve"> that </w:t>
      </w:r>
      <w:r w:rsidR="001472DF">
        <w:t>asset</w:t>
      </w:r>
      <w:r w:rsidR="0011403D">
        <w:t>s equivalent to those</w:t>
      </w:r>
      <w:r w:rsidR="001472DF">
        <w:t xml:space="preserve"> a distressed</w:t>
      </w:r>
      <w:r w:rsidR="00C714D8">
        <w:t xml:space="preserve"> </w:t>
      </w:r>
      <w:r w:rsidR="001472DF">
        <w:t>firm</w:t>
      </w:r>
      <w:r w:rsidR="00C714D8">
        <w:t xml:space="preserve"> hold</w:t>
      </w:r>
      <w:r w:rsidR="001472DF">
        <w:t>s</w:t>
      </w:r>
      <w:r w:rsidR="00C714D8">
        <w:t xml:space="preserve"> have lost a great deal of </w:t>
      </w:r>
      <w:r w:rsidR="001472DF">
        <w:t xml:space="preserve">market </w:t>
      </w:r>
      <w:r w:rsidR="00C714D8">
        <w:t xml:space="preserve">value.  </w:t>
      </w:r>
    </w:p>
    <w:p w:rsidR="003C799E" w:rsidRDefault="00650E14" w:rsidP="00241DC7">
      <w:pPr>
        <w:spacing w:line="480" w:lineRule="auto"/>
        <w:ind w:firstLine="720"/>
      </w:pPr>
      <w:r>
        <w:t>Post-crisis reformers pride themselves on</w:t>
      </w:r>
      <w:r w:rsidR="00E336EB">
        <w:t xml:space="preserve"> equipping US and UK central bankers with weapons of </w:t>
      </w:r>
      <w:r w:rsidR="00D32D81">
        <w:t>“enhanced prudential regulation</w:t>
      </w:r>
      <w:r w:rsidR="00934A72">
        <w:t>.</w:t>
      </w:r>
      <w:r w:rsidR="00E336EB">
        <w:t>”</w:t>
      </w:r>
      <w:r w:rsidR="00D32D81">
        <w:t xml:space="preserve"> </w:t>
      </w:r>
      <w:r w:rsidR="00934A72">
        <w:t xml:space="preserve"> The effectiveness of several of these weapons is challenged by </w:t>
      </w:r>
      <w:proofErr w:type="spellStart"/>
      <w:r w:rsidR="00934A72">
        <w:t>Huertas</w:t>
      </w:r>
      <w:proofErr w:type="spellEnd"/>
      <w:r w:rsidR="00934A72">
        <w:t xml:space="preserve"> (</w:t>
      </w:r>
      <w:r w:rsidR="00D32D81">
        <w:t>2015)</w:t>
      </w:r>
      <w:r w:rsidR="00CC563F">
        <w:t xml:space="preserve"> and Kane (2016)</w:t>
      </w:r>
      <w:r w:rsidR="00D32D81">
        <w:t>.</w:t>
      </w:r>
      <w:r w:rsidR="00E336EB">
        <w:t xml:space="preserve">  </w:t>
      </w:r>
      <w:r w:rsidR="00934A72">
        <w:t>To</w:t>
      </w:r>
      <w:r w:rsidR="00D32D81">
        <w:t xml:space="preserve"> be effective, these weapons require a commitment </w:t>
      </w:r>
      <w:r w:rsidR="00D46482">
        <w:t>on</w:t>
      </w:r>
      <w:r w:rsidR="00D32D81">
        <w:t xml:space="preserve"> the </w:t>
      </w:r>
      <w:r w:rsidR="00D46482">
        <w:t>banking</w:t>
      </w:r>
      <w:r w:rsidR="00D32D81">
        <w:t xml:space="preserve"> side to “play fair.”  I</w:t>
      </w:r>
      <w:r w:rsidR="00E336EB">
        <w:t xml:space="preserve">n both countries, the </w:t>
      </w:r>
      <w:r w:rsidR="001472DF">
        <w:t>sting</w:t>
      </w:r>
      <w:r w:rsidR="00E336EB">
        <w:t xml:space="preserve"> </w:t>
      </w:r>
      <w:r w:rsidR="00F745C8">
        <w:t xml:space="preserve">that </w:t>
      </w:r>
      <w:r w:rsidR="00CC563F">
        <w:t>regulatory constraints</w:t>
      </w:r>
      <w:r w:rsidR="00E336EB">
        <w:t xml:space="preserve"> </w:t>
      </w:r>
      <w:r w:rsidR="001472DF">
        <w:t>convey</w:t>
      </w:r>
      <w:r w:rsidR="00E336EB">
        <w:t xml:space="preserve"> </w:t>
      </w:r>
      <w:r w:rsidR="00D46482">
        <w:t xml:space="preserve">to megabanks </w:t>
      </w:r>
      <w:r w:rsidR="00E336EB">
        <w:t>is being artfully delayed, lobbied down, and neutralized by innovations such as capital-relief trading activity.</w:t>
      </w:r>
      <w:r w:rsidR="00F745C8">
        <w:t xml:space="preserve"> </w:t>
      </w:r>
      <w:r w:rsidR="00F745C8" w:rsidRPr="00F745C8">
        <w:t xml:space="preserve"> </w:t>
      </w:r>
      <w:r w:rsidR="00EF09DB">
        <w:t>Given t</w:t>
      </w:r>
      <w:r w:rsidR="00F745C8">
        <w:t>he slow pace of economic growth</w:t>
      </w:r>
      <w:r w:rsidR="00EF09DB">
        <w:t>,</w:t>
      </w:r>
      <w:r w:rsidR="00F745C8">
        <w:t xml:space="preserve"> </w:t>
      </w:r>
      <w:r w:rsidR="00EF09DB">
        <w:t>the</w:t>
      </w:r>
      <w:r w:rsidR="00F745C8">
        <w:t xml:space="preserve"> </w:t>
      </w:r>
      <w:r w:rsidR="00DE46E4">
        <w:t xml:space="preserve">personal </w:t>
      </w:r>
      <w:r w:rsidR="00F745C8">
        <w:t>exposure to career dama</w:t>
      </w:r>
      <w:r w:rsidR="004407BE">
        <w:t xml:space="preserve">ge from industry criticism </w:t>
      </w:r>
      <w:r w:rsidR="00CC563F">
        <w:t>makes it hard for</w:t>
      </w:r>
      <w:r w:rsidR="00F745C8">
        <w:t xml:space="preserve"> top regulators </w:t>
      </w:r>
      <w:r w:rsidR="00CC563F">
        <w:t xml:space="preserve">not </w:t>
      </w:r>
      <w:r w:rsidR="00F745C8">
        <w:t xml:space="preserve">to tolerate </w:t>
      </w:r>
      <w:r w:rsidR="00CC563F">
        <w:t>some</w:t>
      </w:r>
      <w:r w:rsidR="0011403D">
        <w:t xml:space="preserve"> </w:t>
      </w:r>
      <w:r w:rsidR="00F745C8">
        <w:t xml:space="preserve">slippage in their ability to control megabank </w:t>
      </w:r>
      <w:r w:rsidR="00934A72">
        <w:t>tail risk</w:t>
      </w:r>
      <w:r w:rsidR="00F745C8">
        <w:t>.</w:t>
      </w:r>
    </w:p>
    <w:p w:rsidR="00F745C8" w:rsidRDefault="00CC563F" w:rsidP="00CC563F">
      <w:pPr>
        <w:tabs>
          <w:tab w:val="left" w:pos="6840"/>
        </w:tabs>
        <w:spacing w:line="480" w:lineRule="auto"/>
        <w:ind w:firstLine="720"/>
      </w:pPr>
      <w:r>
        <w:tab/>
      </w:r>
    </w:p>
    <w:p w:rsidR="00F745C8" w:rsidRDefault="00F745C8" w:rsidP="00F745C8">
      <w:pPr>
        <w:spacing w:line="480" w:lineRule="auto"/>
      </w:pPr>
      <w:r>
        <w:rPr>
          <w:u w:val="single"/>
        </w:rPr>
        <w:t xml:space="preserve">A Framework for Repairing the Ethical </w:t>
      </w:r>
      <w:r w:rsidR="001472DF">
        <w:rPr>
          <w:u w:val="single"/>
        </w:rPr>
        <w:t>Breakdown</w:t>
      </w:r>
      <w:r w:rsidR="00C15242">
        <w:rPr>
          <w:rStyle w:val="FootnoteReference"/>
          <w:u w:val="single"/>
        </w:rPr>
        <w:footnoteReference w:id="3"/>
      </w:r>
    </w:p>
    <w:p w:rsidR="00E46848" w:rsidRDefault="00EE5157" w:rsidP="004407BE">
      <w:pPr>
        <w:spacing w:line="480" w:lineRule="auto"/>
        <w:ind w:firstLine="720"/>
      </w:pPr>
      <w:r>
        <w:t xml:space="preserve">Financial safety nets </w:t>
      </w:r>
      <w:r>
        <w:rPr>
          <w:i/>
        </w:rPr>
        <w:t>coerce</w:t>
      </w:r>
      <w:r w:rsidRPr="008F1391">
        <w:t xml:space="preserve"> </w:t>
      </w:r>
      <w:r>
        <w:t xml:space="preserve">taxpayers into becoming disadvantaged suppliers of loss-absorbing equity funding.  </w:t>
      </w:r>
      <w:r w:rsidR="00E46848">
        <w:t xml:space="preserve">The risk exposure a guarantor assumes comes </w:t>
      </w:r>
      <w:r w:rsidR="00AE3EF5">
        <w:t>from</w:t>
      </w:r>
      <w:r w:rsidR="00E46848">
        <w:t xml:space="preserve"> simultaneously holding the short position in a put on a bank’s losses and a long position in a call on the bank’s assets.  This is the functional equivalent of an explicit equity position.</w:t>
      </w:r>
    </w:p>
    <w:p w:rsidR="00EE5157" w:rsidRPr="008F1391" w:rsidRDefault="008F1391" w:rsidP="004407BE">
      <w:pPr>
        <w:spacing w:line="480" w:lineRule="auto"/>
        <w:ind w:firstLine="720"/>
      </w:pPr>
      <w:r>
        <w:t xml:space="preserve">Characterizing bailout support as owners’ equity transforms taxpayer positions in TBTF institutions into a portfolio of trust funds.  This way of thinking casts bankers and regulators as trustees and opens up the possibility of installing carefully recruited teams of independent parties to serve as co-trustees.  The formal establishment of such trusteeships would lead officials to judge regulatory performance in terms of its effects on the value of taxpayer equity positions and exposures to ruin.  It would also require regulators </w:t>
      </w:r>
      <w:r>
        <w:rPr>
          <w:i/>
        </w:rPr>
        <w:t>and</w:t>
      </w:r>
      <w:r>
        <w:t xml:space="preserve"> protected institutions to re-work their norms, information systems, and incentive frameworks to support this effort.</w:t>
      </w:r>
    </w:p>
    <w:p w:rsidR="00F745C8" w:rsidRDefault="0011403D" w:rsidP="004407BE">
      <w:pPr>
        <w:spacing w:line="480" w:lineRule="auto"/>
        <w:ind w:firstLine="720"/>
      </w:pPr>
      <w:r>
        <w:lastRenderedPageBreak/>
        <w:t>I have</w:t>
      </w:r>
      <w:r w:rsidR="008B3D99">
        <w:t xml:space="preserve"> argue</w:t>
      </w:r>
      <w:r w:rsidR="00DE46E4">
        <w:t>d</w:t>
      </w:r>
      <w:r w:rsidR="008B3D99">
        <w:t xml:space="preserve"> that reckless pursuit of safety-net subsidies is </w:t>
      </w:r>
      <w:r w:rsidR="00D46482">
        <w:t>wrongful</w:t>
      </w:r>
      <w:r w:rsidR="008B3D99">
        <w:t xml:space="preserve"> because it entails the coercive exploitation of other citizens.  This exploitation is accomplished by suppressing </w:t>
      </w:r>
      <w:r w:rsidR="001472DF">
        <w:t xml:space="preserve">outside </w:t>
      </w:r>
      <w:r w:rsidR="008B3D99">
        <w:t xml:space="preserve">access to adverse information and by manipulating the incentives of </w:t>
      </w:r>
      <w:r w:rsidR="001472DF">
        <w:t xml:space="preserve">top </w:t>
      </w:r>
      <w:r w:rsidR="008B3D99">
        <w:t xml:space="preserve">regulators and </w:t>
      </w:r>
      <w:r w:rsidR="001472DF">
        <w:t>their</w:t>
      </w:r>
      <w:r w:rsidR="008B3D99">
        <w:t xml:space="preserve"> staff.  Because </w:t>
      </w:r>
      <w:r>
        <w:t>reckless banking</w:t>
      </w:r>
      <w:r w:rsidR="008B3D99">
        <w:t xml:space="preserve"> is </w:t>
      </w:r>
      <w:r w:rsidR="00D46482">
        <w:t>wrongful</w:t>
      </w:r>
      <w:r w:rsidR="008B3D99">
        <w:t xml:space="preserve">, it is potentially </w:t>
      </w:r>
      <w:proofErr w:type="spellStart"/>
      <w:r w:rsidR="008B3D99">
        <w:t>crimin</w:t>
      </w:r>
      <w:r w:rsidR="001472DF">
        <w:t>al</w:t>
      </w:r>
      <w:r w:rsidR="008B3D99">
        <w:t>izable</w:t>
      </w:r>
      <w:proofErr w:type="spellEnd"/>
      <w:r w:rsidR="008B3D99">
        <w:t xml:space="preserve">.  The last step in </w:t>
      </w:r>
      <w:r w:rsidR="001472DF">
        <w:t>my</w:t>
      </w:r>
      <w:r w:rsidR="008B3D99">
        <w:t xml:space="preserve"> argument is to note that </w:t>
      </w:r>
      <w:r>
        <w:t>the level of harm</w:t>
      </w:r>
      <w:r w:rsidR="008B3D99">
        <w:t xml:space="preserve"> others have suffered from reckless </w:t>
      </w:r>
      <w:proofErr w:type="spellStart"/>
      <w:r w:rsidR="008B3D99">
        <w:t>megabanking</w:t>
      </w:r>
      <w:proofErr w:type="spellEnd"/>
      <w:r w:rsidR="008B3D99">
        <w:t xml:space="preserve"> creates a </w:t>
      </w:r>
      <w:r w:rsidR="001472DF" w:rsidRPr="001472DF">
        <w:rPr>
          <w:i/>
        </w:rPr>
        <w:t>prima</w:t>
      </w:r>
      <w:r w:rsidR="008B3D99" w:rsidRPr="001472DF">
        <w:rPr>
          <w:i/>
        </w:rPr>
        <w:t xml:space="preserve"> facie</w:t>
      </w:r>
      <w:r w:rsidR="008B3D99">
        <w:t xml:space="preserve"> case for outlawing it and </w:t>
      </w:r>
      <w:r>
        <w:t>prescribing appropriate punishments for its</w:t>
      </w:r>
      <w:r w:rsidR="008B3D99">
        <w:t xml:space="preserve"> perpetrators.  My policy recommendations reduce to the following </w:t>
      </w:r>
      <w:r w:rsidR="008B3D99" w:rsidRPr="004407BE">
        <w:rPr>
          <w:i/>
        </w:rPr>
        <w:t>haiku</w:t>
      </w:r>
      <w:r w:rsidR="008B3D99">
        <w:t>:</w:t>
      </w:r>
    </w:p>
    <w:p w:rsidR="008B3D99" w:rsidRDefault="008B3D99" w:rsidP="008B3D99">
      <w:pPr>
        <w:ind w:left="720"/>
      </w:pPr>
      <w:r>
        <w:t xml:space="preserve">When </w:t>
      </w:r>
      <w:r w:rsidR="007D0F6A">
        <w:t>governments</w:t>
      </w:r>
      <w:r>
        <w:t xml:space="preserve"> bail</w:t>
      </w:r>
    </w:p>
    <w:p w:rsidR="008B3D99" w:rsidRDefault="007D0F6A" w:rsidP="008B3D99">
      <w:pPr>
        <w:ind w:left="720"/>
      </w:pPr>
      <w:r>
        <w:t>a bank that deserves to</w:t>
      </w:r>
      <w:r w:rsidR="008B3D99">
        <w:t xml:space="preserve"> fail,</w:t>
      </w:r>
    </w:p>
    <w:p w:rsidR="008B3D99" w:rsidRDefault="007D0F6A" w:rsidP="008B3D99">
      <w:pPr>
        <w:ind w:left="720"/>
      </w:pPr>
      <w:r>
        <w:t>someone warrants jail</w:t>
      </w:r>
      <w:r w:rsidR="008B3D99">
        <w:t>.</w:t>
      </w:r>
    </w:p>
    <w:p w:rsidR="004407BE" w:rsidRDefault="004407BE" w:rsidP="004407BE">
      <w:pPr>
        <w:ind w:left="720"/>
      </w:pPr>
    </w:p>
    <w:p w:rsidR="004407BE" w:rsidRDefault="004407BE" w:rsidP="004407BE">
      <w:pPr>
        <w:spacing w:line="480" w:lineRule="auto"/>
        <w:ind w:firstLine="720"/>
      </w:pPr>
      <w:r>
        <w:t>However, neither British nor American company law currently allows an arrest warrant to be issued for safety-net abuse</w:t>
      </w:r>
      <w:r w:rsidR="00DE46E4">
        <w:t xml:space="preserve"> </w:t>
      </w:r>
      <w:r w:rsidR="00DE46E4" w:rsidRPr="00DE46E4">
        <w:rPr>
          <w:i/>
        </w:rPr>
        <w:t>per se</w:t>
      </w:r>
      <w:r>
        <w:t xml:space="preserve">.  The traditional approach to fiduciary duty has two central components: (1) non-shareholder participants in the capital structure may be expected to obtain their legal protections through contract, not through the operation of corporate law; </w:t>
      </w:r>
      <w:r w:rsidR="00DE46E4">
        <w:t>but</w:t>
      </w:r>
      <w:r>
        <w:t xml:space="preserve"> (2) duties can shift from shareholders to bondholders in an undefined “vicinity” of insolvency.</w:t>
      </w:r>
      <w:r>
        <w:rPr>
          <w:rStyle w:val="FootnoteReference"/>
        </w:rPr>
        <w:footnoteReference w:id="4"/>
      </w:r>
    </w:p>
    <w:p w:rsidR="004407BE" w:rsidRDefault="00764174" w:rsidP="004407BE">
      <w:pPr>
        <w:spacing w:line="480" w:lineRule="auto"/>
        <w:ind w:firstLine="720"/>
      </w:pPr>
      <w:proofErr w:type="spellStart"/>
      <w:r>
        <w:t>Pa</w:t>
      </w:r>
      <w:r w:rsidR="004407BE">
        <w:t>rtnoy</w:t>
      </w:r>
      <w:proofErr w:type="spellEnd"/>
      <w:r w:rsidR="004407BE">
        <w:t xml:space="preserve"> (2007) </w:t>
      </w:r>
      <w:r w:rsidR="00DE46E4">
        <w:t>shows</w:t>
      </w:r>
      <w:r w:rsidR="004407BE">
        <w:t xml:space="preserve"> that </w:t>
      </w:r>
      <w:r w:rsidR="001E0ADB">
        <w:t xml:space="preserve">complications that </w:t>
      </w:r>
      <w:r w:rsidR="00DE46E4">
        <w:t xml:space="preserve">stock </w:t>
      </w:r>
      <w:r w:rsidR="001E0ADB">
        <w:t xml:space="preserve">options and hybrid securities introduce into that capital structure of modern firms demand a radical rethinking of the assignment of corporate fiduciary duties, and not just in the vicinity of insolvency.  The idea is that innovative instruments </w:t>
      </w:r>
      <w:r w:rsidR="00DE46E4">
        <w:t>provide</w:t>
      </w:r>
      <w:r w:rsidR="001E0ADB">
        <w:t xml:space="preserve"> different ways of investing in a firm and the </w:t>
      </w:r>
      <w:r w:rsidR="00DE46E4">
        <w:t>contract-law</w:t>
      </w:r>
      <w:r w:rsidR="001E0ADB">
        <w:t xml:space="preserve"> </w:t>
      </w:r>
      <w:proofErr w:type="spellStart"/>
      <w:r w:rsidR="001E0ADB">
        <w:t>metanorm</w:t>
      </w:r>
      <w:proofErr w:type="spellEnd"/>
      <w:r w:rsidR="001E0ADB">
        <w:t xml:space="preserve"> of good faith precludes deliberately privileging one group of investors over another.</w:t>
      </w:r>
    </w:p>
    <w:p w:rsidR="001E0ADB" w:rsidRDefault="001E0ADB" w:rsidP="004407BE">
      <w:pPr>
        <w:spacing w:line="480" w:lineRule="auto"/>
        <w:ind w:firstLine="720"/>
      </w:pPr>
      <w:r>
        <w:lastRenderedPageBreak/>
        <w:t xml:space="preserve">In the US, statutory company law is left to the states, which means principally Delaware and New York. </w:t>
      </w:r>
      <w:r w:rsidR="00D22211">
        <w:t xml:space="preserve"> Lynn Stout (2012) and </w:t>
      </w:r>
      <w:proofErr w:type="spellStart"/>
      <w:r>
        <w:t>Vincenzo</w:t>
      </w:r>
      <w:proofErr w:type="spellEnd"/>
      <w:r>
        <w:t xml:space="preserve"> </w:t>
      </w:r>
      <w:proofErr w:type="spellStart"/>
      <w:r>
        <w:t>Bavoso</w:t>
      </w:r>
      <w:proofErr w:type="spellEnd"/>
      <w:r>
        <w:t xml:space="preserve"> (2015) </w:t>
      </w:r>
      <w:r w:rsidR="00D22211">
        <w:t>show respectively</w:t>
      </w:r>
      <w:r>
        <w:t xml:space="preserve"> that neither US nor UK law offers any </w:t>
      </w:r>
      <w:r w:rsidRPr="001E0ADB">
        <w:rPr>
          <w:i/>
        </w:rPr>
        <w:t>statutory</w:t>
      </w:r>
      <w:r>
        <w:t xml:space="preserve"> authority for making profit maximization the primary management norm.  This lack of statutory </w:t>
      </w:r>
      <w:r w:rsidR="00764174">
        <w:t xml:space="preserve">authority </w:t>
      </w:r>
      <w:r w:rsidR="00DE46E4">
        <w:t>and legislators’ reluctance to re-think basic corporate-law principles suggest</w:t>
      </w:r>
      <w:r w:rsidR="00764174">
        <w:t xml:space="preserve"> that issue</w:t>
      </w:r>
      <w:r w:rsidR="00DE46E4">
        <w:t>s related to</w:t>
      </w:r>
      <w:r w:rsidR="00764174">
        <w:t xml:space="preserve"> management’s </w:t>
      </w:r>
      <w:r w:rsidR="00DE46E4">
        <w:t xml:space="preserve">evolving </w:t>
      </w:r>
      <w:r w:rsidR="00764174">
        <w:t xml:space="preserve">duties to other stakeholders in TBTF firms </w:t>
      </w:r>
      <w:r w:rsidR="00C15242">
        <w:t>are</w:t>
      </w:r>
      <w:r w:rsidR="00DE46E4">
        <w:t xml:space="preserve"> likely to</w:t>
      </w:r>
      <w:r w:rsidR="00764174">
        <w:t xml:space="preserve"> be settled in the courts.  The </w:t>
      </w:r>
      <w:r w:rsidR="00DE46E4">
        <w:t xml:space="preserve">traditional </w:t>
      </w:r>
      <w:r w:rsidR="00764174">
        <w:t xml:space="preserve">justification for stockholder primacy in common law is the presumption that stockholders are the residual risk bearers in the corporation.  </w:t>
      </w:r>
      <w:r w:rsidR="00DE46E4">
        <w:t xml:space="preserve">But </w:t>
      </w:r>
      <w:r w:rsidR="00EF09DB">
        <w:t>this presumption does not hold for</w:t>
      </w:r>
      <w:r w:rsidR="00DE46E4">
        <w:t xml:space="preserve"> TBTF </w:t>
      </w:r>
      <w:r w:rsidR="00EF09DB">
        <w:t>institutions because</w:t>
      </w:r>
      <w:r w:rsidR="00764174">
        <w:t xml:space="preserve"> implicit safety-net guarantees </w:t>
      </w:r>
      <w:r w:rsidR="00DE46E4">
        <w:t>assign the worst parts of residual risk to taxpayers.</w:t>
      </w:r>
    </w:p>
    <w:p w:rsidR="00C15242" w:rsidRDefault="00DE46E4" w:rsidP="004407BE">
      <w:pPr>
        <w:spacing w:line="480" w:lineRule="auto"/>
        <w:ind w:firstLine="720"/>
      </w:pPr>
      <w:r>
        <w:t>As</w:t>
      </w:r>
      <w:r w:rsidR="00764174">
        <w:t xml:space="preserve"> judges </w:t>
      </w:r>
      <w:r>
        <w:t>come</w:t>
      </w:r>
      <w:r w:rsidR="00764174">
        <w:t xml:space="preserve"> to understand this, the common law </w:t>
      </w:r>
      <w:r>
        <w:t>may be expected to</w:t>
      </w:r>
      <w:r w:rsidR="00764174">
        <w:t xml:space="preserve"> change of its own accord.  </w:t>
      </w:r>
      <w:r w:rsidR="00D20365">
        <w:t xml:space="preserve">Stock-based compensation in TBTF firms permits managers and stockholders to conspire against taxpayers, whether or not individual managers can be shown to understand </w:t>
      </w:r>
      <w:r w:rsidR="00215B05">
        <w:t xml:space="preserve">and intend </w:t>
      </w:r>
      <w:r w:rsidR="00D20365">
        <w:t xml:space="preserve">this.  </w:t>
      </w:r>
      <w:r w:rsidR="00764174">
        <w:t xml:space="preserve">Looking favorably on incentive contracts designed to align the interests of managers and stockholders in megabanks </w:t>
      </w:r>
      <w:r>
        <w:t xml:space="preserve">against taxpayers </w:t>
      </w:r>
      <w:r w:rsidR="00764174">
        <w:t>is</w:t>
      </w:r>
      <w:r w:rsidR="00D20365">
        <w:t xml:space="preserve"> inconsistent with the principle</w:t>
      </w:r>
      <w:r w:rsidR="00764174">
        <w:t xml:space="preserve"> of equal treatment under the law.  </w:t>
      </w:r>
    </w:p>
    <w:p w:rsidR="00C15242" w:rsidRDefault="00EF09DB" w:rsidP="004407BE">
      <w:pPr>
        <w:spacing w:line="480" w:lineRule="auto"/>
        <w:ind w:firstLine="720"/>
      </w:pPr>
      <w:r>
        <w:t>For this same reason</w:t>
      </w:r>
      <w:r w:rsidR="00D20365">
        <w:t>, t</w:t>
      </w:r>
      <w:r w:rsidR="00764174">
        <w:t>he burden</w:t>
      </w:r>
      <w:r w:rsidR="00C15242">
        <w:t>s</w:t>
      </w:r>
      <w:r w:rsidR="00764174">
        <w:t xml:space="preserve"> of proof </w:t>
      </w:r>
      <w:r w:rsidR="00C15242">
        <w:t xml:space="preserve">embodied </w:t>
      </w:r>
      <w:r w:rsidR="00764174">
        <w:t xml:space="preserve">in the </w:t>
      </w:r>
      <w:r w:rsidR="00D20365">
        <w:t>US</w:t>
      </w:r>
      <w:r w:rsidR="00C15242">
        <w:t xml:space="preserve"> business-judgment rule make</w:t>
      </w:r>
      <w:r w:rsidR="00764174">
        <w:t xml:space="preserve"> no sense for TBTF firms</w:t>
      </w:r>
      <w:r w:rsidR="00D20365">
        <w:t xml:space="preserve"> and must also change</w:t>
      </w:r>
      <w:r w:rsidR="00764174">
        <w:t xml:space="preserve">.  </w:t>
      </w:r>
      <w:r w:rsidR="00C15242">
        <w:t xml:space="preserve">Banking crises </w:t>
      </w:r>
      <w:r w:rsidR="00AB58E7">
        <w:t xml:space="preserve">and customer abuse </w:t>
      </w:r>
      <w:r w:rsidR="00C15242">
        <w:t xml:space="preserve">occur for two reasons.  First, bankers can </w:t>
      </w:r>
      <w:r w:rsidR="00CC563F">
        <w:t xml:space="preserve">pocket </w:t>
      </w:r>
      <w:r w:rsidR="00D30E22">
        <w:t>lasting</w:t>
      </w:r>
      <w:r w:rsidR="00C15242">
        <w:t xml:space="preserve"> rewards from </w:t>
      </w:r>
      <w:r w:rsidR="00D46482">
        <w:t>disrespecting</w:t>
      </w:r>
      <w:r w:rsidR="00C15242">
        <w:t xml:space="preserve"> the rules of </w:t>
      </w:r>
      <w:r w:rsidR="00D46482">
        <w:t>regulatory</w:t>
      </w:r>
      <w:r w:rsidR="00C15242">
        <w:t xml:space="preserve"> road</w:t>
      </w:r>
      <w:r w:rsidR="00D46482">
        <w:t>s</w:t>
      </w:r>
      <w:r w:rsidR="00C15242">
        <w:t xml:space="preserve">.  Second, they understand that </w:t>
      </w:r>
      <w:r w:rsidR="00D20365">
        <w:t>elitist</w:t>
      </w:r>
      <w:r w:rsidR="00C15242">
        <w:t xml:space="preserve"> supervisory and prosecutorial norms are apt to </w:t>
      </w:r>
      <w:r w:rsidR="00D20365">
        <w:t>spare</w:t>
      </w:r>
      <w:r w:rsidR="00C15242">
        <w:t xml:space="preserve"> them from </w:t>
      </w:r>
      <w:r w:rsidR="00D20365">
        <w:t>suffering a substantial personal penalty for this behavior</w:t>
      </w:r>
      <w:r w:rsidR="00D32D81">
        <w:t xml:space="preserve"> (</w:t>
      </w:r>
      <w:proofErr w:type="spellStart"/>
      <w:r w:rsidR="00D32D81">
        <w:t>Eaglesham</w:t>
      </w:r>
      <w:proofErr w:type="spellEnd"/>
      <w:r w:rsidR="00D32D81">
        <w:t xml:space="preserve"> and Das, 2016)</w:t>
      </w:r>
      <w:r w:rsidR="00C15242">
        <w:t>.</w:t>
      </w:r>
    </w:p>
    <w:p w:rsidR="00764174" w:rsidRDefault="00D32D81" w:rsidP="004407BE">
      <w:pPr>
        <w:spacing w:line="480" w:lineRule="auto"/>
        <w:ind w:firstLine="720"/>
      </w:pPr>
      <w:r>
        <w:t>Crimes of gross negligence and extreme reckless</w:t>
      </w:r>
      <w:r w:rsidR="00934A72">
        <w:t>ness</w:t>
      </w:r>
      <w:r>
        <w:t xml:space="preserve"> provide exceptions to the need for the state to prove </w:t>
      </w:r>
      <w:proofErr w:type="spellStart"/>
      <w:r w:rsidRPr="00D32D81">
        <w:rPr>
          <w:i/>
        </w:rPr>
        <w:t>mens</w:t>
      </w:r>
      <w:proofErr w:type="spellEnd"/>
      <w:r w:rsidRPr="00D32D81">
        <w:rPr>
          <w:i/>
        </w:rPr>
        <w:t xml:space="preserve"> </w:t>
      </w:r>
      <w:proofErr w:type="spellStart"/>
      <w:r w:rsidRPr="00D32D81">
        <w:rPr>
          <w:i/>
        </w:rPr>
        <w:t>rea</w:t>
      </w:r>
      <w:proofErr w:type="spellEnd"/>
      <w:r>
        <w:t xml:space="preserve">.  </w:t>
      </w:r>
      <w:r w:rsidR="00D073EC">
        <w:t>Judges do not give reckless drivers a pass if prosecutor</w:t>
      </w:r>
      <w:r w:rsidR="00B3583F">
        <w:t>s</w:t>
      </w:r>
      <w:r w:rsidR="00D073EC">
        <w:t xml:space="preserve"> cannot </w:t>
      </w:r>
      <w:r w:rsidR="00D073EC">
        <w:lastRenderedPageBreak/>
        <w:t xml:space="preserve">show that </w:t>
      </w:r>
      <w:r w:rsidR="00B3583F">
        <w:t>the accused</w:t>
      </w:r>
      <w:r w:rsidR="00D073EC">
        <w:t xml:space="preserve"> fully understood the dangers of violating the rules of the road or had a willful intention to cause an accident.  </w:t>
      </w:r>
      <w:r w:rsidR="00B3583F">
        <w:t>It is wrong-headed for fraud laws</w:t>
      </w:r>
      <w:r w:rsidR="00764174">
        <w:t xml:space="preserve"> to require evidence that, in </w:t>
      </w:r>
      <w:r w:rsidR="00B3583F">
        <w:t>driving a</w:t>
      </w:r>
      <w:r w:rsidR="00764174">
        <w:t xml:space="preserve"> firm</w:t>
      </w:r>
      <w:r w:rsidR="00B3583F">
        <w:t xml:space="preserve"> to ruin</w:t>
      </w:r>
      <w:r w:rsidR="00764174">
        <w:t xml:space="preserve">, </w:t>
      </w:r>
      <w:proofErr w:type="spellStart"/>
      <w:r w:rsidR="00B3583F">
        <w:t>megabankers</w:t>
      </w:r>
      <w:proofErr w:type="spellEnd"/>
      <w:r w:rsidR="00764174">
        <w:t xml:space="preserve"> had an explicit intention to harm taxpayers </w:t>
      </w:r>
      <w:r w:rsidR="00AB58E7">
        <w:t>or</w:t>
      </w:r>
      <w:r w:rsidR="00764174">
        <w:t xml:space="preserve"> </w:t>
      </w:r>
      <w:r w:rsidR="00B3583F">
        <w:t>to make loans that</w:t>
      </w:r>
      <w:r w:rsidR="00D20365">
        <w:t xml:space="preserve"> </w:t>
      </w:r>
      <w:r w:rsidR="00215B05">
        <w:t>they believed would never be repaid</w:t>
      </w:r>
      <w:r w:rsidR="00764174">
        <w:t xml:space="preserve">.  </w:t>
      </w:r>
      <w:r w:rsidR="00D30E22">
        <w:t>Under current accounting principles, p</w:t>
      </w:r>
      <w:r w:rsidR="00BA5D75">
        <w:t>rofit maximization at TBTF firms violates the norm of fairness on which all law is based</w:t>
      </w:r>
      <w:r w:rsidR="00B3583F" w:rsidRPr="00B3583F">
        <w:t xml:space="preserve"> </w:t>
      </w:r>
      <w:r w:rsidR="00B3583F">
        <w:t>and courts should recognize this</w:t>
      </w:r>
      <w:r w:rsidR="00BA5D75">
        <w:t xml:space="preserve">.  </w:t>
      </w:r>
      <w:r w:rsidR="00764174">
        <w:t>The critical points are</w:t>
      </w:r>
      <w:r w:rsidR="00C15242">
        <w:t>: (1)</w:t>
      </w:r>
      <w:r w:rsidR="00764174">
        <w:t xml:space="preserve"> </w:t>
      </w:r>
      <w:r w:rsidR="00D20365">
        <w:t>that the reckless pursuit of</w:t>
      </w:r>
      <w:r w:rsidR="00D30E22">
        <w:t xml:space="preserve"> hidden</w:t>
      </w:r>
      <w:r w:rsidR="00D20365">
        <w:t xml:space="preserve"> tail risk</w:t>
      </w:r>
      <w:r w:rsidR="00D30E22">
        <w:t>s</w:t>
      </w:r>
      <w:r w:rsidR="00D20365">
        <w:t xml:space="preserve"> harm</w:t>
      </w:r>
      <w:r w:rsidR="00D073EC">
        <w:t>s</w:t>
      </w:r>
      <w:r w:rsidR="00D20365">
        <w:t xml:space="preserve"> the interests of taxpayers and</w:t>
      </w:r>
      <w:r w:rsidR="00934A72">
        <w:t xml:space="preserve"> of workers who </w:t>
      </w:r>
      <w:r w:rsidR="00CC563F">
        <w:t xml:space="preserve">are encouraged to take on jobs that disappear when </w:t>
      </w:r>
      <w:r w:rsidR="00D46482">
        <w:t>megabanks’ tail</w:t>
      </w:r>
      <w:r w:rsidR="00CC563F">
        <w:t xml:space="preserve"> risks sour</w:t>
      </w:r>
      <w:r w:rsidR="00D20365">
        <w:t>; and (2) that,</w:t>
      </w:r>
      <w:r w:rsidR="00764174">
        <w:t xml:space="preserve"> </w:t>
      </w:r>
      <w:r w:rsidR="00C15242">
        <w:t>to deserve their high pay, megabank</w:t>
      </w:r>
      <w:r w:rsidR="00764174">
        <w:t xml:space="preserve"> managers </w:t>
      </w:r>
      <w:r w:rsidR="00934A72">
        <w:t>ought to</w:t>
      </w:r>
      <w:r w:rsidR="00764174">
        <w:t xml:space="preserve"> </w:t>
      </w:r>
      <w:r w:rsidR="00BA5D75">
        <w:t xml:space="preserve">understand the principles of </w:t>
      </w:r>
      <w:r w:rsidR="00C15242">
        <w:t xml:space="preserve">risk management and </w:t>
      </w:r>
      <w:r w:rsidR="00BA5D75">
        <w:t xml:space="preserve">risk transfer well enough to </w:t>
      </w:r>
      <w:r w:rsidR="00764174">
        <w:t xml:space="preserve">know </w:t>
      </w:r>
      <w:r w:rsidR="00BA5D75">
        <w:t>that</w:t>
      </w:r>
      <w:r w:rsidR="00764174">
        <w:t xml:space="preserve">.  </w:t>
      </w:r>
    </w:p>
    <w:p w:rsidR="005D1212" w:rsidRDefault="000A38C9" w:rsidP="008E3178">
      <w:pPr>
        <w:spacing w:line="480" w:lineRule="auto"/>
        <w:ind w:firstLine="720"/>
      </w:pPr>
      <w:r>
        <w:t>Whether they are complicit or merely</w:t>
      </w:r>
      <w:r w:rsidR="004335DC">
        <w:t xml:space="preserve"> d</w:t>
      </w:r>
      <w:r w:rsidR="00AE3EF5">
        <w:t>eferential</w:t>
      </w:r>
      <w:r w:rsidR="004335DC">
        <w:t>,</w:t>
      </w:r>
      <w:r w:rsidR="008E3178">
        <w:t xml:space="preserve"> banking supervisors have let society down in two ways: (1) by </w:t>
      </w:r>
      <w:r w:rsidR="00CC563F">
        <w:t>being slow to set</w:t>
      </w:r>
      <w:r w:rsidR="008E3178">
        <w:t xml:space="preserve"> up the equivalent of state-of-the-art </w:t>
      </w:r>
      <w:r w:rsidR="00AE3EF5">
        <w:t xml:space="preserve">red-light </w:t>
      </w:r>
      <w:r w:rsidR="00A359E5">
        <w:t xml:space="preserve">cameras, </w:t>
      </w:r>
      <w:r w:rsidR="008E3178">
        <w:t>radar systems</w:t>
      </w:r>
      <w:r w:rsidR="00AE3EF5">
        <w:t xml:space="preserve">, </w:t>
      </w:r>
      <w:r w:rsidR="008E3178">
        <w:t xml:space="preserve">and helicopter surveillance to track excessive speed and aggressive driving and (2) by not developing a </w:t>
      </w:r>
      <w:r w:rsidR="00A00AD6">
        <w:t xml:space="preserve">resolution scheme and </w:t>
      </w:r>
      <w:r w:rsidR="008E3178">
        <w:t xml:space="preserve">penalty structure that </w:t>
      </w:r>
      <w:r w:rsidR="00A00AD6">
        <w:t>can punish</w:t>
      </w:r>
      <w:r w:rsidR="008E3178">
        <w:t xml:space="preserve"> unruly </w:t>
      </w:r>
      <w:r w:rsidR="00467D8B" w:rsidRPr="00EF09DB">
        <w:rPr>
          <w:i/>
        </w:rPr>
        <w:t>individuals</w:t>
      </w:r>
      <w:r w:rsidR="008E3178">
        <w:t xml:space="preserve"> in a meaningful and timely fashion. </w:t>
      </w:r>
    </w:p>
    <w:p w:rsidR="008E3178" w:rsidRDefault="005D1212" w:rsidP="008E3178">
      <w:pPr>
        <w:spacing w:line="480" w:lineRule="auto"/>
        <w:ind w:firstLine="720"/>
      </w:pPr>
      <w:proofErr w:type="spellStart"/>
      <w:r>
        <w:t>Goodhart</w:t>
      </w:r>
      <w:proofErr w:type="spellEnd"/>
      <w:r>
        <w:t xml:space="preserve"> and </w:t>
      </w:r>
      <w:proofErr w:type="spellStart"/>
      <w:r>
        <w:t>Segoviano</w:t>
      </w:r>
      <w:proofErr w:type="spellEnd"/>
      <w:r>
        <w:t xml:space="preserve"> (2015) </w:t>
      </w:r>
      <w:r w:rsidR="00587883">
        <w:t>study the effects of</w:t>
      </w:r>
      <w:r>
        <w:t xml:space="preserve"> triggering a ladder of increasingly stringent penalties on </w:t>
      </w:r>
      <w:r w:rsidR="00587883">
        <w:t>distressed banks</w:t>
      </w:r>
      <w:r>
        <w:t xml:space="preserve">, in the form of increased oversight </w:t>
      </w:r>
      <w:r w:rsidR="00587883">
        <w:t>and various</w:t>
      </w:r>
      <w:r>
        <w:t xml:space="preserve"> limitations on dividends and executive bonuses.  As a metric for distress, these authors develop operational methods for estimating a b</w:t>
      </w:r>
      <w:r w:rsidR="00587883">
        <w:t xml:space="preserve">ank’s probability of distress. </w:t>
      </w:r>
      <w:r>
        <w:t xml:space="preserve"> But </w:t>
      </w:r>
      <w:r w:rsidR="00587883">
        <w:t xml:space="preserve">effective regulation and supervision must also establish disincentives strong enough to dissuade </w:t>
      </w:r>
      <w:r w:rsidR="00587883" w:rsidRPr="00467D8B">
        <w:rPr>
          <w:i/>
        </w:rPr>
        <w:t>individual bankers</w:t>
      </w:r>
      <w:r w:rsidR="00587883">
        <w:t xml:space="preserve"> whose mindset might otherwise tempt them to drive at perilous speeds and to undertake dangerous maneuvers for personal gain.  To</w:t>
      </w:r>
      <w:r w:rsidR="008E3178">
        <w:t xml:space="preserve"> improve megabank driving habits more than marginally and temporarily, </w:t>
      </w:r>
      <w:r w:rsidR="008E3178">
        <w:lastRenderedPageBreak/>
        <w:t xml:space="preserve">miscreants must </w:t>
      </w:r>
      <w:r w:rsidR="00587883">
        <w:t>fear that</w:t>
      </w:r>
      <w:r>
        <w:t xml:space="preserve"> they will </w:t>
      </w:r>
      <w:r w:rsidR="008E3178">
        <w:t xml:space="preserve">be </w:t>
      </w:r>
      <w:r w:rsidR="00587883">
        <w:t>caught and punished firmly enough to make</w:t>
      </w:r>
      <w:r w:rsidR="008E3178">
        <w:t xml:space="preserve"> risk shifting </w:t>
      </w:r>
      <w:r w:rsidR="00A00AD6">
        <w:t xml:space="preserve">and customer abuse </w:t>
      </w:r>
      <w:r w:rsidR="00587883">
        <w:t>seem</w:t>
      </w:r>
      <w:r w:rsidR="008E3178">
        <w:t xml:space="preserve"> </w:t>
      </w:r>
      <w:r w:rsidR="008E3178" w:rsidRPr="00FE71A6">
        <w:rPr>
          <w:i/>
        </w:rPr>
        <w:t>personally</w:t>
      </w:r>
      <w:r w:rsidR="008E3178">
        <w:t xml:space="preserve"> unprofitable for them.  </w:t>
      </w:r>
    </w:p>
    <w:p w:rsidR="008E3178" w:rsidRDefault="008E3178" w:rsidP="008E3178">
      <w:pPr>
        <w:spacing w:line="480" w:lineRule="auto"/>
        <w:ind w:firstLine="720"/>
      </w:pPr>
      <w:r>
        <w:t xml:space="preserve">The correspondence between regulating banks and regulating vehicular traffic suggests that, country by country, the penalty structure and burdens of proof in cases of safety-net theft could be designed to parallel those used </w:t>
      </w:r>
      <w:r w:rsidR="00B55A30">
        <w:t xml:space="preserve">to prove speeding and driving under the influence </w:t>
      </w:r>
      <w:r>
        <w:t xml:space="preserve">in traffic courts.  Most governments combine: (1) fines for minor violations, (2) a point system which hikes the penalty for repeated or more-serious violations, and (3) procedures for transferring particularly consequential cases (such as vehicular homicide or extreme drunken driving) to ordinary criminal and civil courts.  In the US, we already have administrative procedures for enforcing regulatory findings in hearings that resemble those of traffic courts.  What we need (but don’t have) is bright-line rules for triggering </w:t>
      </w:r>
      <w:r w:rsidR="00587883">
        <w:t>arrests</w:t>
      </w:r>
      <w:r w:rsidR="005D1212">
        <w:t xml:space="preserve"> and </w:t>
      </w:r>
      <w:r>
        <w:t xml:space="preserve">prosecution </w:t>
      </w:r>
      <w:r w:rsidR="00AE3EF5">
        <w:t>any time that</w:t>
      </w:r>
      <w:r>
        <w:t xml:space="preserve"> safety-net abuse rises to the level of highway robbery.</w:t>
      </w:r>
      <w:r w:rsidR="00B55A30">
        <w:t xml:space="preserve">  </w:t>
      </w:r>
      <w:r w:rsidR="005D1212">
        <w:t>It is important to</w:t>
      </w:r>
      <w:r w:rsidR="00B55A30">
        <w:t xml:space="preserve"> </w:t>
      </w:r>
      <w:r w:rsidR="006564B8">
        <w:t xml:space="preserve">link </w:t>
      </w:r>
      <w:r w:rsidR="00DE0C52">
        <w:t xml:space="preserve">individual </w:t>
      </w:r>
      <w:r w:rsidR="00B55A30">
        <w:t>penalties</w:t>
      </w:r>
      <w:r w:rsidR="00DE0C52">
        <w:t xml:space="preserve">, not </w:t>
      </w:r>
      <w:r w:rsidR="00960BF8">
        <w:t>as in the UK only</w:t>
      </w:r>
      <w:r w:rsidR="00DE0C52">
        <w:t xml:space="preserve"> to </w:t>
      </w:r>
      <w:r w:rsidR="00EF09DB">
        <w:t>formal declarations of insolvency</w:t>
      </w:r>
      <w:r w:rsidR="00DE0C52">
        <w:t>, but</w:t>
      </w:r>
      <w:r w:rsidR="00B55A30">
        <w:t xml:space="preserve"> </w:t>
      </w:r>
      <w:r w:rsidR="00CD37A7">
        <w:t xml:space="preserve">also </w:t>
      </w:r>
      <w:r w:rsidR="00B55A30">
        <w:t xml:space="preserve">to increases </w:t>
      </w:r>
      <w:r w:rsidR="006564B8">
        <w:t xml:space="preserve">recorded </w:t>
      </w:r>
      <w:r w:rsidR="00B55A30">
        <w:t xml:space="preserve">in </w:t>
      </w:r>
      <w:r w:rsidR="00CC563F">
        <w:t>one or more</w:t>
      </w:r>
      <w:r w:rsidR="00B55A30">
        <w:t xml:space="preserve"> specific tail-risk measure</w:t>
      </w:r>
      <w:r w:rsidR="00CC563F">
        <w:t>s</w:t>
      </w:r>
      <w:r w:rsidR="00B55A30">
        <w:t xml:space="preserve"> (such as </w:t>
      </w:r>
      <w:r w:rsidR="006564B8">
        <w:t>the one</w:t>
      </w:r>
      <w:r w:rsidR="00B55A30">
        <w:t xml:space="preserve"> displayed in Figure </w:t>
      </w:r>
      <w:r w:rsidR="009E278F">
        <w:t>1</w:t>
      </w:r>
      <w:r w:rsidR="00B55A30">
        <w:t xml:space="preserve">) during the two or three quarters preceding </w:t>
      </w:r>
      <w:r w:rsidR="00DE0C52">
        <w:t xml:space="preserve">and following any </w:t>
      </w:r>
      <w:r w:rsidR="00EF09DB">
        <w:t>observable effort</w:t>
      </w:r>
      <w:r w:rsidR="00DE0C52">
        <w:t xml:space="preserve"> to </w:t>
      </w:r>
      <w:r w:rsidR="00CC563F">
        <w:t>bail out</w:t>
      </w:r>
      <w:r w:rsidR="006564B8">
        <w:t xml:space="preserve"> bank creditors</w:t>
      </w:r>
      <w:r w:rsidR="00B55A30">
        <w:t>.</w:t>
      </w:r>
    </w:p>
    <w:p w:rsidR="00AE3EF5" w:rsidRDefault="00AE3EF5" w:rsidP="004407BE">
      <w:pPr>
        <w:spacing w:line="480" w:lineRule="auto"/>
        <w:ind w:firstLine="720"/>
      </w:pPr>
    </w:p>
    <w:p w:rsidR="00AE3EF5" w:rsidRPr="00AE3EF5" w:rsidRDefault="00AE3EF5" w:rsidP="00AE3EF5">
      <w:pPr>
        <w:spacing w:line="480" w:lineRule="auto"/>
      </w:pPr>
      <w:r>
        <w:rPr>
          <w:u w:val="single"/>
        </w:rPr>
        <w:t>Summary</w:t>
      </w:r>
    </w:p>
    <w:p w:rsidR="00D20365" w:rsidRDefault="007C63A5" w:rsidP="004407BE">
      <w:pPr>
        <w:spacing w:line="480" w:lineRule="auto"/>
        <w:ind w:firstLine="720"/>
      </w:pPr>
      <w:r>
        <w:t xml:space="preserve">Characterizing </w:t>
      </w:r>
      <w:r w:rsidR="00650E14">
        <w:t xml:space="preserve">taxpayer </w:t>
      </w:r>
      <w:r>
        <w:t xml:space="preserve">bailout support as a form of </w:t>
      </w:r>
      <w:r w:rsidR="00650E14">
        <w:t xml:space="preserve">coerced </w:t>
      </w:r>
      <w:r>
        <w:t xml:space="preserve">equity </w:t>
      </w:r>
      <w:r w:rsidR="00650E14">
        <w:t xml:space="preserve">investment </w:t>
      </w:r>
      <w:r>
        <w:t xml:space="preserve">leads us to interpret taxpayers’ positions in megabanks as a portfolio of trust funds.  </w:t>
      </w:r>
      <w:r w:rsidR="00157EC9">
        <w:t xml:space="preserve">Although it is </w:t>
      </w:r>
      <w:r w:rsidR="00AB58E7">
        <w:t xml:space="preserve">only </w:t>
      </w:r>
      <w:r w:rsidR="00157EC9">
        <w:t xml:space="preserve">part of the solution, </w:t>
      </w:r>
      <w:r w:rsidR="00A00AD6">
        <w:t xml:space="preserve">rewriting each country’s corporate code to require bankers </w:t>
      </w:r>
      <w:r w:rsidR="00B3583F">
        <w:t>to measure and service</w:t>
      </w:r>
      <w:r w:rsidR="00157EC9">
        <w:t xml:space="preserve"> the value that </w:t>
      </w:r>
      <w:r w:rsidR="00AE3EF5">
        <w:t>they</w:t>
      </w:r>
      <w:r w:rsidR="00157EC9">
        <w:t xml:space="preserve"> </w:t>
      </w:r>
      <w:r w:rsidR="008E3178">
        <w:t>extract</w:t>
      </w:r>
      <w:r>
        <w:t xml:space="preserve"> from these trust funds</w:t>
      </w:r>
      <w:r w:rsidR="00157EC9">
        <w:t xml:space="preserve"> </w:t>
      </w:r>
      <w:r w:rsidR="00AE3EF5">
        <w:t>would be a good start</w:t>
      </w:r>
      <w:r w:rsidR="00157EC9">
        <w:t xml:space="preserve">.  </w:t>
      </w:r>
      <w:r w:rsidR="00AE3EF5">
        <w:t>But n</w:t>
      </w:r>
      <w:r w:rsidR="008E3178">
        <w:t xml:space="preserve">o matter </w:t>
      </w:r>
      <w:r w:rsidR="00AE3EF5">
        <w:t>how</w:t>
      </w:r>
      <w:r w:rsidR="008E3178">
        <w:t xml:space="preserve"> regulators </w:t>
      </w:r>
      <w:r w:rsidR="00AE3EF5">
        <w:t xml:space="preserve">write such a rule and how they might </w:t>
      </w:r>
      <w:r w:rsidR="00D22211">
        <w:t>repack</w:t>
      </w:r>
      <w:r w:rsidR="00AB58E7">
        <w:t xml:space="preserve"> their tangible toolbox of</w:t>
      </w:r>
      <w:r w:rsidR="008E3178">
        <w:t xml:space="preserve"> stress tests, </w:t>
      </w:r>
      <w:r w:rsidR="008E3178">
        <w:lastRenderedPageBreak/>
        <w:t xml:space="preserve">living wills, compensation controls, and capital and liquidity requirements, if they do not </w:t>
      </w:r>
      <w:r w:rsidR="00AE3EF5">
        <w:t xml:space="preserve">also </w:t>
      </w:r>
      <w:r w:rsidR="008E3178">
        <w:t xml:space="preserve">set up </w:t>
      </w:r>
      <w:r w:rsidR="00AE3EF5">
        <w:t>ways to</w:t>
      </w:r>
      <w:r w:rsidR="008E3178">
        <w:t xml:space="preserve"> punish </w:t>
      </w:r>
      <w:r w:rsidR="008E3178">
        <w:rPr>
          <w:i/>
        </w:rPr>
        <w:t>individual</w:t>
      </w:r>
      <w:r w:rsidR="00CC563F">
        <w:rPr>
          <w:i/>
        </w:rPr>
        <w:t xml:space="preserve"> </w:t>
      </w:r>
      <w:r w:rsidR="00CC563F">
        <w:t>managers</w:t>
      </w:r>
      <w:r w:rsidR="008E3178">
        <w:t xml:space="preserve"> for acts of willful or complicit safety-net theft, we are bound to </w:t>
      </w:r>
      <w:r w:rsidR="00AE3EF5">
        <w:t>experience more and</w:t>
      </w:r>
      <w:r w:rsidR="008E3178">
        <w:t xml:space="preserve"> more safety</w:t>
      </w:r>
      <w:r w:rsidR="00D46482">
        <w:t>-net abuse in the future.  To en</w:t>
      </w:r>
      <w:bookmarkStart w:id="0" w:name="_GoBack"/>
      <w:bookmarkEnd w:id="0"/>
      <w:r w:rsidR="008E3178">
        <w:t>sure that taxpayer rights are enforced,</w:t>
      </w:r>
      <w:r w:rsidR="00B3583F">
        <w:t xml:space="preserve"> </w:t>
      </w:r>
      <w:r w:rsidR="00157EC9">
        <w:t xml:space="preserve">I believe that safety-net abuse must </w:t>
      </w:r>
      <w:r w:rsidR="00B3583F">
        <w:t xml:space="preserve">also </w:t>
      </w:r>
      <w:r w:rsidR="00157EC9">
        <w:t xml:space="preserve">be defined </w:t>
      </w:r>
      <w:r w:rsidR="00EF09DB">
        <w:t>in terms of</w:t>
      </w:r>
      <w:r w:rsidR="00157EC9">
        <w:t xml:space="preserve"> </w:t>
      </w:r>
      <w:r w:rsidR="00AE3EF5">
        <w:t xml:space="preserve">a </w:t>
      </w:r>
      <w:r w:rsidR="008E3178">
        <w:t xml:space="preserve">bright-line </w:t>
      </w:r>
      <w:r w:rsidR="00EF09DB">
        <w:t>test for the materiality of acts of public endangerment</w:t>
      </w:r>
      <w:r w:rsidR="00157EC9">
        <w:t xml:space="preserve"> and </w:t>
      </w:r>
      <w:r w:rsidR="00CC563F">
        <w:t xml:space="preserve">that </w:t>
      </w:r>
      <w:r w:rsidR="00157EC9">
        <w:t>regulators and prosecutors</w:t>
      </w:r>
      <w:r w:rsidR="00467D8B">
        <w:t xml:space="preserve"> and judges </w:t>
      </w:r>
      <w:r w:rsidR="00157EC9">
        <w:t xml:space="preserve">must </w:t>
      </w:r>
      <w:r w:rsidR="008E3178">
        <w:t xml:space="preserve">be obliged to </w:t>
      </w:r>
      <w:r w:rsidR="00B3583F">
        <w:t>impose</w:t>
      </w:r>
      <w:r w:rsidR="00157EC9">
        <w:t xml:space="preserve"> a </w:t>
      </w:r>
      <w:r w:rsidR="00B3583F">
        <w:t>ladder</w:t>
      </w:r>
      <w:r w:rsidR="00157EC9">
        <w:t xml:space="preserve"> of graduated penalties on </w:t>
      </w:r>
      <w:r w:rsidR="00157EC9">
        <w:rPr>
          <w:i/>
        </w:rPr>
        <w:t>individuals</w:t>
      </w:r>
      <w:r w:rsidR="00157EC9">
        <w:t xml:space="preserve"> who can be shown to have </w:t>
      </w:r>
      <w:r w:rsidR="00650E14">
        <w:t xml:space="preserve">authorized or </w:t>
      </w:r>
      <w:r w:rsidR="00157EC9">
        <w:t xml:space="preserve">engaged in reckless </w:t>
      </w:r>
      <w:r w:rsidR="00B3583F">
        <w:t>tail-</w:t>
      </w:r>
      <w:r w:rsidR="00D073EC">
        <w:t xml:space="preserve">risk </w:t>
      </w:r>
      <w:r w:rsidR="00157EC9">
        <w:t>maneuvers.</w:t>
      </w:r>
    </w:p>
    <w:p w:rsidR="001F379E" w:rsidRDefault="001F379E">
      <w:r>
        <w:br w:type="page"/>
      </w:r>
    </w:p>
    <w:p w:rsidR="003F37B3" w:rsidRDefault="003F37B3" w:rsidP="00A021FA">
      <w:pPr>
        <w:jc w:val="center"/>
        <w:rPr>
          <w:b/>
        </w:rPr>
      </w:pPr>
      <w:r>
        <w:rPr>
          <w:b/>
        </w:rPr>
        <w:lastRenderedPageBreak/>
        <w:t>TABLE 1</w:t>
      </w:r>
    </w:p>
    <w:p w:rsidR="00A021FA" w:rsidRDefault="00A021FA" w:rsidP="00A021FA">
      <w:pPr>
        <w:jc w:val="center"/>
        <w:rPr>
          <w:b/>
        </w:rPr>
      </w:pPr>
      <w:r>
        <w:rPr>
          <w:b/>
        </w:rPr>
        <w:t>MOVEMENTS IN STAND-ALONE DEFAULT PROBABILITIES OF MAJOR BANKS IN THE US AND EU ARE HIGHLY CORRELATED</w:t>
      </w:r>
    </w:p>
    <w:p w:rsidR="00A021FA" w:rsidRDefault="00A021FA" w:rsidP="00A021FA">
      <w:pPr>
        <w:jc w:val="center"/>
        <w:rPr>
          <w:b/>
        </w:rPr>
      </w:pPr>
    </w:p>
    <w:p w:rsidR="003F37B3" w:rsidRDefault="003F37B3" w:rsidP="00A021FA">
      <w:pPr>
        <w:jc w:val="center"/>
        <w:rPr>
          <w:b/>
        </w:rPr>
      </w:pPr>
    </w:p>
    <w:tbl>
      <w:tblPr>
        <w:tblStyle w:val="TableGrid"/>
        <w:tblW w:w="0" w:type="auto"/>
        <w:tblInd w:w="1458" w:type="dxa"/>
        <w:tblLook w:val="04A0"/>
      </w:tblPr>
      <w:tblGrid>
        <w:gridCol w:w="2448"/>
        <w:gridCol w:w="4320"/>
      </w:tblGrid>
      <w:tr w:rsidR="00A021FA" w:rsidTr="006420ED">
        <w:tc>
          <w:tcPr>
            <w:tcW w:w="2448" w:type="dxa"/>
          </w:tcPr>
          <w:p w:rsidR="00A021FA" w:rsidRDefault="00A021FA" w:rsidP="00A021FA">
            <w:pPr>
              <w:jc w:val="center"/>
              <w:rPr>
                <w:b/>
              </w:rPr>
            </w:pPr>
            <w:r>
              <w:rPr>
                <w:b/>
              </w:rPr>
              <w:t>Bank Pair</w:t>
            </w:r>
          </w:p>
        </w:tc>
        <w:tc>
          <w:tcPr>
            <w:tcW w:w="4320" w:type="dxa"/>
          </w:tcPr>
          <w:p w:rsidR="00A021FA" w:rsidRDefault="00A021FA" w:rsidP="00A021FA">
            <w:pPr>
              <w:jc w:val="center"/>
              <w:rPr>
                <w:b/>
              </w:rPr>
            </w:pPr>
            <w:r>
              <w:rPr>
                <w:b/>
              </w:rPr>
              <w:t>Correlation Coefficient in KRIS data</w:t>
            </w:r>
          </w:p>
        </w:tc>
      </w:tr>
      <w:tr w:rsidR="00A021FA" w:rsidTr="006420ED">
        <w:tc>
          <w:tcPr>
            <w:tcW w:w="2448" w:type="dxa"/>
          </w:tcPr>
          <w:p w:rsidR="00A021FA" w:rsidRPr="00A021FA" w:rsidRDefault="00A021FA" w:rsidP="00A021FA">
            <w:r>
              <w:t>BAC and C</w:t>
            </w:r>
          </w:p>
        </w:tc>
        <w:tc>
          <w:tcPr>
            <w:tcW w:w="4320" w:type="dxa"/>
          </w:tcPr>
          <w:p w:rsidR="00A021FA" w:rsidRPr="00A021FA" w:rsidRDefault="00A021FA" w:rsidP="00A021FA">
            <w:pPr>
              <w:jc w:val="center"/>
            </w:pPr>
            <w:r>
              <w:t>.94</w:t>
            </w:r>
          </w:p>
        </w:tc>
      </w:tr>
      <w:tr w:rsidR="00A021FA" w:rsidTr="006420ED">
        <w:tc>
          <w:tcPr>
            <w:tcW w:w="2448" w:type="dxa"/>
          </w:tcPr>
          <w:p w:rsidR="00A021FA" w:rsidRDefault="00A021FA" w:rsidP="00A021FA">
            <w:r>
              <w:t>BAC and JPM</w:t>
            </w:r>
          </w:p>
        </w:tc>
        <w:tc>
          <w:tcPr>
            <w:tcW w:w="4320" w:type="dxa"/>
          </w:tcPr>
          <w:p w:rsidR="00A021FA" w:rsidRDefault="00A021FA" w:rsidP="00A021FA">
            <w:pPr>
              <w:jc w:val="center"/>
            </w:pPr>
            <w:r>
              <w:t>.80</w:t>
            </w:r>
          </w:p>
        </w:tc>
      </w:tr>
      <w:tr w:rsidR="00A021FA" w:rsidTr="006420ED">
        <w:tc>
          <w:tcPr>
            <w:tcW w:w="2448" w:type="dxa"/>
          </w:tcPr>
          <w:p w:rsidR="00A021FA" w:rsidRDefault="00A021FA" w:rsidP="00A021FA">
            <w:r>
              <w:t>BAC and GS</w:t>
            </w:r>
          </w:p>
        </w:tc>
        <w:tc>
          <w:tcPr>
            <w:tcW w:w="4320" w:type="dxa"/>
          </w:tcPr>
          <w:p w:rsidR="00A021FA" w:rsidRDefault="00A021FA" w:rsidP="00A021FA">
            <w:pPr>
              <w:jc w:val="center"/>
            </w:pPr>
            <w:r>
              <w:t>.93</w:t>
            </w:r>
          </w:p>
        </w:tc>
      </w:tr>
      <w:tr w:rsidR="00A021FA" w:rsidTr="006420ED">
        <w:tc>
          <w:tcPr>
            <w:tcW w:w="2448" w:type="dxa"/>
          </w:tcPr>
          <w:p w:rsidR="00A021FA" w:rsidRDefault="006420ED" w:rsidP="00A021FA">
            <w:r>
              <w:t>BAC and MS</w:t>
            </w:r>
          </w:p>
        </w:tc>
        <w:tc>
          <w:tcPr>
            <w:tcW w:w="4320" w:type="dxa"/>
          </w:tcPr>
          <w:p w:rsidR="00A021FA" w:rsidRDefault="006420ED" w:rsidP="00A021FA">
            <w:pPr>
              <w:jc w:val="center"/>
            </w:pPr>
            <w:r>
              <w:t>.94</w:t>
            </w:r>
          </w:p>
        </w:tc>
      </w:tr>
      <w:tr w:rsidR="006420ED" w:rsidTr="006420ED">
        <w:tc>
          <w:tcPr>
            <w:tcW w:w="2448" w:type="dxa"/>
          </w:tcPr>
          <w:p w:rsidR="006420ED" w:rsidRDefault="006420ED" w:rsidP="00A021FA">
            <w:r>
              <w:t>BAC and DBK</w:t>
            </w:r>
          </w:p>
        </w:tc>
        <w:tc>
          <w:tcPr>
            <w:tcW w:w="4320" w:type="dxa"/>
          </w:tcPr>
          <w:p w:rsidR="006420ED" w:rsidRDefault="006420ED" w:rsidP="00A021FA">
            <w:pPr>
              <w:jc w:val="center"/>
            </w:pPr>
            <w:r>
              <w:t>.51</w:t>
            </w:r>
          </w:p>
        </w:tc>
      </w:tr>
      <w:tr w:rsidR="006420ED" w:rsidTr="006420ED">
        <w:tc>
          <w:tcPr>
            <w:tcW w:w="2448" w:type="dxa"/>
          </w:tcPr>
          <w:p w:rsidR="006420ED" w:rsidRDefault="006420ED" w:rsidP="00A021FA">
            <w:r>
              <w:t>BAC and BBVA</w:t>
            </w:r>
          </w:p>
        </w:tc>
        <w:tc>
          <w:tcPr>
            <w:tcW w:w="4320" w:type="dxa"/>
          </w:tcPr>
          <w:p w:rsidR="006420ED" w:rsidRDefault="006420ED" w:rsidP="00A021FA">
            <w:pPr>
              <w:jc w:val="center"/>
            </w:pPr>
            <w:r>
              <w:t>.73</w:t>
            </w:r>
          </w:p>
        </w:tc>
      </w:tr>
      <w:tr w:rsidR="006420ED" w:rsidTr="006420ED">
        <w:tc>
          <w:tcPr>
            <w:tcW w:w="2448" w:type="dxa"/>
          </w:tcPr>
          <w:p w:rsidR="006420ED" w:rsidRDefault="006420ED" w:rsidP="00A021FA">
            <w:r>
              <w:t>BAC and UBI</w:t>
            </w:r>
          </w:p>
        </w:tc>
        <w:tc>
          <w:tcPr>
            <w:tcW w:w="4320" w:type="dxa"/>
          </w:tcPr>
          <w:p w:rsidR="006420ED" w:rsidRDefault="006420ED" w:rsidP="00A021FA">
            <w:pPr>
              <w:jc w:val="center"/>
            </w:pPr>
            <w:r>
              <w:t>.60</w:t>
            </w:r>
          </w:p>
        </w:tc>
      </w:tr>
      <w:tr w:rsidR="006420ED" w:rsidTr="006420ED">
        <w:tc>
          <w:tcPr>
            <w:tcW w:w="2448" w:type="dxa"/>
          </w:tcPr>
          <w:p w:rsidR="006420ED" w:rsidRDefault="006420ED" w:rsidP="00A021FA">
            <w:r>
              <w:t>BAC and CSGN</w:t>
            </w:r>
          </w:p>
        </w:tc>
        <w:tc>
          <w:tcPr>
            <w:tcW w:w="4320" w:type="dxa"/>
          </w:tcPr>
          <w:p w:rsidR="006420ED" w:rsidRDefault="006420ED" w:rsidP="00A021FA">
            <w:pPr>
              <w:jc w:val="center"/>
            </w:pPr>
            <w:r>
              <w:t>.71</w:t>
            </w:r>
          </w:p>
        </w:tc>
      </w:tr>
    </w:tbl>
    <w:p w:rsidR="00A021FA" w:rsidRDefault="00A021FA" w:rsidP="00A021FA">
      <w:pPr>
        <w:jc w:val="center"/>
        <w:rPr>
          <w:b/>
        </w:rPr>
      </w:pPr>
    </w:p>
    <w:p w:rsidR="00A021FA" w:rsidRPr="006420ED" w:rsidRDefault="006420ED" w:rsidP="006420ED">
      <w:pPr>
        <w:rPr>
          <w:sz w:val="20"/>
          <w:szCs w:val="20"/>
        </w:rPr>
      </w:pPr>
      <w:r w:rsidRPr="006420ED">
        <w:rPr>
          <w:sz w:val="20"/>
          <w:szCs w:val="20"/>
        </w:rPr>
        <w:t xml:space="preserve">Notes: The model of default probability used to generate the probabilities is Kamakura Risk Information Services version 6.0 </w:t>
      </w:r>
      <w:proofErr w:type="spellStart"/>
      <w:r w:rsidRPr="006420ED">
        <w:rPr>
          <w:sz w:val="20"/>
          <w:szCs w:val="20"/>
        </w:rPr>
        <w:t>Jarrow-Chava</w:t>
      </w:r>
      <w:proofErr w:type="spellEnd"/>
      <w:r w:rsidRPr="006420ED">
        <w:rPr>
          <w:sz w:val="20"/>
          <w:szCs w:val="20"/>
        </w:rPr>
        <w:t xml:space="preserve"> reduced form default probability model (abbreviated on the KRIS website as KDP-jc6).</w:t>
      </w:r>
    </w:p>
    <w:p w:rsidR="006420ED" w:rsidRPr="006420ED" w:rsidRDefault="006420ED" w:rsidP="006420ED">
      <w:pPr>
        <w:rPr>
          <w:sz w:val="20"/>
          <w:szCs w:val="20"/>
        </w:rPr>
      </w:pPr>
    </w:p>
    <w:p w:rsidR="006420ED" w:rsidRPr="006420ED" w:rsidRDefault="006420ED" w:rsidP="006420ED">
      <w:pPr>
        <w:rPr>
          <w:sz w:val="20"/>
          <w:szCs w:val="20"/>
        </w:rPr>
      </w:pPr>
      <w:r w:rsidRPr="006420ED">
        <w:rPr>
          <w:sz w:val="20"/>
          <w:szCs w:val="20"/>
        </w:rPr>
        <w:t>This model uses a sophisticated combination of financial ratios, stock price history, and macro-economic factors.</w:t>
      </w:r>
    </w:p>
    <w:p w:rsidR="006420ED" w:rsidRPr="006420ED" w:rsidRDefault="006420ED" w:rsidP="006420ED">
      <w:pPr>
        <w:rPr>
          <w:sz w:val="20"/>
          <w:szCs w:val="20"/>
        </w:rPr>
      </w:pPr>
    </w:p>
    <w:p w:rsidR="006420ED" w:rsidRPr="006420ED" w:rsidRDefault="006420ED" w:rsidP="006420ED">
      <w:pPr>
        <w:rPr>
          <w:sz w:val="20"/>
          <w:szCs w:val="20"/>
        </w:rPr>
      </w:pPr>
      <w:r w:rsidRPr="006420ED">
        <w:rPr>
          <w:sz w:val="20"/>
          <w:szCs w:val="20"/>
        </w:rPr>
        <w:t xml:space="preserve">The version 6.0 model was estimated over the period from 1990 to 2014, and includes the insights of the recent credit crisis.  Kamakura default probabilities are based on 2.2 million observations and more than 2,700 defaults. </w:t>
      </w:r>
    </w:p>
    <w:p w:rsidR="006420ED" w:rsidRPr="006420ED" w:rsidRDefault="006420ED" w:rsidP="006420ED">
      <w:pPr>
        <w:rPr>
          <w:sz w:val="20"/>
          <w:szCs w:val="20"/>
        </w:rPr>
      </w:pPr>
    </w:p>
    <w:p w:rsidR="006420ED" w:rsidRPr="006420ED" w:rsidRDefault="006420ED" w:rsidP="006420ED">
      <w:pPr>
        <w:rPr>
          <w:sz w:val="20"/>
          <w:szCs w:val="20"/>
        </w:rPr>
      </w:pPr>
      <w:r w:rsidRPr="006420ED">
        <w:rPr>
          <w:sz w:val="20"/>
          <w:szCs w:val="20"/>
        </w:rPr>
        <w:t>A term structure of default over different horizons is constructed by using a related series of econometric relationships estimated on this data base.  KRIS covers 35,000 firms in 61 countries, updated daily.</w:t>
      </w:r>
    </w:p>
    <w:p w:rsidR="006420ED" w:rsidRDefault="006420ED" w:rsidP="006420ED"/>
    <w:p w:rsidR="006420ED" w:rsidRDefault="006420ED" w:rsidP="006420ED"/>
    <w:p w:rsidR="006420ED" w:rsidRPr="006420ED" w:rsidRDefault="006420ED" w:rsidP="006420ED">
      <w:r>
        <w:t>KRIS posted these figures on 3-17-17.  The size of these correlations undermine</w:t>
      </w:r>
      <w:r w:rsidR="001533F8">
        <w:t>s</w:t>
      </w:r>
      <w:r>
        <w:t xml:space="preserve"> the proposition that bail-in promises can be executed in a crisis.  They tell us that, when one of these banks is in distress, the others are more apt to need help than to be able to assist them.</w:t>
      </w:r>
    </w:p>
    <w:p w:rsidR="00A021FA" w:rsidRDefault="00A021FA">
      <w:pPr>
        <w:rPr>
          <w:b/>
        </w:rPr>
      </w:pPr>
      <w:r>
        <w:rPr>
          <w:b/>
        </w:rPr>
        <w:br w:type="page"/>
      </w:r>
    </w:p>
    <w:p w:rsidR="00D27433" w:rsidRDefault="00D27433" w:rsidP="00D27433">
      <w:pPr>
        <w:spacing w:line="480" w:lineRule="auto"/>
        <w:jc w:val="center"/>
        <w:rPr>
          <w:b/>
        </w:rPr>
      </w:pPr>
      <w:r>
        <w:rPr>
          <w:b/>
        </w:rPr>
        <w:lastRenderedPageBreak/>
        <w:t>FIGURE 1</w:t>
      </w:r>
    </w:p>
    <w:p w:rsidR="00D27433" w:rsidRDefault="00D27433" w:rsidP="00D27433">
      <w:pPr>
        <w:jc w:val="center"/>
        <w:rPr>
          <w:b/>
        </w:rPr>
      </w:pPr>
      <w:r>
        <w:rPr>
          <w:b/>
        </w:rPr>
        <w:t>AN ESTIMATE OF THE MEAN ANNUALIZED VALUE OF SAFETY-NET BENEFITS PER DOLLAR OF LIABILITIES AT US BANKS, 1974-2010</w:t>
      </w:r>
    </w:p>
    <w:p w:rsidR="00D27433" w:rsidRDefault="00D27433" w:rsidP="00D27433">
      <w:pPr>
        <w:spacing w:line="480" w:lineRule="auto"/>
        <w:jc w:val="center"/>
        <w:rPr>
          <w:b/>
        </w:rPr>
      </w:pPr>
    </w:p>
    <w:p w:rsidR="00D27433" w:rsidRPr="00E9385B" w:rsidRDefault="00D27433" w:rsidP="00D27433">
      <w:pPr>
        <w:jc w:val="both"/>
      </w:pPr>
      <w:r>
        <w:t xml:space="preserve">This figure reports quarterly averages of </w:t>
      </w:r>
      <w:proofErr w:type="spellStart"/>
      <w:r>
        <w:t>Hovakimian</w:t>
      </w:r>
      <w:proofErr w:type="spellEnd"/>
      <w:r>
        <w:t>-Kane-</w:t>
      </w:r>
      <w:proofErr w:type="spellStart"/>
      <w:r>
        <w:t>Laeven</w:t>
      </w:r>
      <w:proofErr w:type="spellEnd"/>
      <w:r>
        <w:t xml:space="preserve"> annualized estimates of fair percentage dividend due taxpayers for absorbing safety-net risk, using the well-known Merton model (1977) and assuming dividends continue to be paid.  Averages are computed across a sample of U.S. bank holding companies over the 1974-2010 period and reported per-dollar of debt quarter by quarter in basis points.  Financial statement data are taken from the </w:t>
      </w:r>
      <w:proofErr w:type="spellStart"/>
      <w:r>
        <w:t>Compustat</w:t>
      </w:r>
      <w:proofErr w:type="spellEnd"/>
      <w:r>
        <w:t xml:space="preserve"> database for U.S. banks and daily stock returns are taken from CRSP.</w:t>
      </w:r>
    </w:p>
    <w:p w:rsidR="00D27433" w:rsidRDefault="00D27433" w:rsidP="00D27433"/>
    <w:p w:rsidR="00D27433" w:rsidRDefault="00D27433" w:rsidP="00D27433">
      <w:r>
        <w:rPr>
          <w:noProof/>
        </w:rPr>
        <w:drawing>
          <wp:inline distT="0" distB="0" distL="0" distR="0">
            <wp:extent cx="5967095" cy="3757930"/>
            <wp:effectExtent l="0" t="0" r="14605"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27433" w:rsidRDefault="00D27433" w:rsidP="00D27433"/>
    <w:p w:rsidR="00D27433" w:rsidRDefault="00D27433" w:rsidP="00D27433">
      <w:r>
        <w:t xml:space="preserve">Source: </w:t>
      </w:r>
      <w:proofErr w:type="spellStart"/>
      <w:r>
        <w:t>Hovakimian</w:t>
      </w:r>
      <w:proofErr w:type="spellEnd"/>
      <w:r>
        <w:t xml:space="preserve">, Kane, and </w:t>
      </w:r>
      <w:proofErr w:type="spellStart"/>
      <w:r>
        <w:t>Laeven</w:t>
      </w:r>
      <w:proofErr w:type="spellEnd"/>
      <w:r>
        <w:t>, 2012.  The surge in mean safety-net benefits during the 2008-2009 crisis and their eventual decline in the post-crisis period appears in virtually all studies attempting to measure these benefits, irrespective of the way the subsidization process is modeled.</w:t>
      </w:r>
    </w:p>
    <w:p w:rsidR="00D27433" w:rsidRDefault="00D27433" w:rsidP="00D27433">
      <w:r>
        <w:br w:type="page"/>
      </w:r>
    </w:p>
    <w:p w:rsidR="001F379E" w:rsidRDefault="001F379E" w:rsidP="001F379E">
      <w:pPr>
        <w:spacing w:line="480" w:lineRule="auto"/>
        <w:jc w:val="center"/>
        <w:rPr>
          <w:b/>
        </w:rPr>
      </w:pPr>
      <w:r>
        <w:rPr>
          <w:b/>
        </w:rPr>
        <w:lastRenderedPageBreak/>
        <w:t xml:space="preserve">FIGURE </w:t>
      </w:r>
      <w:r w:rsidR="00002918">
        <w:rPr>
          <w:b/>
        </w:rPr>
        <w:t>2</w:t>
      </w:r>
    </w:p>
    <w:p w:rsidR="001F379E" w:rsidRDefault="001F379E" w:rsidP="001F379E">
      <w:pPr>
        <w:spacing w:line="480" w:lineRule="auto"/>
        <w:jc w:val="center"/>
        <w:rPr>
          <w:b/>
        </w:rPr>
      </w:pPr>
      <w:r>
        <w:rPr>
          <w:b/>
          <w:noProof/>
        </w:rPr>
        <w:drawing>
          <wp:inline distT="0" distB="0" distL="0" distR="0">
            <wp:extent cx="5715000" cy="3781425"/>
            <wp:effectExtent l="0" t="0" r="0" b="9525"/>
            <wp:docPr id="1" name="Picture 1" descr="C:\Users\MANCINSA\Downloads\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CINSA\Downloads\unnamed (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3781425"/>
                    </a:xfrm>
                    <a:prstGeom prst="rect">
                      <a:avLst/>
                    </a:prstGeom>
                    <a:noFill/>
                    <a:ln>
                      <a:noFill/>
                    </a:ln>
                  </pic:spPr>
                </pic:pic>
              </a:graphicData>
            </a:graphic>
          </wp:inline>
        </w:drawing>
      </w:r>
    </w:p>
    <w:p w:rsidR="00D073EC" w:rsidRDefault="00D073EC" w:rsidP="00D073EC">
      <w:r>
        <w:t>Note: The particular banking org</w:t>
      </w:r>
      <w:r w:rsidR="007C63A5">
        <w:t xml:space="preserve">anizations covered by </w:t>
      </w:r>
      <w:proofErr w:type="spellStart"/>
      <w:r w:rsidR="007C63A5">
        <w:t>Corlytics</w:t>
      </w:r>
      <w:proofErr w:type="spellEnd"/>
      <w:r w:rsidR="007C63A5">
        <w:t>’</w:t>
      </w:r>
      <w:r>
        <w:t xml:space="preserve"> work are Barclays, Bank of America, Citigroup, Credit Suisse, Deutsche Bank, Goldman Sachs, HSBC, JPMorgan, Morgan Stanley, and UBS.</w:t>
      </w:r>
    </w:p>
    <w:p w:rsidR="00D073EC" w:rsidRDefault="00D073EC" w:rsidP="00D073EC"/>
    <w:p w:rsidR="00B3583F" w:rsidRDefault="00B3583F">
      <w:r>
        <w:br w:type="page"/>
      </w:r>
    </w:p>
    <w:p w:rsidR="00B3583F" w:rsidRDefault="00B3583F" w:rsidP="00B3583F">
      <w:pPr>
        <w:jc w:val="center"/>
        <w:rPr>
          <w:b/>
        </w:rPr>
      </w:pPr>
      <w:r>
        <w:rPr>
          <w:b/>
        </w:rPr>
        <w:lastRenderedPageBreak/>
        <w:t xml:space="preserve">FIGURE </w:t>
      </w:r>
      <w:r w:rsidR="00BA5C57">
        <w:rPr>
          <w:b/>
        </w:rPr>
        <w:t>3</w:t>
      </w:r>
    </w:p>
    <w:p w:rsidR="00B3583F" w:rsidRDefault="00B3583F" w:rsidP="00B3583F">
      <w:pPr>
        <w:jc w:val="center"/>
        <w:rPr>
          <w:b/>
        </w:rPr>
      </w:pPr>
      <w:r>
        <w:rPr>
          <w:b/>
        </w:rPr>
        <w:t>MY MODEL OF BELIEFS AND SHARED ASSUMPTIONS IN THE PRUDENTIAL REGULATORY CULTURE FACING US MEGABANKS</w:t>
      </w:r>
    </w:p>
    <w:p w:rsidR="00B3583F" w:rsidRDefault="00B3583F" w:rsidP="00B3583F">
      <w:pPr>
        <w:jc w:val="center"/>
        <w:rPr>
          <w:b/>
        </w:rPr>
      </w:pPr>
    </w:p>
    <w:p w:rsidR="00B3583F" w:rsidRDefault="00B3583F" w:rsidP="00B3583F">
      <w:pPr>
        <w:jc w:val="center"/>
        <w:rPr>
          <w:b/>
        </w:rPr>
      </w:pPr>
    </w:p>
    <w:p w:rsidR="00B3583F" w:rsidRDefault="00B3583F" w:rsidP="00B3583F">
      <w:pPr>
        <w:pStyle w:val="ListParagraph"/>
        <w:numPr>
          <w:ilvl w:val="0"/>
          <w:numId w:val="3"/>
        </w:numPr>
        <w:spacing w:line="480" w:lineRule="auto"/>
        <w:rPr>
          <w:u w:val="single"/>
        </w:rPr>
      </w:pPr>
      <w:r>
        <w:rPr>
          <w:u w:val="single"/>
        </w:rPr>
        <w:t>Focus</w:t>
      </w:r>
    </w:p>
    <w:p w:rsidR="00B3583F" w:rsidRDefault="00B3583F" w:rsidP="00B3583F">
      <w:pPr>
        <w:pStyle w:val="ListParagraph"/>
        <w:numPr>
          <w:ilvl w:val="1"/>
          <w:numId w:val="3"/>
        </w:numPr>
      </w:pPr>
      <w:r>
        <w:t>Prudential regulation seeks to protect society from the consequences of dangerous risk-taking, capital shortages, and loss concealment at megabanks.</w:t>
      </w:r>
    </w:p>
    <w:p w:rsidR="00B3583F" w:rsidRDefault="00B3583F" w:rsidP="00B3583F">
      <w:pPr>
        <w:pStyle w:val="ListParagraph"/>
        <w:ind w:left="1440"/>
      </w:pPr>
    </w:p>
    <w:p w:rsidR="00B3583F" w:rsidRDefault="00B3583F" w:rsidP="00B3583F">
      <w:pPr>
        <w:pStyle w:val="ListParagraph"/>
        <w:numPr>
          <w:ilvl w:val="1"/>
          <w:numId w:val="3"/>
        </w:numPr>
      </w:pPr>
      <w:r>
        <w:t xml:space="preserve">US Megabanks are in a </w:t>
      </w:r>
      <w:r w:rsidR="007C63A5">
        <w:t>competitive</w:t>
      </w:r>
      <w:r>
        <w:t xml:space="preserve"> war with foreign megabanks and prudential regulators must be careful not to handicap them in these battles.  This implies a duty to be helpful.</w:t>
      </w:r>
    </w:p>
    <w:p w:rsidR="00B3583F" w:rsidRDefault="00B3583F" w:rsidP="00B3583F"/>
    <w:p w:rsidR="00B3583F" w:rsidRDefault="00B3583F" w:rsidP="00B3583F">
      <w:pPr>
        <w:pStyle w:val="ListParagraph"/>
        <w:numPr>
          <w:ilvl w:val="1"/>
          <w:numId w:val="3"/>
        </w:numPr>
      </w:pPr>
      <w:r>
        <w:t>The financial industry needs a disclosure regime that makes it hard for outsiders to observe adverse information in a timely manner.</w:t>
      </w:r>
    </w:p>
    <w:p w:rsidR="00B3583F" w:rsidRDefault="00B3583F" w:rsidP="00B3583F"/>
    <w:p w:rsidR="00B3583F" w:rsidRDefault="00B3583F" w:rsidP="00B3583F">
      <w:pPr>
        <w:pStyle w:val="ListParagraph"/>
        <w:numPr>
          <w:ilvl w:val="0"/>
          <w:numId w:val="3"/>
        </w:numPr>
      </w:pPr>
      <w:r>
        <w:rPr>
          <w:u w:val="single"/>
        </w:rPr>
        <w:t>Self-Image</w:t>
      </w:r>
      <w:r>
        <w:t>: An embattled and often-scapegoated team of heroes that has been assigned contradictory goals.</w:t>
      </w:r>
    </w:p>
    <w:p w:rsidR="00B3583F" w:rsidRDefault="00B3583F" w:rsidP="00B3583F">
      <w:pPr>
        <w:pStyle w:val="ListParagraph"/>
      </w:pPr>
    </w:p>
    <w:p w:rsidR="00B3583F" w:rsidRDefault="00B3583F" w:rsidP="00B3583F">
      <w:pPr>
        <w:pStyle w:val="ListParagraph"/>
        <w:numPr>
          <w:ilvl w:val="1"/>
          <w:numId w:val="3"/>
        </w:numPr>
      </w:pPr>
      <w:r>
        <w:t>Organization and management is inherently hierarchical.  Dissent may be expressed, but is seldom welcomed.</w:t>
      </w:r>
    </w:p>
    <w:p w:rsidR="00B3583F" w:rsidRDefault="00B3583F" w:rsidP="00B3583F">
      <w:pPr>
        <w:pStyle w:val="ListParagraph"/>
        <w:ind w:left="1440"/>
      </w:pPr>
    </w:p>
    <w:p w:rsidR="00B3583F" w:rsidRDefault="00B3583F" w:rsidP="00B3583F">
      <w:pPr>
        <w:pStyle w:val="ListParagraph"/>
        <w:numPr>
          <w:ilvl w:val="1"/>
          <w:numId w:val="3"/>
        </w:numPr>
      </w:pPr>
      <w:r>
        <w:t>The extent to which staff members rise in the hierarchy depends on their ability to perceive and conform to a series of behavioral norms.  In the text, these norms are described as:</w:t>
      </w:r>
    </w:p>
    <w:p w:rsidR="00B3583F" w:rsidRDefault="00B3583F" w:rsidP="00B3583F">
      <w:pPr>
        <w:pStyle w:val="ListParagraph"/>
        <w:numPr>
          <w:ilvl w:val="2"/>
          <w:numId w:val="3"/>
        </w:numPr>
      </w:pPr>
      <w:r>
        <w:t>Mercantilist norms of clientele service and protection</w:t>
      </w:r>
    </w:p>
    <w:p w:rsidR="00B3583F" w:rsidRDefault="00B3583F" w:rsidP="00B3583F">
      <w:pPr>
        <w:pStyle w:val="ListParagraph"/>
        <w:numPr>
          <w:ilvl w:val="2"/>
          <w:numId w:val="3"/>
        </w:numPr>
      </w:pPr>
      <w:r>
        <w:t>Mercy and benefit-of-the-doubt norms that dictate sympathy, help and lenient discipline for distressed client firms</w:t>
      </w:r>
      <w:r w:rsidR="007C63A5">
        <w:t xml:space="preserve"> and then top managers</w:t>
      </w:r>
      <w:r>
        <w:t>.</w:t>
      </w:r>
    </w:p>
    <w:p w:rsidR="00B3583F" w:rsidRDefault="00B3583F" w:rsidP="00B3583F">
      <w:pPr>
        <w:pStyle w:val="ListParagraph"/>
        <w:numPr>
          <w:ilvl w:val="2"/>
          <w:numId w:val="3"/>
        </w:numPr>
      </w:pPr>
      <w:r>
        <w:t>Loss-concealment norms that demand that regulators must not only hold adverse client information confidential, but misrepresent this information when this is thought to promote the common good.</w:t>
      </w:r>
    </w:p>
    <w:p w:rsidR="00B3583F" w:rsidRDefault="00B3583F" w:rsidP="00B3583F">
      <w:pPr>
        <w:pStyle w:val="ListParagraph"/>
        <w:numPr>
          <w:ilvl w:val="2"/>
          <w:numId w:val="3"/>
        </w:numPr>
      </w:pPr>
      <w:r>
        <w:t>Performance standards that honor executives for not rocking the boat and sometimes for “solving” immaterial problems of their own invention.</w:t>
      </w:r>
    </w:p>
    <w:p w:rsidR="00B3583F" w:rsidRDefault="00B3583F" w:rsidP="00B3583F">
      <w:pPr>
        <w:pStyle w:val="ListParagraph"/>
        <w:numPr>
          <w:ilvl w:val="2"/>
          <w:numId w:val="3"/>
        </w:numPr>
      </w:pPr>
      <w:r>
        <w:t>Blame-avoidance norms that urge staff members to protect the professional reputations of team leaders by not admitting mistakes even to themselves.</w:t>
      </w:r>
    </w:p>
    <w:p w:rsidR="00B3583F" w:rsidRDefault="00B3583F" w:rsidP="00B3583F">
      <w:pPr>
        <w:pStyle w:val="ListParagraph"/>
        <w:ind w:left="2160"/>
      </w:pPr>
    </w:p>
    <w:p w:rsidR="00B3583F" w:rsidRDefault="00B3583F" w:rsidP="00B3583F">
      <w:pPr>
        <w:pStyle w:val="ListParagraph"/>
        <w:numPr>
          <w:ilvl w:val="1"/>
          <w:numId w:val="3"/>
        </w:numPr>
      </w:pPr>
      <w:r>
        <w:t>Respected veteran employees who are uncomfortable with some or all of these norms may be allowed to try in subtle ways to reshape the conscience of the enterprise.</w:t>
      </w:r>
    </w:p>
    <w:p w:rsidR="00B3583F" w:rsidRDefault="00B3583F" w:rsidP="00B3583F"/>
    <w:p w:rsidR="007C63A5" w:rsidRPr="00B3583F" w:rsidRDefault="007C63A5" w:rsidP="00B3583F">
      <w:r>
        <w:t>Source: Adapted from Kane (2016).</w:t>
      </w:r>
    </w:p>
    <w:p w:rsidR="00542F4F" w:rsidRDefault="00542F4F">
      <w:pPr>
        <w:rPr>
          <w:b/>
        </w:rPr>
      </w:pPr>
      <w:r>
        <w:rPr>
          <w:b/>
        </w:rPr>
        <w:br w:type="page"/>
      </w:r>
    </w:p>
    <w:p w:rsidR="008E3178" w:rsidRDefault="008E3178" w:rsidP="008E3178">
      <w:pPr>
        <w:jc w:val="center"/>
        <w:rPr>
          <w:b/>
        </w:rPr>
      </w:pPr>
      <w:r>
        <w:rPr>
          <w:b/>
        </w:rPr>
        <w:lastRenderedPageBreak/>
        <w:t>FIGURE 4</w:t>
      </w:r>
    </w:p>
    <w:p w:rsidR="008E3178" w:rsidRPr="00E77324" w:rsidRDefault="008E3178" w:rsidP="008E3178">
      <w:pPr>
        <w:jc w:val="center"/>
        <w:rPr>
          <w:b/>
        </w:rPr>
      </w:pPr>
      <w:r w:rsidRPr="00E77324">
        <w:rPr>
          <w:b/>
        </w:rPr>
        <w:t>HERFINDAHL INDEX FOR THE BANKING SECTOR, 1974-201</w:t>
      </w:r>
      <w:r>
        <w:rPr>
          <w:b/>
        </w:rPr>
        <w:t>3</w:t>
      </w:r>
    </w:p>
    <w:p w:rsidR="008E3178" w:rsidRDefault="008E3178" w:rsidP="008E3178"/>
    <w:p w:rsidR="008E3178" w:rsidRPr="008E3178" w:rsidRDefault="008E3178" w:rsidP="008E3178">
      <w:pPr>
        <w:rPr>
          <w:szCs w:val="24"/>
        </w:rPr>
      </w:pPr>
      <w:r w:rsidRPr="008E3178">
        <w:rPr>
          <w:szCs w:val="24"/>
        </w:rPr>
        <w:t xml:space="preserve">This figure shows the </w:t>
      </w:r>
      <w:proofErr w:type="spellStart"/>
      <w:r w:rsidRPr="008E3178">
        <w:rPr>
          <w:szCs w:val="24"/>
        </w:rPr>
        <w:t>Herfindahl</w:t>
      </w:r>
      <w:proofErr w:type="spellEnd"/>
      <w:r w:rsidRPr="008E3178">
        <w:rPr>
          <w:szCs w:val="24"/>
        </w:rPr>
        <w:t xml:space="preserve"> index </w:t>
      </w:r>
      <w:r w:rsidR="00AE3EF5">
        <w:rPr>
          <w:szCs w:val="24"/>
        </w:rPr>
        <w:t>for</w:t>
      </w:r>
      <w:r w:rsidRPr="008E3178">
        <w:rPr>
          <w:szCs w:val="24"/>
        </w:rPr>
        <w:t xml:space="preserve"> the distribution of banking assets </w:t>
      </w:r>
      <w:r>
        <w:rPr>
          <w:szCs w:val="24"/>
        </w:rPr>
        <w:t>in the US</w:t>
      </w:r>
      <w:r w:rsidRPr="008E3178">
        <w:rPr>
          <w:szCs w:val="24"/>
        </w:rPr>
        <w:t xml:space="preserve"> banking sector during the period 1974-2013. The </w:t>
      </w:r>
      <w:proofErr w:type="spellStart"/>
      <w:r w:rsidRPr="008E3178">
        <w:rPr>
          <w:szCs w:val="24"/>
        </w:rPr>
        <w:t>Herfindahl</w:t>
      </w:r>
      <w:proofErr w:type="spellEnd"/>
      <w:r w:rsidRPr="008E3178">
        <w:rPr>
          <w:szCs w:val="24"/>
        </w:rPr>
        <w:t xml:space="preserve"> index is computed quarter by quarter across a sample of U.S. bank holding companies over the 1974-2013. Data on total bank assets for individual bank holding companies are </w:t>
      </w:r>
      <w:r>
        <w:rPr>
          <w:szCs w:val="24"/>
        </w:rPr>
        <w:t xml:space="preserve">taken </w:t>
      </w:r>
      <w:r w:rsidRPr="008E3178">
        <w:rPr>
          <w:szCs w:val="24"/>
        </w:rPr>
        <w:t xml:space="preserve">from the </w:t>
      </w:r>
      <w:proofErr w:type="spellStart"/>
      <w:r w:rsidRPr="008E3178">
        <w:rPr>
          <w:szCs w:val="24"/>
        </w:rPr>
        <w:t>Compustat</w:t>
      </w:r>
      <w:proofErr w:type="spellEnd"/>
      <w:r w:rsidRPr="008E3178">
        <w:rPr>
          <w:szCs w:val="24"/>
        </w:rPr>
        <w:t xml:space="preserve"> database for U.S. banks.</w:t>
      </w:r>
    </w:p>
    <w:p w:rsidR="008E3178" w:rsidRPr="00B008EA" w:rsidRDefault="008E3178" w:rsidP="008E3178"/>
    <w:p w:rsidR="008E3178" w:rsidRPr="00B008EA" w:rsidRDefault="008E3178" w:rsidP="008E3178">
      <w:r>
        <w:rPr>
          <w:noProof/>
        </w:rPr>
        <w:drawing>
          <wp:inline distT="0" distB="0" distL="0" distR="0">
            <wp:extent cx="5943600" cy="3839210"/>
            <wp:effectExtent l="0" t="0" r="0" b="889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E3178" w:rsidRDefault="008E3178" w:rsidP="008E3178"/>
    <w:p w:rsidR="008E3178" w:rsidRDefault="008E3178" w:rsidP="008E3178">
      <w:r>
        <w:t xml:space="preserve">Source: </w:t>
      </w:r>
      <w:proofErr w:type="spellStart"/>
      <w:r>
        <w:t>Hovakimian</w:t>
      </w:r>
      <w:proofErr w:type="spellEnd"/>
      <w:r>
        <w:t xml:space="preserve">, Kane, and </w:t>
      </w:r>
      <w:proofErr w:type="spellStart"/>
      <w:r>
        <w:t>Laeven</w:t>
      </w:r>
      <w:proofErr w:type="spellEnd"/>
      <w:r>
        <w:t>, 2015.</w:t>
      </w:r>
    </w:p>
    <w:p w:rsidR="008E3178" w:rsidRDefault="008E3178" w:rsidP="008E3178">
      <w:pPr>
        <w:ind w:left="-270"/>
      </w:pPr>
    </w:p>
    <w:p w:rsidR="008E3178" w:rsidRDefault="008E3178" w:rsidP="008E3178">
      <w:r>
        <w:br w:type="page"/>
      </w:r>
    </w:p>
    <w:p w:rsidR="001F6C98" w:rsidRPr="001F6C98" w:rsidRDefault="001F6C98" w:rsidP="001F6C98">
      <w:pPr>
        <w:spacing w:line="480" w:lineRule="auto"/>
        <w:jc w:val="center"/>
        <w:rPr>
          <w:b/>
        </w:rPr>
      </w:pPr>
      <w:r w:rsidRPr="001F6C98">
        <w:rPr>
          <w:b/>
        </w:rPr>
        <w:lastRenderedPageBreak/>
        <w:t>REFERENCES</w:t>
      </w:r>
    </w:p>
    <w:p w:rsidR="001F6C98" w:rsidRDefault="001F6C98" w:rsidP="001F6C98">
      <w:pPr>
        <w:spacing w:line="480" w:lineRule="auto"/>
        <w:jc w:val="center"/>
      </w:pPr>
    </w:p>
    <w:p w:rsidR="00722187" w:rsidRDefault="00722187" w:rsidP="00B3583F">
      <w:pPr>
        <w:spacing w:line="480" w:lineRule="auto"/>
        <w:ind w:left="720" w:hanging="720"/>
      </w:pPr>
      <w:r>
        <w:t>Abdel-</w:t>
      </w:r>
      <w:proofErr w:type="spellStart"/>
      <w:r>
        <w:t>khalik</w:t>
      </w:r>
      <w:proofErr w:type="spellEnd"/>
      <w:r>
        <w:t>, Ahmed-</w:t>
      </w:r>
      <w:proofErr w:type="spellStart"/>
      <w:r>
        <w:t>Rashad</w:t>
      </w:r>
      <w:proofErr w:type="spellEnd"/>
      <w:r>
        <w:t xml:space="preserve">, 2016.  “How Enron Used Accounting for Prepaid Swaps to Delay Bankruptcy for One Decade: The Untold Story.”  </w:t>
      </w:r>
      <w:hyperlink r:id="rId11" w:history="1">
        <w:r w:rsidRPr="00F11F36">
          <w:rPr>
            <w:rStyle w:val="Hyperlink"/>
          </w:rPr>
          <w:t>http://ssrn.com/abstract=2747119</w:t>
        </w:r>
      </w:hyperlink>
      <w:r>
        <w:t xml:space="preserve">. </w:t>
      </w:r>
    </w:p>
    <w:p w:rsidR="00467D8B" w:rsidRPr="00467D8B" w:rsidRDefault="00467D8B" w:rsidP="00B3583F">
      <w:pPr>
        <w:spacing w:line="480" w:lineRule="auto"/>
        <w:ind w:left="720" w:hanging="720"/>
      </w:pPr>
      <w:r w:rsidRPr="00D46482">
        <w:rPr>
          <w:lang w:val="it-IT"/>
        </w:rPr>
        <w:t xml:space="preserve">Alsina, Alberto, and Paola Giuliano, 2015.  </w:t>
      </w:r>
      <w:r w:rsidRPr="00467D8B">
        <w:t xml:space="preserve">“Culture and Institutions,” </w:t>
      </w:r>
      <w:r w:rsidRPr="00467D8B">
        <w:rPr>
          <w:i/>
        </w:rPr>
        <w:t>Journal of Economic Literature</w:t>
      </w:r>
      <w:r>
        <w:t>, 53 (December), 898-944.</w:t>
      </w:r>
    </w:p>
    <w:p w:rsidR="00E336EB" w:rsidRPr="00764174" w:rsidRDefault="00764174" w:rsidP="00B3583F">
      <w:pPr>
        <w:spacing w:line="480" w:lineRule="auto"/>
        <w:ind w:left="720" w:hanging="720"/>
      </w:pPr>
      <w:proofErr w:type="spellStart"/>
      <w:r>
        <w:t>Bavoso</w:t>
      </w:r>
      <w:proofErr w:type="spellEnd"/>
      <w:r>
        <w:t xml:space="preserve">, </w:t>
      </w:r>
      <w:proofErr w:type="spellStart"/>
      <w:r>
        <w:t>Vincenzo</w:t>
      </w:r>
      <w:proofErr w:type="spellEnd"/>
      <w:r>
        <w:t xml:space="preserve">, 2014.  “The Global Crisis, the Pervasive Resilience of Shareholder Value and the Unfulfilled Promises of Anglo-American Corporate Law,” </w:t>
      </w:r>
      <w:r>
        <w:rPr>
          <w:i/>
        </w:rPr>
        <w:t>International Company and Commercial Law Review</w:t>
      </w:r>
      <w:r>
        <w:t>, Issue 6, 213-220.</w:t>
      </w:r>
    </w:p>
    <w:p w:rsidR="00E336EB" w:rsidRPr="00E336EB" w:rsidRDefault="00E336EB" w:rsidP="00ED7089">
      <w:pPr>
        <w:spacing w:line="480" w:lineRule="auto"/>
        <w:ind w:left="720" w:hanging="720"/>
      </w:pPr>
      <w:r>
        <w:t xml:space="preserve">Bernanke, Ben S., 2015.  </w:t>
      </w:r>
      <w:r>
        <w:rPr>
          <w:i/>
        </w:rPr>
        <w:t>The Courage to Act: A Memoir of a Crisis and Its Aftermath</w:t>
      </w:r>
      <w:r>
        <w:t>, New York: W.W. Norton &amp; Co.</w:t>
      </w:r>
    </w:p>
    <w:p w:rsidR="009E5CEC" w:rsidRDefault="009E5CEC" w:rsidP="00ED7089">
      <w:pPr>
        <w:spacing w:line="480" w:lineRule="auto"/>
        <w:ind w:left="720" w:hanging="720"/>
      </w:pPr>
      <w:proofErr w:type="spellStart"/>
      <w:r>
        <w:t>Binham</w:t>
      </w:r>
      <w:proofErr w:type="spellEnd"/>
      <w:r>
        <w:t xml:space="preserve">, Caroline, 2015.  “Global Regulators Shift Focus to Risk and Conduct,” </w:t>
      </w:r>
      <w:r>
        <w:rPr>
          <w:i/>
        </w:rPr>
        <w:t xml:space="preserve">Financial </w:t>
      </w:r>
      <w:r w:rsidRPr="009E5CEC">
        <w:rPr>
          <w:i/>
        </w:rPr>
        <w:t>Times</w:t>
      </w:r>
      <w:r>
        <w:t xml:space="preserve"> (May 4).</w:t>
      </w:r>
    </w:p>
    <w:p w:rsidR="00F5673E" w:rsidRPr="00F5673E" w:rsidRDefault="00F5673E" w:rsidP="00ED7089">
      <w:pPr>
        <w:spacing w:line="480" w:lineRule="auto"/>
        <w:ind w:left="720" w:hanging="720"/>
      </w:pPr>
      <w:r>
        <w:t>Brown, Elizabeth, 2010.  “A Comparison of the Handling of the financial Crisis in the United State</w:t>
      </w:r>
      <w:r w:rsidR="00467D8B">
        <w:t>s</w:t>
      </w:r>
      <w:r>
        <w:t xml:space="preserve">, the United Kingdom, and Australia,” </w:t>
      </w:r>
      <w:r>
        <w:rPr>
          <w:i/>
        </w:rPr>
        <w:t>Villanova Law Review</w:t>
      </w:r>
      <w:r>
        <w:t>55, 509-575.</w:t>
      </w:r>
    </w:p>
    <w:p w:rsidR="00ED7089" w:rsidRDefault="001F6C98" w:rsidP="00ED7089">
      <w:pPr>
        <w:spacing w:line="480" w:lineRule="auto"/>
        <w:ind w:left="720" w:hanging="720"/>
      </w:pPr>
      <w:r w:rsidRPr="009E5CEC">
        <w:t>Dunning</w:t>
      </w:r>
      <w:r>
        <w:t xml:space="preserve">, David, Kerri Johnson, Joyce </w:t>
      </w:r>
      <w:proofErr w:type="spellStart"/>
      <w:r>
        <w:t>Ehrlinger</w:t>
      </w:r>
      <w:proofErr w:type="spellEnd"/>
      <w:r>
        <w:t xml:space="preserve">, and Justin Kruger, 2003.  “Why People Fail to Recognize Their Own Incompetence,” </w:t>
      </w:r>
      <w:r>
        <w:rPr>
          <w:i/>
        </w:rPr>
        <w:t>Current Directions in Psychological Science</w:t>
      </w:r>
      <w:r>
        <w:t xml:space="preserve"> 12 (3).  Association for </w:t>
      </w:r>
      <w:r w:rsidR="00ED7089">
        <w:t xml:space="preserve">Psychological Science, Sage Publications, Inc., 83-87.  </w:t>
      </w:r>
      <w:hyperlink r:id="rId12" w:history="1">
        <w:r w:rsidR="00ED7089" w:rsidRPr="00893AD7">
          <w:rPr>
            <w:rStyle w:val="Hyperlink"/>
          </w:rPr>
          <w:t>http://jstor.org.proxy.bc.edu/stable/20182845</w:t>
        </w:r>
      </w:hyperlink>
      <w:r w:rsidR="00ED7089">
        <w:t>.</w:t>
      </w:r>
    </w:p>
    <w:p w:rsidR="00467D8B" w:rsidRPr="0017363B" w:rsidRDefault="00934A72" w:rsidP="00ED7089">
      <w:pPr>
        <w:spacing w:line="480" w:lineRule="auto"/>
        <w:ind w:left="720" w:hanging="720"/>
      </w:pPr>
      <w:proofErr w:type="spellStart"/>
      <w:r>
        <w:t>Eaglesham</w:t>
      </w:r>
      <w:proofErr w:type="spellEnd"/>
      <w:r>
        <w:t xml:space="preserve">, Jean and </w:t>
      </w:r>
      <w:proofErr w:type="spellStart"/>
      <w:r>
        <w:t>Anupree</w:t>
      </w:r>
      <w:r w:rsidR="00467D8B">
        <w:t>ta</w:t>
      </w:r>
      <w:proofErr w:type="spellEnd"/>
      <w:r w:rsidR="00467D8B">
        <w:t xml:space="preserve"> Das, 2016.  “Wall Street Crime: 7 years</w:t>
      </w:r>
      <w:r w:rsidR="0017363B">
        <w:t xml:space="preserve"> 1</w:t>
      </w:r>
      <w:r>
        <w:t>56 Case</w:t>
      </w:r>
      <w:r w:rsidR="00467D8B">
        <w:t xml:space="preserve">s and Few </w:t>
      </w:r>
      <w:r w:rsidR="0017363B">
        <w:t xml:space="preserve">Convictions,” </w:t>
      </w:r>
      <w:r w:rsidR="0017363B">
        <w:rPr>
          <w:i/>
        </w:rPr>
        <w:t>Wall Street Journal</w:t>
      </w:r>
      <w:r w:rsidR="0017363B">
        <w:t xml:space="preserve"> (June 16), </w:t>
      </w:r>
      <w:hyperlink r:id="rId13" w:history="1">
        <w:r w:rsidR="0017363B" w:rsidRPr="00A006E2">
          <w:rPr>
            <w:rStyle w:val="Hyperlink"/>
          </w:rPr>
          <w:t>http://www.wsj.com/articles/wall-street-crime-7-years-156-cases-and-few-convictions-1464217378</w:t>
        </w:r>
      </w:hyperlink>
      <w:r w:rsidR="0017363B">
        <w:t xml:space="preserve">. </w:t>
      </w:r>
    </w:p>
    <w:p w:rsidR="00E336EB" w:rsidRDefault="00ED7089" w:rsidP="00ED7089">
      <w:pPr>
        <w:spacing w:line="480" w:lineRule="auto"/>
        <w:ind w:left="720" w:hanging="720"/>
      </w:pPr>
      <w:proofErr w:type="spellStart"/>
      <w:r>
        <w:lastRenderedPageBreak/>
        <w:t>Ehrli</w:t>
      </w:r>
      <w:r w:rsidR="00A449DA">
        <w:t>n</w:t>
      </w:r>
      <w:r>
        <w:t>ger</w:t>
      </w:r>
      <w:proofErr w:type="spellEnd"/>
      <w:r>
        <w:t xml:space="preserve">, Joyce, Kerri Johnson, Matthew Banner, David Dunning, and Justin Kruger, 2008.  “Why the Unskilled are Unaware: Further Explorations of (Absent) Self-Insight Among the Incompetent,” </w:t>
      </w:r>
      <w:r>
        <w:rPr>
          <w:i/>
        </w:rPr>
        <w:t>Organizational Behavior and Human Decision Processes</w:t>
      </w:r>
      <w:r w:rsidR="00A449DA">
        <w:t>, 105 (1),</w:t>
      </w:r>
      <w:r>
        <w:t xml:space="preserve"> 98-121.</w:t>
      </w:r>
    </w:p>
    <w:p w:rsidR="00467D8B" w:rsidRPr="007C63A5" w:rsidRDefault="007C63A5" w:rsidP="0017363B">
      <w:pPr>
        <w:spacing w:line="480" w:lineRule="auto"/>
        <w:ind w:left="720" w:hanging="720"/>
      </w:pPr>
      <w:proofErr w:type="spellStart"/>
      <w:r>
        <w:t>Eisinger</w:t>
      </w:r>
      <w:proofErr w:type="spellEnd"/>
      <w:r>
        <w:t xml:space="preserve">, Jesse, 2016.  “Why the S.E.C. Didn’t Hit Goldman Harder,” </w:t>
      </w:r>
      <w:r>
        <w:rPr>
          <w:i/>
        </w:rPr>
        <w:t>The New Yorker</w:t>
      </w:r>
      <w:r>
        <w:t xml:space="preserve">, 92, </w:t>
      </w:r>
      <w:r w:rsidR="003F479C">
        <w:t>no. 12 (May 2).</w:t>
      </w:r>
    </w:p>
    <w:p w:rsidR="00ED7089" w:rsidRPr="00E336EB" w:rsidRDefault="00E336EB" w:rsidP="00ED7089">
      <w:pPr>
        <w:spacing w:line="480" w:lineRule="auto"/>
        <w:ind w:left="720" w:hanging="720"/>
      </w:pPr>
      <w:r>
        <w:t xml:space="preserve">Ferrell, Robert H. (editor), 2010.  </w:t>
      </w:r>
      <w:r>
        <w:rPr>
          <w:i/>
        </w:rPr>
        <w:t>The Secret Diaries of Arthur Burns</w:t>
      </w:r>
      <w:r>
        <w:t>, Lawrence: University of Kansas Press.</w:t>
      </w:r>
    </w:p>
    <w:p w:rsidR="00ED7089" w:rsidRDefault="00ED7089" w:rsidP="00ED7089">
      <w:pPr>
        <w:spacing w:line="480" w:lineRule="auto"/>
        <w:ind w:left="720" w:hanging="720"/>
      </w:pPr>
      <w:r>
        <w:t>Fischer, Stanley, 2016.  “Reflections on Macroeconomics Then and Now,” Speech Delivered at the “Policy Chall</w:t>
      </w:r>
      <w:r w:rsidR="00A449DA">
        <w:t>enges in an Interconnected World</w:t>
      </w:r>
      <w:r>
        <w:t>” 32</w:t>
      </w:r>
      <w:r w:rsidRPr="00ED7089">
        <w:rPr>
          <w:vertAlign w:val="superscript"/>
        </w:rPr>
        <w:t>nd</w:t>
      </w:r>
      <w:r>
        <w:t xml:space="preserve"> Annual National Association for Business Economic Policy Conference, Washington, DC (March 7).</w:t>
      </w:r>
    </w:p>
    <w:p w:rsidR="001D1D65" w:rsidRDefault="00195ACC" w:rsidP="00ED7089">
      <w:pPr>
        <w:spacing w:line="480" w:lineRule="auto"/>
        <w:ind w:left="720" w:hanging="720"/>
      </w:pPr>
      <w:r>
        <w:t xml:space="preserve">Flood, Chris, 2016.  “Cracking Down on ‘Megalomaniacs and Bullies,’” </w:t>
      </w:r>
      <w:r>
        <w:rPr>
          <w:i/>
        </w:rPr>
        <w:t>Financial Times</w:t>
      </w:r>
      <w:r>
        <w:t xml:space="preserve"> (March 24).</w:t>
      </w:r>
    </w:p>
    <w:p w:rsidR="005D1212" w:rsidRDefault="005D1212" w:rsidP="00ED7089">
      <w:pPr>
        <w:spacing w:line="480" w:lineRule="auto"/>
        <w:ind w:left="720" w:hanging="720"/>
      </w:pPr>
      <w:proofErr w:type="spellStart"/>
      <w:r>
        <w:t>Goodhart</w:t>
      </w:r>
      <w:proofErr w:type="spellEnd"/>
      <w:r>
        <w:t xml:space="preserve">, Charles, and Miguel </w:t>
      </w:r>
      <w:proofErr w:type="spellStart"/>
      <w:r>
        <w:t>Segoviano</w:t>
      </w:r>
      <w:proofErr w:type="spellEnd"/>
      <w:r>
        <w:t>, 2015.  “Optimal Bank recovery,” Washington: IMF Working Paper WP/15/217 (September).</w:t>
      </w:r>
    </w:p>
    <w:p w:rsidR="0017363B" w:rsidRDefault="0017363B" w:rsidP="00ED7089">
      <w:pPr>
        <w:spacing w:line="480" w:lineRule="auto"/>
        <w:ind w:left="720" w:hanging="720"/>
      </w:pPr>
      <w:proofErr w:type="spellStart"/>
      <w:r>
        <w:t>Hagendorff</w:t>
      </w:r>
      <w:proofErr w:type="spellEnd"/>
      <w:r>
        <w:t xml:space="preserve">, Jens, Anthony Saunders, </w:t>
      </w:r>
      <w:proofErr w:type="spellStart"/>
      <w:r>
        <w:t>Sascha</w:t>
      </w:r>
      <w:proofErr w:type="spellEnd"/>
      <w:r>
        <w:t xml:space="preserve"> Steffen, and Francesco </w:t>
      </w:r>
      <w:proofErr w:type="spellStart"/>
      <w:r>
        <w:t>Vallascas</w:t>
      </w:r>
      <w:proofErr w:type="spellEnd"/>
      <w:r>
        <w:t xml:space="preserve">, 2016.  “The Wolves of Wall Street: Managerial Attributes and Bank Business Models,” </w:t>
      </w:r>
      <w:hyperlink r:id="rId14" w:history="1">
        <w:r w:rsidR="00934A72" w:rsidRPr="00655648">
          <w:rPr>
            <w:rStyle w:val="Hyperlink"/>
          </w:rPr>
          <w:t>http://ssrn.com/abstract=2670525</w:t>
        </w:r>
      </w:hyperlink>
      <w:r>
        <w:t>.</w:t>
      </w:r>
      <w:r w:rsidR="00934A72">
        <w:t xml:space="preserve"> </w:t>
      </w:r>
    </w:p>
    <w:p w:rsidR="00F5673E" w:rsidRPr="00F5673E" w:rsidRDefault="00F5673E" w:rsidP="00ED7089">
      <w:pPr>
        <w:spacing w:line="480" w:lineRule="auto"/>
        <w:ind w:left="720" w:hanging="720"/>
      </w:pPr>
      <w:r>
        <w:t xml:space="preserve">Halliday, Terence C., and Bruce G. Carruthers, 1996.  “The Moral Regulation of Markets: Privatization and the English Insolvency Act 1986,” </w:t>
      </w:r>
      <w:r>
        <w:rPr>
          <w:i/>
        </w:rPr>
        <w:t>Accounting, Organization, and Society</w:t>
      </w:r>
      <w:r>
        <w:t>, 371-413.</w:t>
      </w:r>
    </w:p>
    <w:p w:rsidR="00F745C8" w:rsidRDefault="00F745C8" w:rsidP="00ED7089">
      <w:pPr>
        <w:spacing w:line="480" w:lineRule="auto"/>
        <w:ind w:left="720" w:hanging="720"/>
      </w:pPr>
      <w:r>
        <w:t xml:space="preserve">Ho, Karen, 2009.  </w:t>
      </w:r>
      <w:r>
        <w:rPr>
          <w:i/>
        </w:rPr>
        <w:t>Liquidated: An Ethnography of Wall Street</w:t>
      </w:r>
      <w:r>
        <w:t>.  Durham: Duke University Press.</w:t>
      </w:r>
    </w:p>
    <w:p w:rsidR="003F479C" w:rsidRDefault="003F479C" w:rsidP="00ED7089">
      <w:pPr>
        <w:spacing w:line="480" w:lineRule="auto"/>
        <w:ind w:left="720" w:hanging="720"/>
      </w:pPr>
      <w:proofErr w:type="spellStart"/>
      <w:r>
        <w:lastRenderedPageBreak/>
        <w:t>Hovakimian</w:t>
      </w:r>
      <w:proofErr w:type="spellEnd"/>
      <w:r>
        <w:t xml:space="preserve">, </w:t>
      </w:r>
      <w:proofErr w:type="spellStart"/>
      <w:r>
        <w:t>Armen</w:t>
      </w:r>
      <w:proofErr w:type="spellEnd"/>
      <w:r>
        <w:t>, E</w:t>
      </w:r>
      <w:r w:rsidR="008E3178">
        <w:t xml:space="preserve">dward Kane, and Luc </w:t>
      </w:r>
      <w:proofErr w:type="spellStart"/>
      <w:r w:rsidR="008E3178">
        <w:t>Laeven</w:t>
      </w:r>
      <w:proofErr w:type="spellEnd"/>
      <w:r w:rsidR="008E3178">
        <w:t>, 2012</w:t>
      </w:r>
      <w:r>
        <w:t>.  “Tracking Variation in Systemic Risk</w:t>
      </w:r>
      <w:r w:rsidR="008E3178">
        <w:t xml:space="preserve"> at US Banks During 1974-2010,” </w:t>
      </w:r>
      <w:hyperlink r:id="rId15" w:history="1">
        <w:r w:rsidR="008E3178" w:rsidRPr="00006677">
          <w:rPr>
            <w:rStyle w:val="Hyperlink"/>
          </w:rPr>
          <w:t>http://ssrn.com/abstract=2050833</w:t>
        </w:r>
      </w:hyperlink>
      <w:r w:rsidR="008E3178">
        <w:t>.</w:t>
      </w:r>
      <w:r w:rsidR="008E3178">
        <w:tab/>
      </w:r>
    </w:p>
    <w:p w:rsidR="008E3178" w:rsidRDefault="008E3178" w:rsidP="00ED7089">
      <w:pPr>
        <w:spacing w:line="480" w:lineRule="auto"/>
        <w:ind w:left="720" w:hanging="720"/>
      </w:pPr>
      <w:r>
        <w:t xml:space="preserve">_____, 2015.  “Tracking Variation in Systemic Risk at US Banks During 1974-2013,” </w:t>
      </w:r>
      <w:hyperlink r:id="rId16" w:history="1">
        <w:r w:rsidRPr="00006677">
          <w:rPr>
            <w:rStyle w:val="Hyperlink"/>
          </w:rPr>
          <w:t>http://ssrn.com/abstract=2594923</w:t>
        </w:r>
      </w:hyperlink>
      <w:r>
        <w:t>.</w:t>
      </w:r>
    </w:p>
    <w:p w:rsidR="0017363B" w:rsidRPr="00F745C8" w:rsidRDefault="0017363B" w:rsidP="00ED7089">
      <w:pPr>
        <w:spacing w:line="480" w:lineRule="auto"/>
        <w:ind w:left="720" w:hanging="720"/>
      </w:pPr>
      <w:proofErr w:type="spellStart"/>
      <w:r>
        <w:t>Huertas</w:t>
      </w:r>
      <w:proofErr w:type="spellEnd"/>
      <w:r>
        <w:t>, Tho</w:t>
      </w:r>
      <w:r w:rsidR="000213A9">
        <w:t>m</w:t>
      </w:r>
      <w:r>
        <w:t>as, 2015.  “Six Structures in Search of Stability,” Special Paper 236, LSE Financial Markets Group Paper Series (July).</w:t>
      </w:r>
    </w:p>
    <w:p w:rsidR="00C637A5" w:rsidRPr="00C637A5" w:rsidRDefault="00C637A5" w:rsidP="00ED7089">
      <w:pPr>
        <w:spacing w:line="480" w:lineRule="auto"/>
        <w:ind w:left="720" w:hanging="720"/>
      </w:pPr>
      <w:r>
        <w:t xml:space="preserve">Kane, Edward J., 1988.  “Interaction of Financial and Regulatory Innovation,” </w:t>
      </w:r>
      <w:r>
        <w:rPr>
          <w:i/>
        </w:rPr>
        <w:t>American Economic Review</w:t>
      </w:r>
      <w:r>
        <w:t xml:space="preserve"> </w:t>
      </w:r>
      <w:r>
        <w:rPr>
          <w:i/>
        </w:rPr>
        <w:t>Papers and Proceedings</w:t>
      </w:r>
      <w:r>
        <w:t>, 78 (May), 328-334.</w:t>
      </w:r>
    </w:p>
    <w:p w:rsidR="008A3F39" w:rsidRDefault="00C637A5" w:rsidP="00ED7089">
      <w:pPr>
        <w:spacing w:line="480" w:lineRule="auto"/>
        <w:ind w:left="720" w:hanging="720"/>
      </w:pPr>
      <w:r>
        <w:t>_____</w:t>
      </w:r>
      <w:r w:rsidR="00ED7089">
        <w:t xml:space="preserve">, </w:t>
      </w:r>
      <w:r w:rsidR="008A3F39">
        <w:t xml:space="preserve">1989.  </w:t>
      </w:r>
      <w:r w:rsidR="008A3F39">
        <w:rPr>
          <w:i/>
        </w:rPr>
        <w:t>The S&amp;L Insurance Mess: How Did It Happen?</w:t>
      </w:r>
      <w:r w:rsidR="008A3F39">
        <w:t xml:space="preserve"> Washington, DC: Urban Institute Press.</w:t>
      </w:r>
    </w:p>
    <w:p w:rsidR="00EF09DB" w:rsidRPr="00EF09DB" w:rsidRDefault="00EF09DB" w:rsidP="00ED7089">
      <w:pPr>
        <w:spacing w:line="480" w:lineRule="auto"/>
        <w:ind w:left="720" w:hanging="720"/>
      </w:pPr>
      <w:r>
        <w:t xml:space="preserve">_____, 2000.  “Incentives for Banking Megamergers: What Motives Might Regulators Infer from Event-Study Evidence?,” </w:t>
      </w:r>
      <w:r>
        <w:rPr>
          <w:i/>
        </w:rPr>
        <w:t>Journal of Money, Credit, and Banking</w:t>
      </w:r>
      <w:r>
        <w:t>, Vol.</w:t>
      </w:r>
      <w:r w:rsidR="00CC563F">
        <w:t xml:space="preserve"> 32, No. 3 (August, Part 2),</w:t>
      </w:r>
      <w:r>
        <w:t xml:space="preserve"> 671-701.</w:t>
      </w:r>
    </w:p>
    <w:p w:rsidR="008A3F39" w:rsidRDefault="008A3F39" w:rsidP="00ED7089">
      <w:pPr>
        <w:spacing w:line="480" w:lineRule="auto"/>
        <w:ind w:left="720" w:hanging="720"/>
      </w:pPr>
      <w:r>
        <w:t xml:space="preserve">_____, </w:t>
      </w:r>
      <w:r w:rsidR="00ED7089">
        <w:t xml:space="preserve">2016.  “A Theory of How and Why Central-Bank Culture Supports Predatory Risk-Taking at Megabanks,” </w:t>
      </w:r>
      <w:r w:rsidR="00ED7089">
        <w:rPr>
          <w:i/>
        </w:rPr>
        <w:t>Atlantic Economic Journal</w:t>
      </w:r>
      <w:r w:rsidR="00A449DA">
        <w:t>, 44 (March),</w:t>
      </w:r>
      <w:r w:rsidR="00764174">
        <w:t xml:space="preserve"> 51-71</w:t>
      </w:r>
      <w:r w:rsidR="00ED7089">
        <w:t>.</w:t>
      </w:r>
    </w:p>
    <w:p w:rsidR="00F745C8" w:rsidRPr="00F745C8" w:rsidRDefault="00F745C8" w:rsidP="00ED7089">
      <w:pPr>
        <w:spacing w:line="480" w:lineRule="auto"/>
        <w:ind w:left="720" w:hanging="720"/>
      </w:pPr>
      <w:r>
        <w:t xml:space="preserve">_____ and Daniela </w:t>
      </w:r>
      <w:proofErr w:type="spellStart"/>
      <w:r>
        <w:t>Klingebiel</w:t>
      </w:r>
      <w:proofErr w:type="spellEnd"/>
      <w:r>
        <w:t xml:space="preserve">, 2004.  “Alternatives to Blanket Guarantees for Containing a Systemic Crisis,” </w:t>
      </w:r>
      <w:r>
        <w:rPr>
          <w:i/>
        </w:rPr>
        <w:t>Journal of Financial Stability</w:t>
      </w:r>
      <w:r>
        <w:t>, (Sept.), 31-63.</w:t>
      </w:r>
    </w:p>
    <w:p w:rsidR="00ED7089" w:rsidRDefault="008A3F39" w:rsidP="00ED7089">
      <w:pPr>
        <w:spacing w:line="480" w:lineRule="auto"/>
        <w:ind w:left="720" w:hanging="720"/>
      </w:pPr>
      <w:r>
        <w:t xml:space="preserve">Kant, Immanuel, 1993, 1785.  </w:t>
      </w:r>
      <w:r>
        <w:rPr>
          <w:i/>
        </w:rPr>
        <w:t>Grounding for the Metaphysics of Morals</w:t>
      </w:r>
      <w:r>
        <w:t>.  Translated by Ellington, James W. (3</w:t>
      </w:r>
      <w:r w:rsidRPr="008A3F39">
        <w:rPr>
          <w:vertAlign w:val="superscript"/>
        </w:rPr>
        <w:t>rd</w:t>
      </w:r>
      <w:r>
        <w:t xml:space="preserve"> ed.).  ISBN 0-87220-166-X.</w:t>
      </w:r>
    </w:p>
    <w:p w:rsidR="00EF09DB" w:rsidRDefault="00EF09DB" w:rsidP="00ED7089">
      <w:pPr>
        <w:spacing w:line="480" w:lineRule="auto"/>
        <w:ind w:left="720" w:hanging="720"/>
      </w:pPr>
      <w:proofErr w:type="spellStart"/>
      <w:r>
        <w:t>Laeven</w:t>
      </w:r>
      <w:proofErr w:type="spellEnd"/>
      <w:r>
        <w:t>, Luc, and Fabian Valencia, 2012.  “Systemic Banking Crises Database: An Update,” Washington, DC: IMF Working Paper WP/12/163 (June).</w:t>
      </w:r>
    </w:p>
    <w:p w:rsidR="008E3178" w:rsidRPr="008E3178" w:rsidRDefault="008E3178" w:rsidP="00ED7089">
      <w:pPr>
        <w:spacing w:line="480" w:lineRule="auto"/>
        <w:ind w:left="720" w:hanging="720"/>
      </w:pPr>
      <w:r>
        <w:t xml:space="preserve">Merton, Robert C., 1977.  “An Analytic Derivation of the Cost of Deposit Insurance and Loan Guarantees,” </w:t>
      </w:r>
      <w:r>
        <w:rPr>
          <w:i/>
        </w:rPr>
        <w:t>Journal of Banking and Finance</w:t>
      </w:r>
      <w:r>
        <w:t>, 1, 3-11.</w:t>
      </w:r>
    </w:p>
    <w:p w:rsidR="0011403D" w:rsidRPr="008A3F39" w:rsidRDefault="00764174" w:rsidP="00ED7089">
      <w:pPr>
        <w:spacing w:line="480" w:lineRule="auto"/>
        <w:ind w:left="720" w:hanging="720"/>
      </w:pPr>
      <w:proofErr w:type="spellStart"/>
      <w:r>
        <w:lastRenderedPageBreak/>
        <w:t>Pa</w:t>
      </w:r>
      <w:r w:rsidR="0011403D">
        <w:t>rtnoy</w:t>
      </w:r>
      <w:proofErr w:type="spellEnd"/>
      <w:r w:rsidR="0011403D">
        <w:t>, Frank, 2007.  “Financial Innovation and Corporate Law,” http://ssrn.com/abstract=976931.</w:t>
      </w:r>
    </w:p>
    <w:p w:rsidR="000A71FA" w:rsidRDefault="000A71FA" w:rsidP="00ED7089">
      <w:pPr>
        <w:spacing w:line="480" w:lineRule="auto"/>
        <w:ind w:left="720" w:hanging="720"/>
      </w:pPr>
      <w:r>
        <w:t xml:space="preserve">Schein, Edgar H., 2010.  </w:t>
      </w:r>
      <w:r>
        <w:rPr>
          <w:i/>
        </w:rPr>
        <w:t>Organizational Culture and Leadership</w:t>
      </w:r>
      <w:r>
        <w:t xml:space="preserve"> (4</w:t>
      </w:r>
      <w:r w:rsidRPr="000A71FA">
        <w:rPr>
          <w:vertAlign w:val="superscript"/>
        </w:rPr>
        <w:t>th</w:t>
      </w:r>
      <w:r w:rsidR="00241DC7">
        <w:t xml:space="preserve"> Edition).  San Francisco:</w:t>
      </w:r>
      <w:r>
        <w:t xml:space="preserve"> </w:t>
      </w:r>
      <w:proofErr w:type="spellStart"/>
      <w:r>
        <w:t>Jossey</w:t>
      </w:r>
      <w:proofErr w:type="spellEnd"/>
      <w:r>
        <w:t>-Bass (a Wiley Imprint).</w:t>
      </w:r>
    </w:p>
    <w:p w:rsidR="00D22211" w:rsidRPr="00D22211" w:rsidRDefault="00D22211" w:rsidP="00ED7089">
      <w:pPr>
        <w:spacing w:line="480" w:lineRule="auto"/>
        <w:ind w:left="720" w:hanging="720"/>
      </w:pPr>
      <w:r>
        <w:t xml:space="preserve">Stout, Lynn, 2012.  </w:t>
      </w:r>
      <w:r>
        <w:rPr>
          <w:i/>
        </w:rPr>
        <w:t>The Shareholder Value Myth: How Putting Shareholders First Harms Investors, Corporations, and the Public.</w:t>
      </w:r>
      <w:r>
        <w:t xml:space="preserve">  San Francisco: </w:t>
      </w:r>
      <w:proofErr w:type="spellStart"/>
      <w:r>
        <w:t>Berrett-Kochler</w:t>
      </w:r>
      <w:proofErr w:type="spellEnd"/>
      <w:r>
        <w:t xml:space="preserve"> Publishers (paperback edition).</w:t>
      </w:r>
    </w:p>
    <w:p w:rsidR="00C15768" w:rsidRPr="00C15768" w:rsidRDefault="00C15768" w:rsidP="00ED7089">
      <w:pPr>
        <w:spacing w:line="480" w:lineRule="auto"/>
        <w:ind w:left="720" w:hanging="720"/>
      </w:pPr>
      <w:proofErr w:type="spellStart"/>
      <w:r>
        <w:t>Vanderheiden</w:t>
      </w:r>
      <w:proofErr w:type="spellEnd"/>
      <w:r>
        <w:t xml:space="preserve">, Steve, 2016.  “The Obligation to Know: Information and the Burdens of Citizenship,” </w:t>
      </w:r>
      <w:r>
        <w:rPr>
          <w:i/>
        </w:rPr>
        <w:t>Ethical Theory and Moral Practice</w:t>
      </w:r>
      <w:r>
        <w:t>, 19 (2), 297-311.</w:t>
      </w:r>
    </w:p>
    <w:p w:rsidR="009E5CEC" w:rsidRPr="009E5CEC" w:rsidRDefault="009E5CEC" w:rsidP="00ED7089">
      <w:pPr>
        <w:spacing w:line="480" w:lineRule="auto"/>
        <w:ind w:left="720" w:hanging="720"/>
        <w:rPr>
          <w:u w:val="single"/>
        </w:rPr>
      </w:pPr>
      <w:r>
        <w:t xml:space="preserve">Waxman, Andrew, 2016.  “Three Reforms Even the Loudest Banking Critics Should Applaud,” </w:t>
      </w:r>
      <w:r>
        <w:rPr>
          <w:i/>
        </w:rPr>
        <w:t>American Banker</w:t>
      </w:r>
      <w:r>
        <w:t>, Bank Think (Jan. 22).</w:t>
      </w:r>
    </w:p>
    <w:sectPr w:rsidR="009E5CEC" w:rsidRPr="009E5CEC" w:rsidSect="0022449D">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FA1" w:rsidRDefault="00F45FA1" w:rsidP="00ED7089">
      <w:r>
        <w:separator/>
      </w:r>
    </w:p>
  </w:endnote>
  <w:endnote w:type="continuationSeparator" w:id="0">
    <w:p w:rsidR="00F45FA1" w:rsidRDefault="00F45FA1" w:rsidP="00ED70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2891812"/>
      <w:docPartObj>
        <w:docPartGallery w:val="Page Numbers (Bottom of Page)"/>
        <w:docPartUnique/>
      </w:docPartObj>
    </w:sdtPr>
    <w:sdtEndPr>
      <w:rPr>
        <w:noProof/>
      </w:rPr>
    </w:sdtEndPr>
    <w:sdtContent>
      <w:p w:rsidR="00E336EB" w:rsidRDefault="000F254C">
        <w:pPr>
          <w:pStyle w:val="Footer"/>
          <w:jc w:val="right"/>
        </w:pPr>
        <w:r>
          <w:fldChar w:fldCharType="begin"/>
        </w:r>
        <w:r w:rsidR="00F745C8">
          <w:instrText xml:space="preserve"> PAGE   \* MERGEFORMAT </w:instrText>
        </w:r>
        <w:r>
          <w:fldChar w:fldCharType="separate"/>
        </w:r>
        <w:r w:rsidR="006527F0">
          <w:rPr>
            <w:noProof/>
          </w:rPr>
          <w:t>3</w:t>
        </w:r>
        <w:r>
          <w:rPr>
            <w:noProof/>
          </w:rPr>
          <w:fldChar w:fldCharType="end"/>
        </w:r>
      </w:p>
    </w:sdtContent>
  </w:sdt>
  <w:p w:rsidR="00E336EB" w:rsidRDefault="00E336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FA1" w:rsidRDefault="00F45FA1" w:rsidP="00ED7089">
      <w:r>
        <w:separator/>
      </w:r>
    </w:p>
  </w:footnote>
  <w:footnote w:type="continuationSeparator" w:id="0">
    <w:p w:rsidR="00F45FA1" w:rsidRDefault="00F45FA1" w:rsidP="00ED7089">
      <w:r>
        <w:continuationSeparator/>
      </w:r>
    </w:p>
  </w:footnote>
  <w:footnote w:id="1">
    <w:p w:rsidR="0011403D" w:rsidRDefault="0011403D">
      <w:pPr>
        <w:pStyle w:val="FootnoteText"/>
      </w:pPr>
      <w:r>
        <w:rPr>
          <w:rStyle w:val="FootnoteReference"/>
        </w:rPr>
        <w:footnoteRef/>
      </w:r>
      <w:r>
        <w:t xml:space="preserve"> The author wishes to acknowledge financial support from the Institute for New Economic Thinking and to thank Robert </w:t>
      </w:r>
      <w:proofErr w:type="spellStart"/>
      <w:r>
        <w:t>Dickler</w:t>
      </w:r>
      <w:proofErr w:type="spellEnd"/>
      <w:r>
        <w:t xml:space="preserve"> (</w:t>
      </w:r>
      <w:r w:rsidR="00B55A30">
        <w:t>especially</w:t>
      </w:r>
      <w:r w:rsidR="00AF0F7B">
        <w:t xml:space="preserve">), </w:t>
      </w:r>
      <w:proofErr w:type="spellStart"/>
      <w:r w:rsidR="00AF0F7B">
        <w:t>Vincenzo</w:t>
      </w:r>
      <w:proofErr w:type="spellEnd"/>
      <w:r w:rsidR="00AF0F7B">
        <w:t xml:space="preserve"> </w:t>
      </w:r>
      <w:proofErr w:type="spellStart"/>
      <w:r w:rsidR="00AF0F7B">
        <w:t>Bav</w:t>
      </w:r>
      <w:r>
        <w:t>oso</w:t>
      </w:r>
      <w:proofErr w:type="spellEnd"/>
      <w:r>
        <w:t xml:space="preserve">, </w:t>
      </w:r>
      <w:r w:rsidR="00D30E22">
        <w:t xml:space="preserve">Mark Carey, </w:t>
      </w:r>
      <w:r>
        <w:t xml:space="preserve">James Cullen, Thomas Ferguson, </w:t>
      </w:r>
      <w:r w:rsidR="00D30E22">
        <w:t xml:space="preserve">Gillian Garcia, </w:t>
      </w:r>
      <w:r>
        <w:t xml:space="preserve">Robert Johnson, </w:t>
      </w:r>
      <w:r w:rsidR="00A00AD6">
        <w:t xml:space="preserve">Alistair Milne, </w:t>
      </w:r>
      <w:r w:rsidR="00D30E22">
        <w:t xml:space="preserve">Frank </w:t>
      </w:r>
      <w:proofErr w:type="spellStart"/>
      <w:r w:rsidR="00D30E22">
        <w:t>Partnoy</w:t>
      </w:r>
      <w:proofErr w:type="spellEnd"/>
      <w:r w:rsidR="00D30E22">
        <w:t xml:space="preserve">, </w:t>
      </w:r>
      <w:r>
        <w:t>Ste</w:t>
      </w:r>
      <w:r w:rsidR="00934A72">
        <w:t xml:space="preserve">ven </w:t>
      </w:r>
      <w:proofErr w:type="spellStart"/>
      <w:r w:rsidR="00934A72">
        <w:t>Schwarcz</w:t>
      </w:r>
      <w:proofErr w:type="spellEnd"/>
      <w:r w:rsidR="00934A72">
        <w:t xml:space="preserve">, David </w:t>
      </w:r>
      <w:proofErr w:type="spellStart"/>
      <w:r w:rsidR="00934A72">
        <w:t>Skeel</w:t>
      </w:r>
      <w:proofErr w:type="spellEnd"/>
      <w:r w:rsidR="00934A72">
        <w:t>,</w:t>
      </w:r>
      <w:r w:rsidR="004407BE">
        <w:t xml:space="preserve"> W</w:t>
      </w:r>
      <w:r>
        <w:t>alker Todd</w:t>
      </w:r>
      <w:r w:rsidR="00DE46E4">
        <w:t xml:space="preserve">, </w:t>
      </w:r>
      <w:proofErr w:type="spellStart"/>
      <w:r w:rsidR="00DE46E4">
        <w:t>Haluk</w:t>
      </w:r>
      <w:proofErr w:type="spellEnd"/>
      <w:r w:rsidR="00DE46E4">
        <w:t xml:space="preserve"> </w:t>
      </w:r>
      <w:proofErr w:type="spellStart"/>
      <w:r w:rsidR="00DE46E4">
        <w:t>Unal</w:t>
      </w:r>
      <w:proofErr w:type="spellEnd"/>
      <w:r w:rsidR="00A161B5">
        <w:t>,</w:t>
      </w:r>
      <w:r w:rsidR="002B45F4">
        <w:t xml:space="preserve"> and an anonymous referee</w:t>
      </w:r>
      <w:r>
        <w:t xml:space="preserve"> for helpful comments on this line of research.</w:t>
      </w:r>
    </w:p>
  </w:footnote>
  <w:footnote w:id="2">
    <w:p w:rsidR="009332E2" w:rsidRDefault="009332E2" w:rsidP="009332E2">
      <w:pPr>
        <w:pStyle w:val="FootnoteText"/>
      </w:pPr>
      <w:r>
        <w:rPr>
          <w:rStyle w:val="FootnoteReference"/>
        </w:rPr>
        <w:footnoteRef/>
      </w:r>
      <w:r>
        <w:t xml:space="preserve"> Members of the boards of Dutch banks took the oath in 2013.  In 2014, 90,000 Dutch bankers were required to take an oath: “I swear within the boundaries of the position that I hold in the banking sector:</w:t>
      </w:r>
    </w:p>
    <w:p w:rsidR="009332E2" w:rsidRDefault="009332E2" w:rsidP="009332E2">
      <w:pPr>
        <w:pStyle w:val="FootnoteText"/>
        <w:numPr>
          <w:ilvl w:val="0"/>
          <w:numId w:val="5"/>
        </w:numPr>
      </w:pPr>
      <w:r>
        <w:t>that I will perform my duties with integrity and care;</w:t>
      </w:r>
    </w:p>
    <w:p w:rsidR="009332E2" w:rsidRDefault="009332E2" w:rsidP="009332E2">
      <w:pPr>
        <w:pStyle w:val="FootnoteText"/>
        <w:numPr>
          <w:ilvl w:val="0"/>
          <w:numId w:val="5"/>
        </w:numPr>
      </w:pPr>
      <w:r>
        <w:t>that I will carefully balance all the interests involved in the enterprise, namely those of customers, shareholders, employees, and the society in which the bank operates;</w:t>
      </w:r>
    </w:p>
    <w:p w:rsidR="009332E2" w:rsidRDefault="009332E2" w:rsidP="009332E2">
      <w:pPr>
        <w:pStyle w:val="FootnoteText"/>
        <w:numPr>
          <w:ilvl w:val="0"/>
          <w:numId w:val="5"/>
        </w:numPr>
      </w:pPr>
      <w:r>
        <w:t>that in this balancing, I will put the interests of the customer first;</w:t>
      </w:r>
    </w:p>
    <w:p w:rsidR="009332E2" w:rsidRDefault="009332E2" w:rsidP="009332E2">
      <w:pPr>
        <w:pStyle w:val="FootnoteText"/>
        <w:numPr>
          <w:ilvl w:val="0"/>
          <w:numId w:val="5"/>
        </w:numPr>
      </w:pPr>
      <w:r>
        <w:t>that I will behave in accordance with the laws, regulations, and codes of conduct that apply to me;</w:t>
      </w:r>
    </w:p>
    <w:p w:rsidR="009332E2" w:rsidRDefault="009332E2" w:rsidP="009332E2">
      <w:pPr>
        <w:pStyle w:val="FootnoteText"/>
        <w:numPr>
          <w:ilvl w:val="0"/>
          <w:numId w:val="5"/>
        </w:numPr>
      </w:pPr>
      <w:r>
        <w:t>that I will keep the secrets entrusted to me;</w:t>
      </w:r>
    </w:p>
    <w:p w:rsidR="009332E2" w:rsidRDefault="009332E2" w:rsidP="009332E2">
      <w:pPr>
        <w:pStyle w:val="FootnoteText"/>
        <w:numPr>
          <w:ilvl w:val="0"/>
          <w:numId w:val="5"/>
        </w:numPr>
      </w:pPr>
      <w:r>
        <w:t>that I will make no misuse of my banking knowledge;</w:t>
      </w:r>
    </w:p>
    <w:p w:rsidR="009332E2" w:rsidRDefault="009332E2" w:rsidP="009332E2">
      <w:pPr>
        <w:pStyle w:val="FootnoteText"/>
        <w:numPr>
          <w:ilvl w:val="0"/>
          <w:numId w:val="5"/>
        </w:numPr>
      </w:pPr>
      <w:r>
        <w:t>that I will be open and transparent, and am aware of my responsibility to society;</w:t>
      </w:r>
    </w:p>
    <w:p w:rsidR="009332E2" w:rsidRDefault="009332E2" w:rsidP="009332E2">
      <w:pPr>
        <w:pStyle w:val="FootnoteText"/>
        <w:numPr>
          <w:ilvl w:val="0"/>
          <w:numId w:val="5"/>
        </w:numPr>
      </w:pPr>
      <w:r>
        <w:t>that I will endeavor to maintain and promote confidence in the banking system.</w:t>
      </w:r>
    </w:p>
    <w:p w:rsidR="009332E2" w:rsidRDefault="009332E2" w:rsidP="009332E2">
      <w:pPr>
        <w:pStyle w:val="FootnoteText"/>
      </w:pPr>
      <w:r>
        <w:t>So truly help me God.”</w:t>
      </w:r>
    </w:p>
  </w:footnote>
  <w:footnote w:id="3">
    <w:p w:rsidR="00C15242" w:rsidRDefault="00C15242">
      <w:pPr>
        <w:pStyle w:val="FootnoteText"/>
      </w:pPr>
      <w:r>
        <w:rPr>
          <w:rStyle w:val="FootnoteReference"/>
        </w:rPr>
        <w:footnoteRef/>
      </w:r>
      <w:r>
        <w:t xml:space="preserve"> In places, this section draws specifically on Kane (2016).</w:t>
      </w:r>
    </w:p>
  </w:footnote>
  <w:footnote w:id="4">
    <w:p w:rsidR="004407BE" w:rsidRDefault="004407BE">
      <w:pPr>
        <w:pStyle w:val="FootnoteText"/>
      </w:pPr>
      <w:r>
        <w:rPr>
          <w:rStyle w:val="FootnoteReference"/>
        </w:rPr>
        <w:footnoteRef/>
      </w:r>
      <w:r>
        <w:t xml:space="preserve"> </w:t>
      </w:r>
      <w:proofErr w:type="spellStart"/>
      <w:r w:rsidR="00764174">
        <w:t>Pa</w:t>
      </w:r>
      <w:r>
        <w:t>rtnoy</w:t>
      </w:r>
      <w:proofErr w:type="spellEnd"/>
      <w:r>
        <w:t xml:space="preserve"> </w:t>
      </w:r>
      <w:r w:rsidR="00DE46E4">
        <w:t>(2007).  He goes on to describe</w:t>
      </w:r>
      <w:r>
        <w:t xml:space="preserve"> the </w:t>
      </w:r>
      <w:r w:rsidR="00EF09DB">
        <w:t xml:space="preserve">traditional </w:t>
      </w:r>
      <w:r>
        <w:t xml:space="preserve">rationale for </w:t>
      </w:r>
      <w:r w:rsidR="00DE46E4">
        <w:t>stockholder primacy</w:t>
      </w:r>
      <w:r>
        <w:t xml:space="preserve"> in the following way: “it is the shareholders who have the claim on the residual value of the enterprise, that is, what’s left after all defi</w:t>
      </w:r>
      <w:r w:rsidR="00DE46E4">
        <w:t>nite obligations are satisfied.</w:t>
      </w:r>
      <w:r>
        <w:t xml:space="preserve">  Accordingly, the argument goes, managers have an affirmative open-ended duty to increase this residual value, rather than the wealth of some other group.  Managers should maximize share value subject to the constraint that the corporation must meet all its legal obligations to others who are related to or affected by it.</w:t>
      </w:r>
      <w:r w:rsidR="00DE46E4">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86C79"/>
    <w:multiLevelType w:val="hybridMultilevel"/>
    <w:tmpl w:val="815C1E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84EA6D82">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CD54710"/>
    <w:multiLevelType w:val="hybridMultilevel"/>
    <w:tmpl w:val="86A26DF6"/>
    <w:lvl w:ilvl="0" w:tplc="8A9E6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7B074F"/>
    <w:multiLevelType w:val="hybridMultilevel"/>
    <w:tmpl w:val="00E464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4B71591"/>
    <w:multiLevelType w:val="hybridMultilevel"/>
    <w:tmpl w:val="29144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D1669"/>
    <w:rsid w:val="00002918"/>
    <w:rsid w:val="00003C0B"/>
    <w:rsid w:val="000213A9"/>
    <w:rsid w:val="00037452"/>
    <w:rsid w:val="000A38C9"/>
    <w:rsid w:val="000A71FA"/>
    <w:rsid w:val="000C1124"/>
    <w:rsid w:val="000F1BC3"/>
    <w:rsid w:val="000F254C"/>
    <w:rsid w:val="00113601"/>
    <w:rsid w:val="0011403D"/>
    <w:rsid w:val="00144BAA"/>
    <w:rsid w:val="001472DF"/>
    <w:rsid w:val="001533F8"/>
    <w:rsid w:val="00155576"/>
    <w:rsid w:val="00157EC9"/>
    <w:rsid w:val="0017363B"/>
    <w:rsid w:val="00195ACC"/>
    <w:rsid w:val="001B36FC"/>
    <w:rsid w:val="001D1D65"/>
    <w:rsid w:val="001D6848"/>
    <w:rsid w:val="001E0ADB"/>
    <w:rsid w:val="001F379E"/>
    <w:rsid w:val="001F6C98"/>
    <w:rsid w:val="00215B05"/>
    <w:rsid w:val="0022449D"/>
    <w:rsid w:val="00241DC7"/>
    <w:rsid w:val="0026368D"/>
    <w:rsid w:val="002652D8"/>
    <w:rsid w:val="002B0476"/>
    <w:rsid w:val="002B45F4"/>
    <w:rsid w:val="002C27EC"/>
    <w:rsid w:val="002E6C6E"/>
    <w:rsid w:val="003379BC"/>
    <w:rsid w:val="0034067C"/>
    <w:rsid w:val="003C799E"/>
    <w:rsid w:val="003F37B3"/>
    <w:rsid w:val="003F479C"/>
    <w:rsid w:val="004335DC"/>
    <w:rsid w:val="00433789"/>
    <w:rsid w:val="00434C9A"/>
    <w:rsid w:val="004407BE"/>
    <w:rsid w:val="00467D8B"/>
    <w:rsid w:val="00506128"/>
    <w:rsid w:val="00516E92"/>
    <w:rsid w:val="00521354"/>
    <w:rsid w:val="0053774D"/>
    <w:rsid w:val="00542F4F"/>
    <w:rsid w:val="0056267E"/>
    <w:rsid w:val="005862C5"/>
    <w:rsid w:val="0058772F"/>
    <w:rsid w:val="00587883"/>
    <w:rsid w:val="005A611E"/>
    <w:rsid w:val="005D1212"/>
    <w:rsid w:val="005D2EDD"/>
    <w:rsid w:val="00610D8B"/>
    <w:rsid w:val="006420ED"/>
    <w:rsid w:val="0064285B"/>
    <w:rsid w:val="00650E14"/>
    <w:rsid w:val="006527F0"/>
    <w:rsid w:val="006564B8"/>
    <w:rsid w:val="00660EE3"/>
    <w:rsid w:val="006F7AA5"/>
    <w:rsid w:val="007016BA"/>
    <w:rsid w:val="00722187"/>
    <w:rsid w:val="00746BAF"/>
    <w:rsid w:val="00764174"/>
    <w:rsid w:val="007809A7"/>
    <w:rsid w:val="00781D9B"/>
    <w:rsid w:val="007C63A5"/>
    <w:rsid w:val="007D0F6A"/>
    <w:rsid w:val="00811CB6"/>
    <w:rsid w:val="008665BD"/>
    <w:rsid w:val="008A3F39"/>
    <w:rsid w:val="008B3D99"/>
    <w:rsid w:val="008D1669"/>
    <w:rsid w:val="008E3178"/>
    <w:rsid w:val="008F1391"/>
    <w:rsid w:val="009332E2"/>
    <w:rsid w:val="00934A72"/>
    <w:rsid w:val="00936964"/>
    <w:rsid w:val="00960BF8"/>
    <w:rsid w:val="00984942"/>
    <w:rsid w:val="00992B88"/>
    <w:rsid w:val="009C189B"/>
    <w:rsid w:val="009E278F"/>
    <w:rsid w:val="009E5CEC"/>
    <w:rsid w:val="00A00AD6"/>
    <w:rsid w:val="00A021FA"/>
    <w:rsid w:val="00A161B5"/>
    <w:rsid w:val="00A359E5"/>
    <w:rsid w:val="00A449DA"/>
    <w:rsid w:val="00A941F0"/>
    <w:rsid w:val="00AB58E7"/>
    <w:rsid w:val="00AE3EF5"/>
    <w:rsid w:val="00AF0F7B"/>
    <w:rsid w:val="00B04248"/>
    <w:rsid w:val="00B068C4"/>
    <w:rsid w:val="00B07482"/>
    <w:rsid w:val="00B33779"/>
    <w:rsid w:val="00B34B7A"/>
    <w:rsid w:val="00B3583F"/>
    <w:rsid w:val="00B55A30"/>
    <w:rsid w:val="00BA5C57"/>
    <w:rsid w:val="00BA5D75"/>
    <w:rsid w:val="00BE7C9B"/>
    <w:rsid w:val="00C15242"/>
    <w:rsid w:val="00C15768"/>
    <w:rsid w:val="00C34F79"/>
    <w:rsid w:val="00C637A5"/>
    <w:rsid w:val="00C714D8"/>
    <w:rsid w:val="00CC563F"/>
    <w:rsid w:val="00CD37A7"/>
    <w:rsid w:val="00D073EC"/>
    <w:rsid w:val="00D20365"/>
    <w:rsid w:val="00D22211"/>
    <w:rsid w:val="00D23007"/>
    <w:rsid w:val="00D25B0F"/>
    <w:rsid w:val="00D27433"/>
    <w:rsid w:val="00D30E22"/>
    <w:rsid w:val="00D32D81"/>
    <w:rsid w:val="00D44D23"/>
    <w:rsid w:val="00D46482"/>
    <w:rsid w:val="00D772F0"/>
    <w:rsid w:val="00DA68E0"/>
    <w:rsid w:val="00DE0C52"/>
    <w:rsid w:val="00DE46E4"/>
    <w:rsid w:val="00E209A3"/>
    <w:rsid w:val="00E336EB"/>
    <w:rsid w:val="00E461E5"/>
    <w:rsid w:val="00E46848"/>
    <w:rsid w:val="00E92BE8"/>
    <w:rsid w:val="00EC3555"/>
    <w:rsid w:val="00EC4567"/>
    <w:rsid w:val="00EC6A52"/>
    <w:rsid w:val="00ED5432"/>
    <w:rsid w:val="00ED7089"/>
    <w:rsid w:val="00EE5157"/>
    <w:rsid w:val="00EF09DB"/>
    <w:rsid w:val="00F45FA1"/>
    <w:rsid w:val="00F46395"/>
    <w:rsid w:val="00F5673E"/>
    <w:rsid w:val="00F745C8"/>
    <w:rsid w:val="00F77BE4"/>
    <w:rsid w:val="00FF47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5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089"/>
    <w:rPr>
      <w:color w:val="0000FF" w:themeColor="hyperlink"/>
      <w:u w:val="single"/>
    </w:rPr>
  </w:style>
  <w:style w:type="paragraph" w:styleId="Header">
    <w:name w:val="header"/>
    <w:basedOn w:val="Normal"/>
    <w:link w:val="HeaderChar"/>
    <w:uiPriority w:val="99"/>
    <w:unhideWhenUsed/>
    <w:rsid w:val="00ED7089"/>
    <w:pPr>
      <w:tabs>
        <w:tab w:val="center" w:pos="4680"/>
        <w:tab w:val="right" w:pos="9360"/>
      </w:tabs>
    </w:pPr>
  </w:style>
  <w:style w:type="character" w:customStyle="1" w:styleId="HeaderChar">
    <w:name w:val="Header Char"/>
    <w:basedOn w:val="DefaultParagraphFont"/>
    <w:link w:val="Header"/>
    <w:uiPriority w:val="99"/>
    <w:rsid w:val="00ED7089"/>
  </w:style>
  <w:style w:type="paragraph" w:styleId="Footer">
    <w:name w:val="footer"/>
    <w:basedOn w:val="Normal"/>
    <w:link w:val="FooterChar"/>
    <w:uiPriority w:val="99"/>
    <w:unhideWhenUsed/>
    <w:rsid w:val="00ED7089"/>
    <w:pPr>
      <w:tabs>
        <w:tab w:val="center" w:pos="4680"/>
        <w:tab w:val="right" w:pos="9360"/>
      </w:tabs>
    </w:pPr>
  </w:style>
  <w:style w:type="character" w:customStyle="1" w:styleId="FooterChar">
    <w:name w:val="Footer Char"/>
    <w:basedOn w:val="DefaultParagraphFont"/>
    <w:link w:val="Footer"/>
    <w:uiPriority w:val="99"/>
    <w:rsid w:val="00ED7089"/>
  </w:style>
  <w:style w:type="paragraph" w:styleId="ListParagraph">
    <w:name w:val="List Paragraph"/>
    <w:basedOn w:val="Normal"/>
    <w:uiPriority w:val="34"/>
    <w:qFormat/>
    <w:rsid w:val="00B04248"/>
    <w:pPr>
      <w:ind w:left="720"/>
      <w:contextualSpacing/>
    </w:pPr>
  </w:style>
  <w:style w:type="paragraph" w:styleId="FootnoteText">
    <w:name w:val="footnote text"/>
    <w:basedOn w:val="Normal"/>
    <w:link w:val="FootnoteTextChar"/>
    <w:uiPriority w:val="99"/>
    <w:semiHidden/>
    <w:unhideWhenUsed/>
    <w:rsid w:val="0011403D"/>
    <w:rPr>
      <w:sz w:val="20"/>
      <w:szCs w:val="20"/>
    </w:rPr>
  </w:style>
  <w:style w:type="character" w:customStyle="1" w:styleId="FootnoteTextChar">
    <w:name w:val="Footnote Text Char"/>
    <w:basedOn w:val="DefaultParagraphFont"/>
    <w:link w:val="FootnoteText"/>
    <w:uiPriority w:val="99"/>
    <w:semiHidden/>
    <w:rsid w:val="0011403D"/>
    <w:rPr>
      <w:sz w:val="20"/>
      <w:szCs w:val="20"/>
    </w:rPr>
  </w:style>
  <w:style w:type="character" w:styleId="FootnoteReference">
    <w:name w:val="footnote reference"/>
    <w:basedOn w:val="DefaultParagraphFont"/>
    <w:uiPriority w:val="99"/>
    <w:semiHidden/>
    <w:unhideWhenUsed/>
    <w:rsid w:val="0011403D"/>
    <w:rPr>
      <w:vertAlign w:val="superscript"/>
    </w:rPr>
  </w:style>
  <w:style w:type="paragraph" w:styleId="BalloonText">
    <w:name w:val="Balloon Text"/>
    <w:basedOn w:val="Normal"/>
    <w:link w:val="BalloonTextChar"/>
    <w:uiPriority w:val="99"/>
    <w:semiHidden/>
    <w:unhideWhenUsed/>
    <w:rsid w:val="001F379E"/>
    <w:rPr>
      <w:rFonts w:ascii="Tahoma" w:hAnsi="Tahoma" w:cs="Tahoma"/>
      <w:sz w:val="16"/>
      <w:szCs w:val="16"/>
    </w:rPr>
  </w:style>
  <w:style w:type="character" w:customStyle="1" w:styleId="BalloonTextChar">
    <w:name w:val="Balloon Text Char"/>
    <w:basedOn w:val="DefaultParagraphFont"/>
    <w:link w:val="BalloonText"/>
    <w:uiPriority w:val="99"/>
    <w:semiHidden/>
    <w:rsid w:val="001F379E"/>
    <w:rPr>
      <w:rFonts w:ascii="Tahoma" w:hAnsi="Tahoma" w:cs="Tahoma"/>
      <w:sz w:val="16"/>
      <w:szCs w:val="16"/>
    </w:rPr>
  </w:style>
  <w:style w:type="table" w:styleId="TableGrid">
    <w:name w:val="Table Grid"/>
    <w:basedOn w:val="TableNormal"/>
    <w:uiPriority w:val="59"/>
    <w:rsid w:val="00A021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089"/>
    <w:rPr>
      <w:color w:val="0000FF" w:themeColor="hyperlink"/>
      <w:u w:val="single"/>
    </w:rPr>
  </w:style>
  <w:style w:type="paragraph" w:styleId="Header">
    <w:name w:val="header"/>
    <w:basedOn w:val="Normal"/>
    <w:link w:val="HeaderChar"/>
    <w:uiPriority w:val="99"/>
    <w:unhideWhenUsed/>
    <w:rsid w:val="00ED7089"/>
    <w:pPr>
      <w:tabs>
        <w:tab w:val="center" w:pos="4680"/>
        <w:tab w:val="right" w:pos="9360"/>
      </w:tabs>
    </w:pPr>
  </w:style>
  <w:style w:type="character" w:customStyle="1" w:styleId="HeaderChar">
    <w:name w:val="Header Char"/>
    <w:basedOn w:val="DefaultParagraphFont"/>
    <w:link w:val="Header"/>
    <w:uiPriority w:val="99"/>
    <w:rsid w:val="00ED7089"/>
  </w:style>
  <w:style w:type="paragraph" w:styleId="Footer">
    <w:name w:val="footer"/>
    <w:basedOn w:val="Normal"/>
    <w:link w:val="FooterChar"/>
    <w:uiPriority w:val="99"/>
    <w:unhideWhenUsed/>
    <w:rsid w:val="00ED7089"/>
    <w:pPr>
      <w:tabs>
        <w:tab w:val="center" w:pos="4680"/>
        <w:tab w:val="right" w:pos="9360"/>
      </w:tabs>
    </w:pPr>
  </w:style>
  <w:style w:type="character" w:customStyle="1" w:styleId="FooterChar">
    <w:name w:val="Footer Char"/>
    <w:basedOn w:val="DefaultParagraphFont"/>
    <w:link w:val="Footer"/>
    <w:uiPriority w:val="99"/>
    <w:rsid w:val="00ED7089"/>
  </w:style>
  <w:style w:type="paragraph" w:styleId="ListParagraph">
    <w:name w:val="List Paragraph"/>
    <w:basedOn w:val="Normal"/>
    <w:uiPriority w:val="34"/>
    <w:qFormat/>
    <w:rsid w:val="00B04248"/>
    <w:pPr>
      <w:ind w:left="720"/>
      <w:contextualSpacing/>
    </w:pPr>
  </w:style>
  <w:style w:type="paragraph" w:styleId="FootnoteText">
    <w:name w:val="footnote text"/>
    <w:basedOn w:val="Normal"/>
    <w:link w:val="FootnoteTextChar"/>
    <w:uiPriority w:val="99"/>
    <w:semiHidden/>
    <w:unhideWhenUsed/>
    <w:rsid w:val="0011403D"/>
    <w:rPr>
      <w:sz w:val="20"/>
      <w:szCs w:val="20"/>
    </w:rPr>
  </w:style>
  <w:style w:type="character" w:customStyle="1" w:styleId="FootnoteTextChar">
    <w:name w:val="Footnote Text Char"/>
    <w:basedOn w:val="DefaultParagraphFont"/>
    <w:link w:val="FootnoteText"/>
    <w:uiPriority w:val="99"/>
    <w:semiHidden/>
    <w:rsid w:val="0011403D"/>
    <w:rPr>
      <w:sz w:val="20"/>
      <w:szCs w:val="20"/>
    </w:rPr>
  </w:style>
  <w:style w:type="character" w:styleId="FootnoteReference">
    <w:name w:val="footnote reference"/>
    <w:basedOn w:val="DefaultParagraphFont"/>
    <w:uiPriority w:val="99"/>
    <w:semiHidden/>
    <w:unhideWhenUsed/>
    <w:rsid w:val="0011403D"/>
    <w:rPr>
      <w:vertAlign w:val="superscript"/>
    </w:rPr>
  </w:style>
  <w:style w:type="paragraph" w:styleId="BalloonText">
    <w:name w:val="Balloon Text"/>
    <w:basedOn w:val="Normal"/>
    <w:link w:val="BalloonTextChar"/>
    <w:uiPriority w:val="99"/>
    <w:semiHidden/>
    <w:unhideWhenUsed/>
    <w:rsid w:val="001F379E"/>
    <w:rPr>
      <w:rFonts w:ascii="Tahoma" w:hAnsi="Tahoma" w:cs="Tahoma"/>
      <w:sz w:val="16"/>
      <w:szCs w:val="16"/>
    </w:rPr>
  </w:style>
  <w:style w:type="character" w:customStyle="1" w:styleId="BalloonTextChar">
    <w:name w:val="Balloon Text Char"/>
    <w:basedOn w:val="DefaultParagraphFont"/>
    <w:link w:val="BalloonText"/>
    <w:uiPriority w:val="99"/>
    <w:semiHidden/>
    <w:rsid w:val="001F379E"/>
    <w:rPr>
      <w:rFonts w:ascii="Tahoma" w:hAnsi="Tahoma" w:cs="Tahoma"/>
      <w:sz w:val="16"/>
      <w:szCs w:val="16"/>
    </w:rPr>
  </w:style>
  <w:style w:type="table" w:styleId="TableGrid">
    <w:name w:val="Table Grid"/>
    <w:basedOn w:val="TableNormal"/>
    <w:uiPriority w:val="59"/>
    <w:rsid w:val="00A02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33804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wsj.com/articles/wall-street-crime-7-years-156-cases-and-few-convictions-146421737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stor.org.proxy.bc.edu/stable/2018284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rn.com/abstract=2594923"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rn.com/abstract=2747119" TargetMode="External"/><Relationship Id="rId5" Type="http://schemas.openxmlformats.org/officeDocument/2006/relationships/webSettings" Target="webSettings.xml"/><Relationship Id="rId15" Type="http://schemas.openxmlformats.org/officeDocument/2006/relationships/hyperlink" Target="http://ssrn.com/abstract=2050833" TargetMode="Externa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rn.com/abstract=2670525"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men\Documents\0_research\0_papers\1%201%20ed\bnk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ovak\Documents\0_research\0_papers\1%201%20ed\bnk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b="1" i="0" baseline="0">
                <a:effectLst/>
              </a:rPr>
              <a:t>Value of Stand-Alone Safety-Net Benefits in Basis Points per Dollar of Reported Bank Debt</a:t>
            </a:r>
            <a:endParaRPr lang="en-US" sz="1400">
              <a:effectLst/>
            </a:endParaRPr>
          </a:p>
        </c:rich>
      </c:tx>
    </c:title>
    <c:plotArea>
      <c:layout/>
      <c:barChart>
        <c:barDir val="col"/>
        <c:grouping val="clustered"/>
        <c:ser>
          <c:idx val="0"/>
          <c:order val="0"/>
          <c:cat>
            <c:strRef>
              <c:f>yrq!$E$4:$E$151</c:f>
              <c:strCache>
                <c:ptCount val="148"/>
                <c:pt idx="3">
                  <c:v>74</c:v>
                </c:pt>
                <c:pt idx="11">
                  <c:v>76</c:v>
                </c:pt>
                <c:pt idx="19">
                  <c:v>78</c:v>
                </c:pt>
                <c:pt idx="27">
                  <c:v>80</c:v>
                </c:pt>
                <c:pt idx="35">
                  <c:v>82</c:v>
                </c:pt>
                <c:pt idx="43">
                  <c:v>84</c:v>
                </c:pt>
                <c:pt idx="51">
                  <c:v>86</c:v>
                </c:pt>
                <c:pt idx="59">
                  <c:v>88</c:v>
                </c:pt>
                <c:pt idx="67">
                  <c:v>90</c:v>
                </c:pt>
                <c:pt idx="75">
                  <c:v>92</c:v>
                </c:pt>
                <c:pt idx="83">
                  <c:v>94</c:v>
                </c:pt>
                <c:pt idx="91">
                  <c:v>96</c:v>
                </c:pt>
                <c:pt idx="99">
                  <c:v>98</c:v>
                </c:pt>
                <c:pt idx="107">
                  <c:v>00</c:v>
                </c:pt>
                <c:pt idx="115">
                  <c:v>02</c:v>
                </c:pt>
                <c:pt idx="123">
                  <c:v>04</c:v>
                </c:pt>
                <c:pt idx="131">
                  <c:v>06</c:v>
                </c:pt>
                <c:pt idx="139">
                  <c:v>08</c:v>
                </c:pt>
                <c:pt idx="147">
                  <c:v>10</c:v>
                </c:pt>
              </c:strCache>
            </c:strRef>
          </c:cat>
          <c:val>
            <c:numRef>
              <c:f>yrq!$X$4:$X$151</c:f>
              <c:numCache>
                <c:formatCode>0</c:formatCode>
                <c:ptCount val="148"/>
                <c:pt idx="0">
                  <c:v>0.13847029999999999</c:v>
                </c:pt>
                <c:pt idx="1">
                  <c:v>0.61397130000000188</c:v>
                </c:pt>
                <c:pt idx="2">
                  <c:v>2.2011820000000002</c:v>
                </c:pt>
                <c:pt idx="3">
                  <c:v>3.449986</c:v>
                </c:pt>
                <c:pt idx="4">
                  <c:v>1.182803</c:v>
                </c:pt>
                <c:pt idx="5">
                  <c:v>0.24693580000000068</c:v>
                </c:pt>
                <c:pt idx="6">
                  <c:v>5.9673300000000026E-2</c:v>
                </c:pt>
                <c:pt idx="7">
                  <c:v>0.44117130000000027</c:v>
                </c:pt>
                <c:pt idx="8">
                  <c:v>0.19052449999999999</c:v>
                </c:pt>
                <c:pt idx="9">
                  <c:v>1.5110749999999962</c:v>
                </c:pt>
                <c:pt idx="10">
                  <c:v>1.1512400000000037E-2</c:v>
                </c:pt>
                <c:pt idx="11">
                  <c:v>2.1362399999999997E-2</c:v>
                </c:pt>
                <c:pt idx="12">
                  <c:v>7.3985700000000029E-2</c:v>
                </c:pt>
                <c:pt idx="13">
                  <c:v>0.17839940000000068</c:v>
                </c:pt>
                <c:pt idx="14">
                  <c:v>8.207360000000001E-2</c:v>
                </c:pt>
                <c:pt idx="15">
                  <c:v>0.14377490000000001</c:v>
                </c:pt>
                <c:pt idx="16">
                  <c:v>1.8708500000000076E-2</c:v>
                </c:pt>
                <c:pt idx="17">
                  <c:v>14.124019999999998</c:v>
                </c:pt>
                <c:pt idx="18">
                  <c:v>6.2975900000000001E-2</c:v>
                </c:pt>
                <c:pt idx="19">
                  <c:v>0.61050179999999998</c:v>
                </c:pt>
                <c:pt idx="20">
                  <c:v>8.664220000000003E-2</c:v>
                </c:pt>
                <c:pt idx="21">
                  <c:v>0.21766890000000041</c:v>
                </c:pt>
                <c:pt idx="22">
                  <c:v>6.9448200000000154E-2</c:v>
                </c:pt>
                <c:pt idx="23">
                  <c:v>0.12028150000000012</c:v>
                </c:pt>
                <c:pt idx="24">
                  <c:v>0.52688179999999996</c:v>
                </c:pt>
                <c:pt idx="25">
                  <c:v>0.10022870000000025</c:v>
                </c:pt>
                <c:pt idx="26">
                  <c:v>0.10019220000000033</c:v>
                </c:pt>
                <c:pt idx="27">
                  <c:v>0.63816569999999995</c:v>
                </c:pt>
                <c:pt idx="28">
                  <c:v>7.2138600000000191E-2</c:v>
                </c:pt>
                <c:pt idx="29">
                  <c:v>8.3022500000000291E-2</c:v>
                </c:pt>
                <c:pt idx="30">
                  <c:v>0.34874200000000033</c:v>
                </c:pt>
                <c:pt idx="31">
                  <c:v>0.12848730000000044</c:v>
                </c:pt>
                <c:pt idx="32">
                  <c:v>0.11826670000000057</c:v>
                </c:pt>
                <c:pt idx="33">
                  <c:v>0.27225739999999998</c:v>
                </c:pt>
                <c:pt idx="34">
                  <c:v>0.23338529999999999</c:v>
                </c:pt>
                <c:pt idx="35">
                  <c:v>0.52664570000000188</c:v>
                </c:pt>
                <c:pt idx="36">
                  <c:v>0.30240320000000032</c:v>
                </c:pt>
                <c:pt idx="37">
                  <c:v>0.13064310000000001</c:v>
                </c:pt>
                <c:pt idx="38">
                  <c:v>0.54515380000000002</c:v>
                </c:pt>
                <c:pt idx="39">
                  <c:v>0.33670620000000107</c:v>
                </c:pt>
                <c:pt idx="40">
                  <c:v>3.6251400000000086E-2</c:v>
                </c:pt>
                <c:pt idx="41">
                  <c:v>0.18001650000000041</c:v>
                </c:pt>
                <c:pt idx="42">
                  <c:v>8.9294560000000267</c:v>
                </c:pt>
                <c:pt idx="43">
                  <c:v>3.2729599999999998E-2</c:v>
                </c:pt>
                <c:pt idx="44">
                  <c:v>7.7936400000000336E-2</c:v>
                </c:pt>
                <c:pt idx="45">
                  <c:v>0.18000089999999999</c:v>
                </c:pt>
                <c:pt idx="46">
                  <c:v>0.35026600000000002</c:v>
                </c:pt>
                <c:pt idx="47">
                  <c:v>0.46312080000000094</c:v>
                </c:pt>
                <c:pt idx="48">
                  <c:v>4.9383549999999996</c:v>
                </c:pt>
                <c:pt idx="49">
                  <c:v>8.9341390000000001</c:v>
                </c:pt>
                <c:pt idx="50">
                  <c:v>2.2648920000000001</c:v>
                </c:pt>
                <c:pt idx="51">
                  <c:v>2.1312519999999977</c:v>
                </c:pt>
                <c:pt idx="52">
                  <c:v>3.8353689999999916</c:v>
                </c:pt>
                <c:pt idx="53">
                  <c:v>1.7115019999999972</c:v>
                </c:pt>
                <c:pt idx="54">
                  <c:v>2.0075080000000001</c:v>
                </c:pt>
                <c:pt idx="55">
                  <c:v>18.91384</c:v>
                </c:pt>
                <c:pt idx="56">
                  <c:v>6.5777599999999996</c:v>
                </c:pt>
                <c:pt idx="57">
                  <c:v>6.7484139999999995</c:v>
                </c:pt>
                <c:pt idx="58">
                  <c:v>6.4023279999999998</c:v>
                </c:pt>
                <c:pt idx="59">
                  <c:v>6.342403</c:v>
                </c:pt>
                <c:pt idx="60">
                  <c:v>10.223999999999998</c:v>
                </c:pt>
                <c:pt idx="61">
                  <c:v>12.220819999999998</c:v>
                </c:pt>
                <c:pt idx="62">
                  <c:v>2.2841260000000094</c:v>
                </c:pt>
                <c:pt idx="63">
                  <c:v>6.8627029999999865</c:v>
                </c:pt>
                <c:pt idx="64">
                  <c:v>34.301629999999996</c:v>
                </c:pt>
                <c:pt idx="65">
                  <c:v>3.2055320000000012</c:v>
                </c:pt>
                <c:pt idx="66">
                  <c:v>4.9130050000000001</c:v>
                </c:pt>
                <c:pt idx="67">
                  <c:v>38.612380000000002</c:v>
                </c:pt>
                <c:pt idx="68">
                  <c:v>56.017130000000002</c:v>
                </c:pt>
                <c:pt idx="69">
                  <c:v>16.114439999999988</c:v>
                </c:pt>
                <c:pt idx="70">
                  <c:v>12.988800000000001</c:v>
                </c:pt>
                <c:pt idx="71">
                  <c:v>5.6014280000000003</c:v>
                </c:pt>
                <c:pt idx="72">
                  <c:v>41.779110000000166</c:v>
                </c:pt>
                <c:pt idx="73">
                  <c:v>14.547230000000001</c:v>
                </c:pt>
                <c:pt idx="74">
                  <c:v>16.201309999999989</c:v>
                </c:pt>
                <c:pt idx="75">
                  <c:v>94.074690000000004</c:v>
                </c:pt>
                <c:pt idx="76">
                  <c:v>112.49390000000002</c:v>
                </c:pt>
                <c:pt idx="77">
                  <c:v>36.117930000000001</c:v>
                </c:pt>
                <c:pt idx="78">
                  <c:v>18.429539999999882</c:v>
                </c:pt>
                <c:pt idx="79">
                  <c:v>60.650010000000002</c:v>
                </c:pt>
                <c:pt idx="80">
                  <c:v>80.125269999999986</c:v>
                </c:pt>
                <c:pt idx="81">
                  <c:v>86.366869999999992</c:v>
                </c:pt>
                <c:pt idx="82">
                  <c:v>72.809889999999982</c:v>
                </c:pt>
                <c:pt idx="83">
                  <c:v>67.194959999999995</c:v>
                </c:pt>
                <c:pt idx="84">
                  <c:v>71.57953999999998</c:v>
                </c:pt>
                <c:pt idx="85">
                  <c:v>36.631280000000004</c:v>
                </c:pt>
                <c:pt idx="86">
                  <c:v>38.528200000000012</c:v>
                </c:pt>
                <c:pt idx="87">
                  <c:v>43.766530000000166</c:v>
                </c:pt>
                <c:pt idx="88">
                  <c:v>33.859369999999998</c:v>
                </c:pt>
                <c:pt idx="89">
                  <c:v>35.78058</c:v>
                </c:pt>
                <c:pt idx="90">
                  <c:v>27.034970000000083</c:v>
                </c:pt>
                <c:pt idx="91">
                  <c:v>28.697489999999988</c:v>
                </c:pt>
                <c:pt idx="92">
                  <c:v>7.7206939999999999</c:v>
                </c:pt>
                <c:pt idx="93">
                  <c:v>6.2164929999999998</c:v>
                </c:pt>
                <c:pt idx="94">
                  <c:v>5.3538649999999945</c:v>
                </c:pt>
                <c:pt idx="95">
                  <c:v>11.645390000000001</c:v>
                </c:pt>
                <c:pt idx="96">
                  <c:v>6.2699539999999985</c:v>
                </c:pt>
                <c:pt idx="97">
                  <c:v>5.4237479999999998</c:v>
                </c:pt>
                <c:pt idx="98">
                  <c:v>12.5037</c:v>
                </c:pt>
                <c:pt idx="99">
                  <c:v>24.1523</c:v>
                </c:pt>
                <c:pt idx="100">
                  <c:v>23.44778999999992</c:v>
                </c:pt>
                <c:pt idx="101">
                  <c:v>76.160759999999982</c:v>
                </c:pt>
                <c:pt idx="102">
                  <c:v>9.4953090000000007</c:v>
                </c:pt>
                <c:pt idx="103">
                  <c:v>31.29669999999992</c:v>
                </c:pt>
                <c:pt idx="104">
                  <c:v>37.035490000000003</c:v>
                </c:pt>
                <c:pt idx="105">
                  <c:v>41.030060000000006</c:v>
                </c:pt>
                <c:pt idx="106">
                  <c:v>26.662970000000001</c:v>
                </c:pt>
                <c:pt idx="107">
                  <c:v>37.303799999999995</c:v>
                </c:pt>
                <c:pt idx="108">
                  <c:v>39.52008</c:v>
                </c:pt>
                <c:pt idx="109">
                  <c:v>22.130459999999999</c:v>
                </c:pt>
                <c:pt idx="110">
                  <c:v>5.560473</c:v>
                </c:pt>
                <c:pt idx="111">
                  <c:v>34.499690000000001</c:v>
                </c:pt>
                <c:pt idx="112">
                  <c:v>21.746139999999908</c:v>
                </c:pt>
                <c:pt idx="113">
                  <c:v>9.815963</c:v>
                </c:pt>
                <c:pt idx="114">
                  <c:v>12.79579</c:v>
                </c:pt>
                <c:pt idx="115">
                  <c:v>14.450370000000001</c:v>
                </c:pt>
                <c:pt idx="116">
                  <c:v>19.627279999999999</c:v>
                </c:pt>
                <c:pt idx="117">
                  <c:v>5.5380750000000001</c:v>
                </c:pt>
                <c:pt idx="118">
                  <c:v>12.10962</c:v>
                </c:pt>
                <c:pt idx="119">
                  <c:v>1.997266</c:v>
                </c:pt>
                <c:pt idx="120">
                  <c:v>1.3742580000000042</c:v>
                </c:pt>
                <c:pt idx="121">
                  <c:v>1.9389460000000001</c:v>
                </c:pt>
                <c:pt idx="122">
                  <c:v>7.1288569999999787</c:v>
                </c:pt>
                <c:pt idx="123">
                  <c:v>19.152000000000001</c:v>
                </c:pt>
                <c:pt idx="124">
                  <c:v>0.6383162999999995</c:v>
                </c:pt>
                <c:pt idx="125">
                  <c:v>4.6822330000000001</c:v>
                </c:pt>
                <c:pt idx="126">
                  <c:v>0.58902289999999957</c:v>
                </c:pt>
                <c:pt idx="127">
                  <c:v>2.2560789999999926</c:v>
                </c:pt>
                <c:pt idx="128">
                  <c:v>4.4900219999999997</c:v>
                </c:pt>
                <c:pt idx="129">
                  <c:v>0.5906618000000009</c:v>
                </c:pt>
                <c:pt idx="130">
                  <c:v>1.2943209999999998</c:v>
                </c:pt>
                <c:pt idx="131">
                  <c:v>0.21991340000000106</c:v>
                </c:pt>
                <c:pt idx="132">
                  <c:v>3.6439810000000095</c:v>
                </c:pt>
                <c:pt idx="133">
                  <c:v>4.0940569999999816</c:v>
                </c:pt>
                <c:pt idx="134">
                  <c:v>9.5177820000000004</c:v>
                </c:pt>
                <c:pt idx="135">
                  <c:v>18.853459999999988</c:v>
                </c:pt>
                <c:pt idx="136">
                  <c:v>46.409889999999997</c:v>
                </c:pt>
                <c:pt idx="137">
                  <c:v>56.6068</c:v>
                </c:pt>
                <c:pt idx="138">
                  <c:v>369.17059999999969</c:v>
                </c:pt>
                <c:pt idx="139">
                  <c:v>609.42859999999996</c:v>
                </c:pt>
                <c:pt idx="140">
                  <c:v>551.97759999999948</c:v>
                </c:pt>
                <c:pt idx="141">
                  <c:v>371.65580000000102</c:v>
                </c:pt>
                <c:pt idx="142">
                  <c:v>84.964970000000022</c:v>
                </c:pt>
                <c:pt idx="143">
                  <c:v>84.293200000000027</c:v>
                </c:pt>
                <c:pt idx="144">
                  <c:v>90.803240000000002</c:v>
                </c:pt>
                <c:pt idx="145">
                  <c:v>80.386789999999948</c:v>
                </c:pt>
                <c:pt idx="146">
                  <c:v>47.96443</c:v>
                </c:pt>
                <c:pt idx="147">
                  <c:v>23.658940000000001</c:v>
                </c:pt>
              </c:numCache>
            </c:numRef>
          </c:val>
        </c:ser>
        <c:axId val="203084928"/>
        <c:axId val="203086464"/>
      </c:barChart>
      <c:catAx>
        <c:axId val="203084928"/>
        <c:scaling>
          <c:orientation val="minMax"/>
        </c:scaling>
        <c:axPos val="b"/>
        <c:numFmt formatCode="General" sourceLinked="1"/>
        <c:majorTickMark val="none"/>
        <c:tickLblPos val="nextTo"/>
        <c:crossAx val="203086464"/>
        <c:crosses val="autoZero"/>
        <c:auto val="1"/>
        <c:lblAlgn val="ctr"/>
        <c:lblOffset val="100"/>
      </c:catAx>
      <c:valAx>
        <c:axId val="203086464"/>
        <c:scaling>
          <c:orientation val="minMax"/>
        </c:scaling>
        <c:axPos val="l"/>
        <c:majorGridlines/>
        <c:numFmt formatCode="0" sourceLinked="1"/>
        <c:majorTickMark val="none"/>
        <c:tickLblPos val="nextTo"/>
        <c:crossAx val="203084928"/>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aseline="0"/>
              <a:t>Herfindahl Index</a:t>
            </a:r>
            <a:endParaRPr lang="en-US" sz="1200"/>
          </a:p>
        </c:rich>
      </c:tx>
    </c:title>
    <c:plotArea>
      <c:layout/>
      <c:barChart>
        <c:barDir val="col"/>
        <c:grouping val="clustered"/>
        <c:ser>
          <c:idx val="0"/>
          <c:order val="0"/>
          <c:tx>
            <c:strRef>
              <c:f>sectoral!$AI$3:$AI$13</c:f>
              <c:strCache>
                <c:ptCount val="11"/>
                <c:pt idx="0">
                  <c:v>0.071</c:v>
                </c:pt>
                <c:pt idx="1">
                  <c:v>0.071</c:v>
                </c:pt>
                <c:pt idx="2">
                  <c:v>0.032</c:v>
                </c:pt>
                <c:pt idx="3">
                  <c:v>0.033</c:v>
                </c:pt>
                <c:pt idx="4">
                  <c:v>0.033</c:v>
                </c:pt>
                <c:pt idx="5">
                  <c:v>0.031</c:v>
                </c:pt>
                <c:pt idx="6">
                  <c:v>0.031</c:v>
                </c:pt>
                <c:pt idx="7">
                  <c:v>0.031</c:v>
                </c:pt>
                <c:pt idx="8">
                  <c:v>0.032</c:v>
                </c:pt>
                <c:pt idx="9">
                  <c:v>0.032</c:v>
                </c:pt>
                <c:pt idx="10">
                  <c:v>0.032</c:v>
                </c:pt>
              </c:strCache>
            </c:strRef>
          </c:tx>
          <c:cat>
            <c:strRef>
              <c:f>sectoral!$G$14:$G$496</c:f>
              <c:strCache>
                <c:ptCount val="481"/>
                <c:pt idx="0">
                  <c:v>73</c:v>
                </c:pt>
                <c:pt idx="12">
                  <c:v>74</c:v>
                </c:pt>
                <c:pt idx="24">
                  <c:v>75</c:v>
                </c:pt>
                <c:pt idx="36">
                  <c:v>76</c:v>
                </c:pt>
                <c:pt idx="48">
                  <c:v>77</c:v>
                </c:pt>
                <c:pt idx="60">
                  <c:v>78</c:v>
                </c:pt>
                <c:pt idx="72">
                  <c:v>79</c:v>
                </c:pt>
                <c:pt idx="84">
                  <c:v>80</c:v>
                </c:pt>
                <c:pt idx="96">
                  <c:v>81</c:v>
                </c:pt>
                <c:pt idx="108">
                  <c:v>82</c:v>
                </c:pt>
                <c:pt idx="120">
                  <c:v>83</c:v>
                </c:pt>
                <c:pt idx="132">
                  <c:v>84</c:v>
                </c:pt>
                <c:pt idx="144">
                  <c:v>85</c:v>
                </c:pt>
                <c:pt idx="156">
                  <c:v>86</c:v>
                </c:pt>
                <c:pt idx="168">
                  <c:v>87</c:v>
                </c:pt>
                <c:pt idx="180">
                  <c:v>88</c:v>
                </c:pt>
                <c:pt idx="192">
                  <c:v>89</c:v>
                </c:pt>
                <c:pt idx="204">
                  <c:v>90</c:v>
                </c:pt>
                <c:pt idx="216">
                  <c:v>91</c:v>
                </c:pt>
                <c:pt idx="228">
                  <c:v>92</c:v>
                </c:pt>
                <c:pt idx="240">
                  <c:v>93</c:v>
                </c:pt>
                <c:pt idx="252">
                  <c:v>94</c:v>
                </c:pt>
                <c:pt idx="264">
                  <c:v>95</c:v>
                </c:pt>
                <c:pt idx="276">
                  <c:v>96</c:v>
                </c:pt>
                <c:pt idx="288">
                  <c:v>97</c:v>
                </c:pt>
                <c:pt idx="300">
                  <c:v>98</c:v>
                </c:pt>
                <c:pt idx="312">
                  <c:v>99</c:v>
                </c:pt>
                <c:pt idx="324">
                  <c:v>00</c:v>
                </c:pt>
                <c:pt idx="336">
                  <c:v>01</c:v>
                </c:pt>
                <c:pt idx="348">
                  <c:v>02</c:v>
                </c:pt>
                <c:pt idx="360">
                  <c:v>03</c:v>
                </c:pt>
                <c:pt idx="372">
                  <c:v>04</c:v>
                </c:pt>
                <c:pt idx="384">
                  <c:v>05</c:v>
                </c:pt>
                <c:pt idx="396">
                  <c:v>06</c:v>
                </c:pt>
                <c:pt idx="408">
                  <c:v>07</c:v>
                </c:pt>
                <c:pt idx="420">
                  <c:v>08</c:v>
                </c:pt>
                <c:pt idx="432">
                  <c:v>09</c:v>
                </c:pt>
                <c:pt idx="444">
                  <c:v>10</c:v>
                </c:pt>
                <c:pt idx="456">
                  <c:v>11</c:v>
                </c:pt>
                <c:pt idx="468">
                  <c:v>12</c:v>
                </c:pt>
                <c:pt idx="480">
                  <c:v>13</c:v>
                </c:pt>
              </c:strCache>
            </c:strRef>
          </c:cat>
          <c:val>
            <c:numRef>
              <c:f>sectoral!$AI$14:$AI$496</c:f>
              <c:numCache>
                <c:formatCode>0.000</c:formatCode>
                <c:ptCount val="483"/>
                <c:pt idx="0">
                  <c:v>3.0172500000000001E-2</c:v>
                </c:pt>
                <c:pt idx="1">
                  <c:v>3.0172500000000001E-2</c:v>
                </c:pt>
                <c:pt idx="2">
                  <c:v>3.0172500000000001E-2</c:v>
                </c:pt>
                <c:pt idx="3">
                  <c:v>3.2002800000000012E-2</c:v>
                </c:pt>
                <c:pt idx="4">
                  <c:v>3.2002800000000012E-2</c:v>
                </c:pt>
                <c:pt idx="5">
                  <c:v>3.2086799999999999E-2</c:v>
                </c:pt>
                <c:pt idx="6">
                  <c:v>3.3636199999999998E-2</c:v>
                </c:pt>
                <c:pt idx="7">
                  <c:v>3.3636199999999998E-2</c:v>
                </c:pt>
                <c:pt idx="8">
                  <c:v>3.3636199999999998E-2</c:v>
                </c:pt>
                <c:pt idx="9">
                  <c:v>3.3685000000000041E-2</c:v>
                </c:pt>
                <c:pt idx="10">
                  <c:v>3.3685000000000041E-2</c:v>
                </c:pt>
                <c:pt idx="11">
                  <c:v>3.3685000000000041E-2</c:v>
                </c:pt>
                <c:pt idx="12">
                  <c:v>3.3361599999999998E-2</c:v>
                </c:pt>
                <c:pt idx="13">
                  <c:v>3.3361599999999998E-2</c:v>
                </c:pt>
                <c:pt idx="14">
                  <c:v>3.3361599999999998E-2</c:v>
                </c:pt>
                <c:pt idx="15">
                  <c:v>3.4423799999999997E-2</c:v>
                </c:pt>
                <c:pt idx="16">
                  <c:v>3.4423799999999997E-2</c:v>
                </c:pt>
                <c:pt idx="17">
                  <c:v>3.4423799999999997E-2</c:v>
                </c:pt>
                <c:pt idx="18">
                  <c:v>3.584280000000007E-2</c:v>
                </c:pt>
                <c:pt idx="19">
                  <c:v>3.6092000000000006E-2</c:v>
                </c:pt>
                <c:pt idx="20">
                  <c:v>3.6092000000000006E-2</c:v>
                </c:pt>
                <c:pt idx="21">
                  <c:v>3.5265900000000051E-2</c:v>
                </c:pt>
                <c:pt idx="22">
                  <c:v>3.5265900000000051E-2</c:v>
                </c:pt>
                <c:pt idx="23">
                  <c:v>3.5265900000000051E-2</c:v>
                </c:pt>
                <c:pt idx="24">
                  <c:v>3.4358E-2</c:v>
                </c:pt>
                <c:pt idx="25">
                  <c:v>3.4358E-2</c:v>
                </c:pt>
                <c:pt idx="26">
                  <c:v>3.4358E-2</c:v>
                </c:pt>
                <c:pt idx="27">
                  <c:v>3.4630800000000052E-2</c:v>
                </c:pt>
                <c:pt idx="28">
                  <c:v>3.4630800000000052E-2</c:v>
                </c:pt>
                <c:pt idx="29">
                  <c:v>3.4630800000000052E-2</c:v>
                </c:pt>
                <c:pt idx="30">
                  <c:v>3.4707000000000002E-2</c:v>
                </c:pt>
                <c:pt idx="31">
                  <c:v>3.4707000000000002E-2</c:v>
                </c:pt>
                <c:pt idx="32">
                  <c:v>3.513150000000001E-2</c:v>
                </c:pt>
                <c:pt idx="33">
                  <c:v>3.4905600000000002E-2</c:v>
                </c:pt>
                <c:pt idx="34">
                  <c:v>3.4905600000000002E-2</c:v>
                </c:pt>
                <c:pt idx="35">
                  <c:v>3.4905600000000002E-2</c:v>
                </c:pt>
                <c:pt idx="36">
                  <c:v>3.5079700000000012E-2</c:v>
                </c:pt>
                <c:pt idx="37">
                  <c:v>3.5079700000000012E-2</c:v>
                </c:pt>
                <c:pt idx="38">
                  <c:v>3.5079700000000012E-2</c:v>
                </c:pt>
                <c:pt idx="39">
                  <c:v>3.5112299999999999E-2</c:v>
                </c:pt>
                <c:pt idx="40">
                  <c:v>3.5112299999999999E-2</c:v>
                </c:pt>
                <c:pt idx="41">
                  <c:v>3.5112299999999999E-2</c:v>
                </c:pt>
                <c:pt idx="42">
                  <c:v>3.5341600000000001E-2</c:v>
                </c:pt>
                <c:pt idx="43">
                  <c:v>3.5341600000000001E-2</c:v>
                </c:pt>
                <c:pt idx="44">
                  <c:v>3.5341600000000001E-2</c:v>
                </c:pt>
                <c:pt idx="45">
                  <c:v>3.5433800000000078E-2</c:v>
                </c:pt>
                <c:pt idx="46">
                  <c:v>3.5433800000000078E-2</c:v>
                </c:pt>
                <c:pt idx="47">
                  <c:v>3.5433800000000078E-2</c:v>
                </c:pt>
                <c:pt idx="48">
                  <c:v>3.5583499999999997E-2</c:v>
                </c:pt>
                <c:pt idx="49">
                  <c:v>3.5583499999999997E-2</c:v>
                </c:pt>
                <c:pt idx="50">
                  <c:v>3.6051300000000078E-2</c:v>
                </c:pt>
                <c:pt idx="51">
                  <c:v>3.4729500000000003E-2</c:v>
                </c:pt>
                <c:pt idx="52">
                  <c:v>3.4729500000000003E-2</c:v>
                </c:pt>
                <c:pt idx="53">
                  <c:v>3.4729500000000003E-2</c:v>
                </c:pt>
                <c:pt idx="54">
                  <c:v>3.4639000000000052E-2</c:v>
                </c:pt>
                <c:pt idx="55">
                  <c:v>3.4639000000000052E-2</c:v>
                </c:pt>
                <c:pt idx="56">
                  <c:v>3.4639000000000052E-2</c:v>
                </c:pt>
                <c:pt idx="57">
                  <c:v>3.4609100000000052E-2</c:v>
                </c:pt>
                <c:pt idx="58">
                  <c:v>3.4609100000000052E-2</c:v>
                </c:pt>
                <c:pt idx="59">
                  <c:v>3.4609100000000052E-2</c:v>
                </c:pt>
                <c:pt idx="60">
                  <c:v>3.4235800000000052E-2</c:v>
                </c:pt>
                <c:pt idx="61">
                  <c:v>3.4235800000000052E-2</c:v>
                </c:pt>
                <c:pt idx="62">
                  <c:v>3.4235800000000052E-2</c:v>
                </c:pt>
                <c:pt idx="63">
                  <c:v>3.4763299999999997E-2</c:v>
                </c:pt>
                <c:pt idx="64">
                  <c:v>3.4763299999999997E-2</c:v>
                </c:pt>
                <c:pt idx="65">
                  <c:v>3.4763299999999997E-2</c:v>
                </c:pt>
                <c:pt idx="66">
                  <c:v>3.5317599999999998E-2</c:v>
                </c:pt>
                <c:pt idx="67">
                  <c:v>3.5317599999999998E-2</c:v>
                </c:pt>
                <c:pt idx="68">
                  <c:v>3.5317599999999998E-2</c:v>
                </c:pt>
                <c:pt idx="69">
                  <c:v>3.5787100000000002E-2</c:v>
                </c:pt>
                <c:pt idx="70">
                  <c:v>3.5787100000000002E-2</c:v>
                </c:pt>
                <c:pt idx="71">
                  <c:v>3.5787100000000002E-2</c:v>
                </c:pt>
                <c:pt idx="72">
                  <c:v>3.5542900000000002E-2</c:v>
                </c:pt>
                <c:pt idx="73">
                  <c:v>3.5542900000000002E-2</c:v>
                </c:pt>
                <c:pt idx="74">
                  <c:v>3.5542900000000002E-2</c:v>
                </c:pt>
                <c:pt idx="75">
                  <c:v>3.5172500000000002E-2</c:v>
                </c:pt>
                <c:pt idx="76">
                  <c:v>3.5172500000000002E-2</c:v>
                </c:pt>
                <c:pt idx="77">
                  <c:v>3.5172500000000002E-2</c:v>
                </c:pt>
                <c:pt idx="78">
                  <c:v>3.5441400000000012E-2</c:v>
                </c:pt>
                <c:pt idx="79">
                  <c:v>3.5441400000000012E-2</c:v>
                </c:pt>
                <c:pt idx="80">
                  <c:v>3.5441400000000012E-2</c:v>
                </c:pt>
                <c:pt idx="81">
                  <c:v>3.5047500000000002E-2</c:v>
                </c:pt>
                <c:pt idx="82">
                  <c:v>3.5198500000000001E-2</c:v>
                </c:pt>
                <c:pt idx="83">
                  <c:v>3.5198500000000001E-2</c:v>
                </c:pt>
                <c:pt idx="84">
                  <c:v>3.47564E-2</c:v>
                </c:pt>
                <c:pt idx="85">
                  <c:v>3.481530000000007E-2</c:v>
                </c:pt>
                <c:pt idx="86">
                  <c:v>3.47564E-2</c:v>
                </c:pt>
                <c:pt idx="87">
                  <c:v>3.4934600000000003E-2</c:v>
                </c:pt>
                <c:pt idx="88">
                  <c:v>3.4934600000000003E-2</c:v>
                </c:pt>
                <c:pt idx="89">
                  <c:v>3.4934600000000003E-2</c:v>
                </c:pt>
                <c:pt idx="90">
                  <c:v>3.4734200000000014E-2</c:v>
                </c:pt>
                <c:pt idx="91">
                  <c:v>3.4734200000000014E-2</c:v>
                </c:pt>
                <c:pt idx="92">
                  <c:v>3.4734200000000014E-2</c:v>
                </c:pt>
                <c:pt idx="93">
                  <c:v>3.4743799999999998E-2</c:v>
                </c:pt>
                <c:pt idx="94">
                  <c:v>3.4743799999999998E-2</c:v>
                </c:pt>
                <c:pt idx="95">
                  <c:v>3.4743799999999998E-2</c:v>
                </c:pt>
                <c:pt idx="96">
                  <c:v>3.2992300000000002E-2</c:v>
                </c:pt>
                <c:pt idx="97">
                  <c:v>3.2992300000000002E-2</c:v>
                </c:pt>
                <c:pt idx="98">
                  <c:v>3.2992300000000002E-2</c:v>
                </c:pt>
                <c:pt idx="99">
                  <c:v>3.0491000000000049E-2</c:v>
                </c:pt>
                <c:pt idx="100">
                  <c:v>3.0491000000000049E-2</c:v>
                </c:pt>
                <c:pt idx="101">
                  <c:v>3.0491000000000049E-2</c:v>
                </c:pt>
                <c:pt idx="102">
                  <c:v>3.0317400000000001E-2</c:v>
                </c:pt>
                <c:pt idx="103">
                  <c:v>3.0317400000000001E-2</c:v>
                </c:pt>
                <c:pt idx="104">
                  <c:v>3.0317400000000001E-2</c:v>
                </c:pt>
                <c:pt idx="105">
                  <c:v>3.0155600000000001E-2</c:v>
                </c:pt>
                <c:pt idx="106">
                  <c:v>3.0290700000000011E-2</c:v>
                </c:pt>
                <c:pt idx="107">
                  <c:v>3.0290700000000011E-2</c:v>
                </c:pt>
                <c:pt idx="108">
                  <c:v>2.9486600000000002E-2</c:v>
                </c:pt>
                <c:pt idx="109">
                  <c:v>2.9895600000000012E-2</c:v>
                </c:pt>
                <c:pt idx="110">
                  <c:v>2.9925500000000001E-2</c:v>
                </c:pt>
                <c:pt idx="111">
                  <c:v>2.9478600000000011E-2</c:v>
                </c:pt>
                <c:pt idx="112">
                  <c:v>2.9478600000000011E-2</c:v>
                </c:pt>
                <c:pt idx="113">
                  <c:v>2.9478600000000011E-2</c:v>
                </c:pt>
                <c:pt idx="114">
                  <c:v>2.8872599999999998E-2</c:v>
                </c:pt>
                <c:pt idx="115">
                  <c:v>2.8872599999999998E-2</c:v>
                </c:pt>
                <c:pt idx="116">
                  <c:v>2.8872599999999998E-2</c:v>
                </c:pt>
                <c:pt idx="117">
                  <c:v>2.8190399999999997E-2</c:v>
                </c:pt>
                <c:pt idx="118">
                  <c:v>2.8190399999999997E-2</c:v>
                </c:pt>
                <c:pt idx="119">
                  <c:v>2.8190399999999997E-2</c:v>
                </c:pt>
                <c:pt idx="120">
                  <c:v>2.7414000000000011E-2</c:v>
                </c:pt>
                <c:pt idx="121">
                  <c:v>2.7414000000000011E-2</c:v>
                </c:pt>
                <c:pt idx="122">
                  <c:v>2.7414000000000011E-2</c:v>
                </c:pt>
                <c:pt idx="123">
                  <c:v>2.8834100000000012E-2</c:v>
                </c:pt>
                <c:pt idx="124">
                  <c:v>2.8834100000000012E-2</c:v>
                </c:pt>
                <c:pt idx="125">
                  <c:v>2.8834100000000012E-2</c:v>
                </c:pt>
                <c:pt idx="126">
                  <c:v>2.8218900000000002E-2</c:v>
                </c:pt>
                <c:pt idx="127">
                  <c:v>2.8218900000000002E-2</c:v>
                </c:pt>
                <c:pt idx="128">
                  <c:v>2.8218900000000002E-2</c:v>
                </c:pt>
                <c:pt idx="129">
                  <c:v>2.7849300000000098E-2</c:v>
                </c:pt>
                <c:pt idx="130">
                  <c:v>2.7849300000000098E-2</c:v>
                </c:pt>
                <c:pt idx="131">
                  <c:v>2.7849300000000098E-2</c:v>
                </c:pt>
                <c:pt idx="132">
                  <c:v>2.6506100000000001E-2</c:v>
                </c:pt>
                <c:pt idx="133">
                  <c:v>2.6506100000000001E-2</c:v>
                </c:pt>
                <c:pt idx="134">
                  <c:v>2.6828999999999999E-2</c:v>
                </c:pt>
                <c:pt idx="135">
                  <c:v>2.7616600000000002E-2</c:v>
                </c:pt>
                <c:pt idx="136">
                  <c:v>2.7698000000000011E-2</c:v>
                </c:pt>
                <c:pt idx="137">
                  <c:v>2.7616600000000002E-2</c:v>
                </c:pt>
                <c:pt idx="138">
                  <c:v>2.7242599999999999E-2</c:v>
                </c:pt>
                <c:pt idx="139">
                  <c:v>2.7242599999999999E-2</c:v>
                </c:pt>
                <c:pt idx="140">
                  <c:v>2.7242599999999999E-2</c:v>
                </c:pt>
                <c:pt idx="141">
                  <c:v>2.7211100000000054E-2</c:v>
                </c:pt>
                <c:pt idx="142">
                  <c:v>2.7211100000000054E-2</c:v>
                </c:pt>
                <c:pt idx="143">
                  <c:v>2.7211100000000054E-2</c:v>
                </c:pt>
                <c:pt idx="144">
                  <c:v>2.5541000000000012E-2</c:v>
                </c:pt>
                <c:pt idx="145">
                  <c:v>2.5541000000000012E-2</c:v>
                </c:pt>
                <c:pt idx="146">
                  <c:v>2.5541000000000012E-2</c:v>
                </c:pt>
                <c:pt idx="147">
                  <c:v>2.6118800000000001E-2</c:v>
                </c:pt>
                <c:pt idx="148">
                  <c:v>2.6118800000000001E-2</c:v>
                </c:pt>
                <c:pt idx="149">
                  <c:v>2.6118800000000001E-2</c:v>
                </c:pt>
                <c:pt idx="150">
                  <c:v>2.5373600000000045E-2</c:v>
                </c:pt>
                <c:pt idx="151">
                  <c:v>2.5373600000000045E-2</c:v>
                </c:pt>
                <c:pt idx="152">
                  <c:v>2.5373600000000045E-2</c:v>
                </c:pt>
                <c:pt idx="153">
                  <c:v>2.5042100000000012E-2</c:v>
                </c:pt>
                <c:pt idx="154">
                  <c:v>2.5042100000000012E-2</c:v>
                </c:pt>
                <c:pt idx="155">
                  <c:v>2.5042100000000012E-2</c:v>
                </c:pt>
                <c:pt idx="156">
                  <c:v>2.39861E-2</c:v>
                </c:pt>
                <c:pt idx="157">
                  <c:v>2.39861E-2</c:v>
                </c:pt>
                <c:pt idx="158">
                  <c:v>2.39861E-2</c:v>
                </c:pt>
                <c:pt idx="159">
                  <c:v>2.61243E-2</c:v>
                </c:pt>
                <c:pt idx="160">
                  <c:v>2.61243E-2</c:v>
                </c:pt>
                <c:pt idx="161">
                  <c:v>2.61243E-2</c:v>
                </c:pt>
                <c:pt idx="162">
                  <c:v>2.5310200000000001E-2</c:v>
                </c:pt>
                <c:pt idx="163">
                  <c:v>2.5310200000000001E-2</c:v>
                </c:pt>
                <c:pt idx="164">
                  <c:v>2.5310200000000001E-2</c:v>
                </c:pt>
                <c:pt idx="165">
                  <c:v>2.55237E-2</c:v>
                </c:pt>
                <c:pt idx="166">
                  <c:v>2.55237E-2</c:v>
                </c:pt>
                <c:pt idx="167">
                  <c:v>2.55237E-2</c:v>
                </c:pt>
                <c:pt idx="168">
                  <c:v>2.4668300000000001E-2</c:v>
                </c:pt>
                <c:pt idx="169">
                  <c:v>2.4668300000000001E-2</c:v>
                </c:pt>
                <c:pt idx="170">
                  <c:v>2.4668300000000001E-2</c:v>
                </c:pt>
                <c:pt idx="171">
                  <c:v>2.6654000000000011E-2</c:v>
                </c:pt>
                <c:pt idx="172">
                  <c:v>2.665940000000001E-2</c:v>
                </c:pt>
                <c:pt idx="173">
                  <c:v>2.6654000000000011E-2</c:v>
                </c:pt>
                <c:pt idx="174">
                  <c:v>2.6402200000000049E-2</c:v>
                </c:pt>
                <c:pt idx="175">
                  <c:v>2.6402200000000049E-2</c:v>
                </c:pt>
                <c:pt idx="176">
                  <c:v>2.6402200000000049E-2</c:v>
                </c:pt>
                <c:pt idx="177">
                  <c:v>2.65384E-2</c:v>
                </c:pt>
                <c:pt idx="178">
                  <c:v>2.65384E-2</c:v>
                </c:pt>
                <c:pt idx="179">
                  <c:v>2.65384E-2</c:v>
                </c:pt>
                <c:pt idx="180">
                  <c:v>2.4993300000000006E-2</c:v>
                </c:pt>
                <c:pt idx="181">
                  <c:v>2.4993300000000006E-2</c:v>
                </c:pt>
                <c:pt idx="182">
                  <c:v>2.4993300000000006E-2</c:v>
                </c:pt>
                <c:pt idx="183">
                  <c:v>2.6109799999999999E-2</c:v>
                </c:pt>
                <c:pt idx="184">
                  <c:v>2.6109799999999999E-2</c:v>
                </c:pt>
                <c:pt idx="185">
                  <c:v>2.6109799999999999E-2</c:v>
                </c:pt>
                <c:pt idx="186">
                  <c:v>2.5935400000000001E-2</c:v>
                </c:pt>
                <c:pt idx="187">
                  <c:v>2.5935400000000001E-2</c:v>
                </c:pt>
                <c:pt idx="188">
                  <c:v>2.5935400000000001E-2</c:v>
                </c:pt>
                <c:pt idx="189">
                  <c:v>2.5636900000000049E-2</c:v>
                </c:pt>
                <c:pt idx="190">
                  <c:v>2.5636900000000049E-2</c:v>
                </c:pt>
                <c:pt idx="191">
                  <c:v>2.5636900000000049E-2</c:v>
                </c:pt>
                <c:pt idx="192">
                  <c:v>2.5204400000000002E-2</c:v>
                </c:pt>
                <c:pt idx="193">
                  <c:v>2.5204400000000002E-2</c:v>
                </c:pt>
                <c:pt idx="194">
                  <c:v>2.5204400000000002E-2</c:v>
                </c:pt>
                <c:pt idx="195">
                  <c:v>2.6847200000000074E-2</c:v>
                </c:pt>
                <c:pt idx="196">
                  <c:v>2.6847200000000074E-2</c:v>
                </c:pt>
                <c:pt idx="197">
                  <c:v>2.6847200000000074E-2</c:v>
                </c:pt>
                <c:pt idx="198">
                  <c:v>2.6032200000000054E-2</c:v>
                </c:pt>
                <c:pt idx="199">
                  <c:v>2.6032200000000054E-2</c:v>
                </c:pt>
                <c:pt idx="200">
                  <c:v>2.6033600000000063E-2</c:v>
                </c:pt>
                <c:pt idx="201">
                  <c:v>2.619030000000001E-2</c:v>
                </c:pt>
                <c:pt idx="202">
                  <c:v>2.619030000000001E-2</c:v>
                </c:pt>
                <c:pt idx="203">
                  <c:v>2.619030000000001E-2</c:v>
                </c:pt>
                <c:pt idx="204">
                  <c:v>2.4366699999999967E-2</c:v>
                </c:pt>
                <c:pt idx="205">
                  <c:v>2.4536300000000011E-2</c:v>
                </c:pt>
                <c:pt idx="206">
                  <c:v>2.4536300000000011E-2</c:v>
                </c:pt>
                <c:pt idx="207">
                  <c:v>2.7464599999999999E-2</c:v>
                </c:pt>
                <c:pt idx="208">
                  <c:v>2.7464599999999999E-2</c:v>
                </c:pt>
                <c:pt idx="209">
                  <c:v>2.7464599999999999E-2</c:v>
                </c:pt>
                <c:pt idx="210">
                  <c:v>2.7004500000000011E-2</c:v>
                </c:pt>
                <c:pt idx="211">
                  <c:v>2.7004500000000011E-2</c:v>
                </c:pt>
                <c:pt idx="212">
                  <c:v>2.7004500000000011E-2</c:v>
                </c:pt>
                <c:pt idx="213">
                  <c:v>2.7097200000000054E-2</c:v>
                </c:pt>
                <c:pt idx="214">
                  <c:v>2.7097200000000054E-2</c:v>
                </c:pt>
                <c:pt idx="215">
                  <c:v>2.7097200000000054E-2</c:v>
                </c:pt>
                <c:pt idx="216">
                  <c:v>2.6035600000000058E-2</c:v>
                </c:pt>
                <c:pt idx="217">
                  <c:v>2.6035600000000058E-2</c:v>
                </c:pt>
                <c:pt idx="218">
                  <c:v>2.6035600000000058E-2</c:v>
                </c:pt>
                <c:pt idx="219">
                  <c:v>2.7582900000000049E-2</c:v>
                </c:pt>
                <c:pt idx="220">
                  <c:v>2.7582900000000049E-2</c:v>
                </c:pt>
                <c:pt idx="221">
                  <c:v>2.7582900000000049E-2</c:v>
                </c:pt>
                <c:pt idx="222">
                  <c:v>2.9611400000000006E-2</c:v>
                </c:pt>
                <c:pt idx="223">
                  <c:v>2.9611400000000006E-2</c:v>
                </c:pt>
                <c:pt idx="224">
                  <c:v>2.9611400000000006E-2</c:v>
                </c:pt>
                <c:pt idx="225">
                  <c:v>2.9300399999999997E-2</c:v>
                </c:pt>
                <c:pt idx="226">
                  <c:v>2.9300399999999997E-2</c:v>
                </c:pt>
                <c:pt idx="227">
                  <c:v>2.9300399999999997E-2</c:v>
                </c:pt>
                <c:pt idx="228">
                  <c:v>2.7747600000000046E-2</c:v>
                </c:pt>
                <c:pt idx="229">
                  <c:v>2.7747600000000046E-2</c:v>
                </c:pt>
                <c:pt idx="230">
                  <c:v>2.7747600000000046E-2</c:v>
                </c:pt>
                <c:pt idx="231">
                  <c:v>3.0118800000000001E-2</c:v>
                </c:pt>
                <c:pt idx="232">
                  <c:v>3.0118800000000001E-2</c:v>
                </c:pt>
                <c:pt idx="233">
                  <c:v>3.0118800000000001E-2</c:v>
                </c:pt>
                <c:pt idx="234">
                  <c:v>2.9291500000000002E-2</c:v>
                </c:pt>
                <c:pt idx="235">
                  <c:v>2.9291500000000002E-2</c:v>
                </c:pt>
                <c:pt idx="236">
                  <c:v>2.9291500000000002E-2</c:v>
                </c:pt>
                <c:pt idx="237">
                  <c:v>2.920070000000001E-2</c:v>
                </c:pt>
                <c:pt idx="238">
                  <c:v>2.920070000000001E-2</c:v>
                </c:pt>
                <c:pt idx="239">
                  <c:v>2.920070000000001E-2</c:v>
                </c:pt>
                <c:pt idx="240">
                  <c:v>2.5015900000000049E-2</c:v>
                </c:pt>
                <c:pt idx="241">
                  <c:v>2.5015900000000049E-2</c:v>
                </c:pt>
                <c:pt idx="242">
                  <c:v>2.5015900000000049E-2</c:v>
                </c:pt>
                <c:pt idx="243">
                  <c:v>2.7611400000000043E-2</c:v>
                </c:pt>
                <c:pt idx="244">
                  <c:v>2.7609800000000073E-2</c:v>
                </c:pt>
                <c:pt idx="245">
                  <c:v>2.7609800000000073E-2</c:v>
                </c:pt>
                <c:pt idx="246">
                  <c:v>2.7176900000000049E-2</c:v>
                </c:pt>
                <c:pt idx="247">
                  <c:v>2.7178500000000001E-2</c:v>
                </c:pt>
                <c:pt idx="248">
                  <c:v>2.7178500000000001E-2</c:v>
                </c:pt>
                <c:pt idx="249">
                  <c:v>2.7456299999999999E-2</c:v>
                </c:pt>
                <c:pt idx="250">
                  <c:v>2.7456299999999999E-2</c:v>
                </c:pt>
                <c:pt idx="251">
                  <c:v>2.7456299999999999E-2</c:v>
                </c:pt>
                <c:pt idx="252">
                  <c:v>2.6075700000000066E-2</c:v>
                </c:pt>
                <c:pt idx="253">
                  <c:v>2.6075700000000066E-2</c:v>
                </c:pt>
                <c:pt idx="254">
                  <c:v>2.6075700000000066E-2</c:v>
                </c:pt>
                <c:pt idx="255">
                  <c:v>3.0846800000000046E-2</c:v>
                </c:pt>
                <c:pt idx="256">
                  <c:v>3.0845000000000056E-2</c:v>
                </c:pt>
                <c:pt idx="257">
                  <c:v>3.0845000000000056E-2</c:v>
                </c:pt>
                <c:pt idx="258">
                  <c:v>3.053180000000005E-2</c:v>
                </c:pt>
                <c:pt idx="259">
                  <c:v>3.0531700000000012E-2</c:v>
                </c:pt>
                <c:pt idx="260">
                  <c:v>3.0531700000000012E-2</c:v>
                </c:pt>
                <c:pt idx="261">
                  <c:v>3.3466599999999978E-2</c:v>
                </c:pt>
                <c:pt idx="262">
                  <c:v>3.3466500000000003E-2</c:v>
                </c:pt>
                <c:pt idx="263">
                  <c:v>3.3466500000000003E-2</c:v>
                </c:pt>
                <c:pt idx="264">
                  <c:v>3.2043300000000087E-2</c:v>
                </c:pt>
                <c:pt idx="265">
                  <c:v>3.2045200000000086E-2</c:v>
                </c:pt>
                <c:pt idx="266">
                  <c:v>3.2045200000000086E-2</c:v>
                </c:pt>
                <c:pt idx="267">
                  <c:v>3.4492500000000002E-2</c:v>
                </c:pt>
                <c:pt idx="268">
                  <c:v>3.4490199999999999E-2</c:v>
                </c:pt>
                <c:pt idx="269">
                  <c:v>3.4490199999999999E-2</c:v>
                </c:pt>
                <c:pt idx="270">
                  <c:v>3.36201E-2</c:v>
                </c:pt>
                <c:pt idx="271">
                  <c:v>3.36201E-2</c:v>
                </c:pt>
                <c:pt idx="272">
                  <c:v>3.36201E-2</c:v>
                </c:pt>
                <c:pt idx="273">
                  <c:v>3.3239999999999999E-2</c:v>
                </c:pt>
                <c:pt idx="274">
                  <c:v>3.3239999999999999E-2</c:v>
                </c:pt>
                <c:pt idx="275">
                  <c:v>3.3239999999999999E-2</c:v>
                </c:pt>
                <c:pt idx="276">
                  <c:v>3.3316100000000001E-2</c:v>
                </c:pt>
                <c:pt idx="277">
                  <c:v>3.3318199999999978E-2</c:v>
                </c:pt>
                <c:pt idx="278">
                  <c:v>3.3318199999999978E-2</c:v>
                </c:pt>
                <c:pt idx="279">
                  <c:v>3.6038500000000001E-2</c:v>
                </c:pt>
                <c:pt idx="280">
                  <c:v>3.6036100000000071E-2</c:v>
                </c:pt>
                <c:pt idx="281">
                  <c:v>3.6036100000000071E-2</c:v>
                </c:pt>
                <c:pt idx="282">
                  <c:v>3.5999200000000002E-2</c:v>
                </c:pt>
                <c:pt idx="283">
                  <c:v>3.5999200000000002E-2</c:v>
                </c:pt>
                <c:pt idx="284">
                  <c:v>3.5999200000000002E-2</c:v>
                </c:pt>
                <c:pt idx="285">
                  <c:v>3.519230000000001E-2</c:v>
                </c:pt>
                <c:pt idx="286">
                  <c:v>3.51922E-2</c:v>
                </c:pt>
                <c:pt idx="287">
                  <c:v>3.51922E-2</c:v>
                </c:pt>
                <c:pt idx="288">
                  <c:v>3.4443900000000076E-2</c:v>
                </c:pt>
                <c:pt idx="289">
                  <c:v>3.4443800000000052E-2</c:v>
                </c:pt>
                <c:pt idx="290">
                  <c:v>3.4443800000000052E-2</c:v>
                </c:pt>
                <c:pt idx="291">
                  <c:v>3.9745799999999998E-2</c:v>
                </c:pt>
                <c:pt idx="292">
                  <c:v>3.9745700000000002E-2</c:v>
                </c:pt>
                <c:pt idx="293">
                  <c:v>3.9745700000000002E-2</c:v>
                </c:pt>
                <c:pt idx="294">
                  <c:v>3.8714999999999999E-2</c:v>
                </c:pt>
                <c:pt idx="295">
                  <c:v>3.8714899999999997E-2</c:v>
                </c:pt>
                <c:pt idx="296">
                  <c:v>3.8714899999999997E-2</c:v>
                </c:pt>
                <c:pt idx="297">
                  <c:v>4.9059400000000024E-2</c:v>
                </c:pt>
                <c:pt idx="298">
                  <c:v>4.9059400000000024E-2</c:v>
                </c:pt>
                <c:pt idx="299">
                  <c:v>4.9059400000000024E-2</c:v>
                </c:pt>
                <c:pt idx="300">
                  <c:v>4.65777E-2</c:v>
                </c:pt>
                <c:pt idx="301">
                  <c:v>4.65777E-2</c:v>
                </c:pt>
                <c:pt idx="302">
                  <c:v>4.65777E-2</c:v>
                </c:pt>
                <c:pt idx="303">
                  <c:v>5.1404600000000022E-2</c:v>
                </c:pt>
                <c:pt idx="304">
                  <c:v>5.1448000000000001E-2</c:v>
                </c:pt>
                <c:pt idx="305">
                  <c:v>5.1399500000000001E-2</c:v>
                </c:pt>
                <c:pt idx="306">
                  <c:v>5.0193600000000116E-2</c:v>
                </c:pt>
                <c:pt idx="307">
                  <c:v>5.0193800000000004E-2</c:v>
                </c:pt>
                <c:pt idx="308">
                  <c:v>5.0193800000000004E-2</c:v>
                </c:pt>
                <c:pt idx="309">
                  <c:v>4.8979099999999977E-2</c:v>
                </c:pt>
                <c:pt idx="310">
                  <c:v>4.8979099999999977E-2</c:v>
                </c:pt>
                <c:pt idx="311">
                  <c:v>4.8979099999999977E-2</c:v>
                </c:pt>
                <c:pt idx="312">
                  <c:v>4.6910199999999999E-2</c:v>
                </c:pt>
                <c:pt idx="313">
                  <c:v>4.8437399999999999E-2</c:v>
                </c:pt>
                <c:pt idx="314">
                  <c:v>4.8437399999999999E-2</c:v>
                </c:pt>
                <c:pt idx="315">
                  <c:v>5.2868500000000034E-2</c:v>
                </c:pt>
                <c:pt idx="316">
                  <c:v>5.2868500000000034E-2</c:v>
                </c:pt>
                <c:pt idx="317">
                  <c:v>5.2868500000000034E-2</c:v>
                </c:pt>
                <c:pt idx="318">
                  <c:v>5.2946500000000014E-2</c:v>
                </c:pt>
                <c:pt idx="319">
                  <c:v>5.2946399999999998E-2</c:v>
                </c:pt>
                <c:pt idx="320">
                  <c:v>5.2946399999999998E-2</c:v>
                </c:pt>
                <c:pt idx="321">
                  <c:v>5.2413900000000131E-2</c:v>
                </c:pt>
                <c:pt idx="322">
                  <c:v>5.2413900000000131E-2</c:v>
                </c:pt>
                <c:pt idx="323">
                  <c:v>5.2413900000000131E-2</c:v>
                </c:pt>
                <c:pt idx="324">
                  <c:v>5.9242700000000023E-2</c:v>
                </c:pt>
                <c:pt idx="325">
                  <c:v>5.9242700000000023E-2</c:v>
                </c:pt>
                <c:pt idx="326">
                  <c:v>6.0992900000000128E-2</c:v>
                </c:pt>
                <c:pt idx="327">
                  <c:v>6.1191200000000001E-2</c:v>
                </c:pt>
                <c:pt idx="328">
                  <c:v>6.1190899999999999E-2</c:v>
                </c:pt>
                <c:pt idx="329">
                  <c:v>6.1190899999999999E-2</c:v>
                </c:pt>
                <c:pt idx="330">
                  <c:v>6.10073E-2</c:v>
                </c:pt>
                <c:pt idx="331">
                  <c:v>6.10073E-2</c:v>
                </c:pt>
                <c:pt idx="332">
                  <c:v>6.10073E-2</c:v>
                </c:pt>
                <c:pt idx="333">
                  <c:v>6.3655199999999995E-2</c:v>
                </c:pt>
                <c:pt idx="334">
                  <c:v>6.3655000000000003E-2</c:v>
                </c:pt>
                <c:pt idx="335">
                  <c:v>6.3655000000000003E-2</c:v>
                </c:pt>
                <c:pt idx="336">
                  <c:v>5.8391100000000001E-2</c:v>
                </c:pt>
                <c:pt idx="337">
                  <c:v>5.8391100000000001E-2</c:v>
                </c:pt>
                <c:pt idx="338">
                  <c:v>5.8391100000000001E-2</c:v>
                </c:pt>
                <c:pt idx="339">
                  <c:v>5.9406400000000158E-2</c:v>
                </c:pt>
                <c:pt idx="340">
                  <c:v>5.9406400000000158E-2</c:v>
                </c:pt>
                <c:pt idx="341">
                  <c:v>5.9406400000000158E-2</c:v>
                </c:pt>
                <c:pt idx="342">
                  <c:v>5.9669199999999999E-2</c:v>
                </c:pt>
                <c:pt idx="343">
                  <c:v>5.9669000000000014E-2</c:v>
                </c:pt>
                <c:pt idx="344">
                  <c:v>5.9669000000000014E-2</c:v>
                </c:pt>
                <c:pt idx="345">
                  <c:v>5.8841799999999986E-2</c:v>
                </c:pt>
                <c:pt idx="346">
                  <c:v>5.8841699999999997E-2</c:v>
                </c:pt>
                <c:pt idx="347">
                  <c:v>5.8841699999999997E-2</c:v>
                </c:pt>
                <c:pt idx="348">
                  <c:v>5.8157E-2</c:v>
                </c:pt>
                <c:pt idx="349">
                  <c:v>5.8157E-2</c:v>
                </c:pt>
                <c:pt idx="350">
                  <c:v>5.8157E-2</c:v>
                </c:pt>
                <c:pt idx="351">
                  <c:v>5.8266700000000032E-2</c:v>
                </c:pt>
                <c:pt idx="352">
                  <c:v>5.8266400000000024E-2</c:v>
                </c:pt>
                <c:pt idx="353">
                  <c:v>5.8266400000000024E-2</c:v>
                </c:pt>
                <c:pt idx="354">
                  <c:v>6.0393400000000153E-2</c:v>
                </c:pt>
                <c:pt idx="355">
                  <c:v>6.0393300000000108E-2</c:v>
                </c:pt>
                <c:pt idx="356">
                  <c:v>6.0393300000000108E-2</c:v>
                </c:pt>
                <c:pt idx="357">
                  <c:v>5.9132700000000121E-2</c:v>
                </c:pt>
                <c:pt idx="358">
                  <c:v>5.9132600000000153E-2</c:v>
                </c:pt>
                <c:pt idx="359">
                  <c:v>5.9132600000000153E-2</c:v>
                </c:pt>
                <c:pt idx="360">
                  <c:v>5.7753400000000128E-2</c:v>
                </c:pt>
                <c:pt idx="361">
                  <c:v>5.7753500000000034E-2</c:v>
                </c:pt>
                <c:pt idx="362">
                  <c:v>5.7753500000000034E-2</c:v>
                </c:pt>
                <c:pt idx="363">
                  <c:v>7.2749099999999997E-2</c:v>
                </c:pt>
                <c:pt idx="364">
                  <c:v>7.2748999999999994E-2</c:v>
                </c:pt>
                <c:pt idx="365">
                  <c:v>7.2748999999999994E-2</c:v>
                </c:pt>
                <c:pt idx="366">
                  <c:v>8.0016600000000021E-2</c:v>
                </c:pt>
                <c:pt idx="367">
                  <c:v>8.0016400000000043E-2</c:v>
                </c:pt>
                <c:pt idx="368">
                  <c:v>8.0016400000000043E-2</c:v>
                </c:pt>
                <c:pt idx="369">
                  <c:v>8.9526400000000311E-2</c:v>
                </c:pt>
                <c:pt idx="370">
                  <c:v>8.952620000000025E-2</c:v>
                </c:pt>
                <c:pt idx="371">
                  <c:v>8.952620000000025E-2</c:v>
                </c:pt>
                <c:pt idx="372">
                  <c:v>8.7597600000000025E-2</c:v>
                </c:pt>
                <c:pt idx="373">
                  <c:v>8.7597600000000025E-2</c:v>
                </c:pt>
                <c:pt idx="374">
                  <c:v>8.7604500000000168E-2</c:v>
                </c:pt>
                <c:pt idx="375">
                  <c:v>9.4493300000000002E-2</c:v>
                </c:pt>
                <c:pt idx="376">
                  <c:v>9.449310000000001E-2</c:v>
                </c:pt>
                <c:pt idx="377">
                  <c:v>9.449310000000001E-2</c:v>
                </c:pt>
                <c:pt idx="378">
                  <c:v>9.2225900000000027E-2</c:v>
                </c:pt>
                <c:pt idx="379">
                  <c:v>9.2225800000000066E-2</c:v>
                </c:pt>
                <c:pt idx="380">
                  <c:v>9.2225800000000066E-2</c:v>
                </c:pt>
                <c:pt idx="381">
                  <c:v>9.2405200000000007E-2</c:v>
                </c:pt>
                <c:pt idx="382">
                  <c:v>9.2405200000000007E-2</c:v>
                </c:pt>
                <c:pt idx="383">
                  <c:v>9.2405200000000007E-2</c:v>
                </c:pt>
                <c:pt idx="384">
                  <c:v>9.1621200000000028E-2</c:v>
                </c:pt>
                <c:pt idx="385">
                  <c:v>9.1621200000000028E-2</c:v>
                </c:pt>
                <c:pt idx="386">
                  <c:v>9.1658600000000007E-2</c:v>
                </c:pt>
                <c:pt idx="387">
                  <c:v>9.9228800000000228E-2</c:v>
                </c:pt>
                <c:pt idx="388">
                  <c:v>9.9228600000000028E-2</c:v>
                </c:pt>
                <c:pt idx="389">
                  <c:v>9.9228600000000028E-2</c:v>
                </c:pt>
                <c:pt idx="390">
                  <c:v>0.10041520000000002</c:v>
                </c:pt>
                <c:pt idx="391">
                  <c:v>0.10041520000000002</c:v>
                </c:pt>
                <c:pt idx="392">
                  <c:v>0.10041520000000002</c:v>
                </c:pt>
                <c:pt idx="393">
                  <c:v>9.9665400000000279E-2</c:v>
                </c:pt>
                <c:pt idx="394">
                  <c:v>9.9665500000000254E-2</c:v>
                </c:pt>
                <c:pt idx="395">
                  <c:v>9.9665500000000254E-2</c:v>
                </c:pt>
                <c:pt idx="396">
                  <c:v>9.7688200000000031E-2</c:v>
                </c:pt>
                <c:pt idx="397">
                  <c:v>9.7688300000000006E-2</c:v>
                </c:pt>
                <c:pt idx="398">
                  <c:v>9.7701800000000005E-2</c:v>
                </c:pt>
                <c:pt idx="399">
                  <c:v>0.10626919999999999</c:v>
                </c:pt>
                <c:pt idx="400">
                  <c:v>0.10626910000000017</c:v>
                </c:pt>
                <c:pt idx="401">
                  <c:v>0.10626910000000017</c:v>
                </c:pt>
                <c:pt idx="402">
                  <c:v>0.10640239999999998</c:v>
                </c:pt>
                <c:pt idx="403">
                  <c:v>0.10640239999999998</c:v>
                </c:pt>
                <c:pt idx="404">
                  <c:v>0.10640239999999998</c:v>
                </c:pt>
                <c:pt idx="405">
                  <c:v>0.10390310000000012</c:v>
                </c:pt>
                <c:pt idx="406">
                  <c:v>0.10390320000000014</c:v>
                </c:pt>
                <c:pt idx="407">
                  <c:v>0.10390320000000014</c:v>
                </c:pt>
                <c:pt idx="408">
                  <c:v>0.10736540000000012</c:v>
                </c:pt>
                <c:pt idx="409">
                  <c:v>0.10738449999999998</c:v>
                </c:pt>
                <c:pt idx="410">
                  <c:v>0.10738449999999998</c:v>
                </c:pt>
                <c:pt idx="411">
                  <c:v>0.1301224</c:v>
                </c:pt>
                <c:pt idx="412">
                  <c:v>0.1301223</c:v>
                </c:pt>
                <c:pt idx="413">
                  <c:v>0.1301223</c:v>
                </c:pt>
                <c:pt idx="414">
                  <c:v>0.13298599999999999</c:v>
                </c:pt>
                <c:pt idx="415">
                  <c:v>0.1329862000000003</c:v>
                </c:pt>
                <c:pt idx="416">
                  <c:v>0.13303690000000001</c:v>
                </c:pt>
                <c:pt idx="417">
                  <c:v>0.1456008</c:v>
                </c:pt>
                <c:pt idx="418">
                  <c:v>0.1456008</c:v>
                </c:pt>
                <c:pt idx="419">
                  <c:v>0.1456008</c:v>
                </c:pt>
                <c:pt idx="420">
                  <c:v>0.13671790000000031</c:v>
                </c:pt>
                <c:pt idx="421">
                  <c:v>0.13912630000000001</c:v>
                </c:pt>
                <c:pt idx="422">
                  <c:v>0.13912630000000001</c:v>
                </c:pt>
                <c:pt idx="423">
                  <c:v>0.1591746</c:v>
                </c:pt>
                <c:pt idx="424">
                  <c:v>0.15917439999999999</c:v>
                </c:pt>
                <c:pt idx="425">
                  <c:v>0.15917439999999999</c:v>
                </c:pt>
                <c:pt idx="426">
                  <c:v>0.1501015</c:v>
                </c:pt>
                <c:pt idx="427">
                  <c:v>0.1501016</c:v>
                </c:pt>
                <c:pt idx="428">
                  <c:v>0.1501016</c:v>
                </c:pt>
                <c:pt idx="429">
                  <c:v>0.16038379999999997</c:v>
                </c:pt>
                <c:pt idx="430">
                  <c:v>0.16038369999999988</c:v>
                </c:pt>
                <c:pt idx="431">
                  <c:v>0.16038369999999988</c:v>
                </c:pt>
                <c:pt idx="432">
                  <c:v>0.15782760000000001</c:v>
                </c:pt>
                <c:pt idx="433">
                  <c:v>0.15782779999999999</c:v>
                </c:pt>
                <c:pt idx="434">
                  <c:v>0.15783200000000031</c:v>
                </c:pt>
                <c:pt idx="435">
                  <c:v>0.15510409999999999</c:v>
                </c:pt>
                <c:pt idx="436">
                  <c:v>0.15510370000000001</c:v>
                </c:pt>
                <c:pt idx="437">
                  <c:v>0.15510370000000001</c:v>
                </c:pt>
                <c:pt idx="438">
                  <c:v>0.15236859999999999</c:v>
                </c:pt>
                <c:pt idx="439">
                  <c:v>0.15236870000000027</c:v>
                </c:pt>
                <c:pt idx="440">
                  <c:v>0.15236870000000027</c:v>
                </c:pt>
                <c:pt idx="441">
                  <c:v>0.15305569999999999</c:v>
                </c:pt>
                <c:pt idx="442">
                  <c:v>0.15305589999999999</c:v>
                </c:pt>
                <c:pt idx="443">
                  <c:v>0.15305589999999999</c:v>
                </c:pt>
                <c:pt idx="444">
                  <c:v>0.15095080000000027</c:v>
                </c:pt>
                <c:pt idx="445">
                  <c:v>0.15107290000000001</c:v>
                </c:pt>
                <c:pt idx="446">
                  <c:v>0.15107290000000001</c:v>
                </c:pt>
                <c:pt idx="447">
                  <c:v>0.15452270000000001</c:v>
                </c:pt>
                <c:pt idx="448">
                  <c:v>0.15452270000000001</c:v>
                </c:pt>
                <c:pt idx="449">
                  <c:v>0.15452270000000001</c:v>
                </c:pt>
                <c:pt idx="450">
                  <c:v>0.15194420000000058</c:v>
                </c:pt>
                <c:pt idx="451">
                  <c:v>0.15194410000000053</c:v>
                </c:pt>
                <c:pt idx="452">
                  <c:v>0.15194410000000053</c:v>
                </c:pt>
                <c:pt idx="453">
                  <c:v>0.14924740000000059</c:v>
                </c:pt>
                <c:pt idx="454">
                  <c:v>0.14924730000000058</c:v>
                </c:pt>
                <c:pt idx="455">
                  <c:v>0.14924730000000058</c:v>
                </c:pt>
                <c:pt idx="456">
                  <c:v>0.14546360000000028</c:v>
                </c:pt>
                <c:pt idx="457">
                  <c:v>0.14546370000000031</c:v>
                </c:pt>
                <c:pt idx="458">
                  <c:v>0.14547860000000001</c:v>
                </c:pt>
                <c:pt idx="459">
                  <c:v>0.1486005</c:v>
                </c:pt>
                <c:pt idx="460">
                  <c:v>0.1486085</c:v>
                </c:pt>
                <c:pt idx="461">
                  <c:v>0.14862130000000001</c:v>
                </c:pt>
                <c:pt idx="462">
                  <c:v>0.14575250000000001</c:v>
                </c:pt>
                <c:pt idx="463">
                  <c:v>0.14576340000000043</c:v>
                </c:pt>
                <c:pt idx="464">
                  <c:v>0.14576340000000043</c:v>
                </c:pt>
                <c:pt idx="465">
                  <c:v>0.1456055</c:v>
                </c:pt>
                <c:pt idx="466">
                  <c:v>0.1456055</c:v>
                </c:pt>
                <c:pt idx="467">
                  <c:v>0.1456055</c:v>
                </c:pt>
                <c:pt idx="468">
                  <c:v>0.14419209999999999</c:v>
                </c:pt>
                <c:pt idx="469">
                  <c:v>0.14419209999999999</c:v>
                </c:pt>
                <c:pt idx="470">
                  <c:v>0.14419209999999999</c:v>
                </c:pt>
                <c:pt idx="471">
                  <c:v>0.14570440000000043</c:v>
                </c:pt>
                <c:pt idx="472">
                  <c:v>0.14570440000000043</c:v>
                </c:pt>
                <c:pt idx="473">
                  <c:v>0.14570440000000043</c:v>
                </c:pt>
                <c:pt idx="474">
                  <c:v>0.14464569999999999</c:v>
                </c:pt>
                <c:pt idx="475">
                  <c:v>0.14464569999999999</c:v>
                </c:pt>
                <c:pt idx="476">
                  <c:v>0.14464569999999999</c:v>
                </c:pt>
                <c:pt idx="477">
                  <c:v>0.14404270000000027</c:v>
                </c:pt>
                <c:pt idx="478">
                  <c:v>0.14404270000000027</c:v>
                </c:pt>
                <c:pt idx="479">
                  <c:v>0.14404270000000027</c:v>
                </c:pt>
                <c:pt idx="480">
                  <c:v>0.1401097</c:v>
                </c:pt>
                <c:pt idx="481">
                  <c:v>0.1401097</c:v>
                </c:pt>
                <c:pt idx="482">
                  <c:v>0.14018900000000001</c:v>
                </c:pt>
              </c:numCache>
            </c:numRef>
          </c:val>
        </c:ser>
        <c:axId val="203090176"/>
        <c:axId val="203362688"/>
      </c:barChart>
      <c:catAx>
        <c:axId val="203090176"/>
        <c:scaling>
          <c:orientation val="minMax"/>
        </c:scaling>
        <c:axPos val="b"/>
        <c:title>
          <c:tx>
            <c:rich>
              <a:bodyPr/>
              <a:lstStyle/>
              <a:p>
                <a:pPr>
                  <a:defRPr/>
                </a:pPr>
                <a:r>
                  <a:rPr lang="en-US"/>
                  <a:t>Year</a:t>
                </a:r>
              </a:p>
            </c:rich>
          </c:tx>
        </c:title>
        <c:numFmt formatCode="General" sourceLinked="1"/>
        <c:majorTickMark val="none"/>
        <c:tickLblPos val="nextTo"/>
        <c:crossAx val="203362688"/>
        <c:crosses val="autoZero"/>
        <c:auto val="1"/>
        <c:lblAlgn val="ctr"/>
        <c:lblOffset val="100"/>
        <c:tickLblSkip val="24"/>
        <c:tickMarkSkip val="24"/>
      </c:catAx>
      <c:valAx>
        <c:axId val="203362688"/>
        <c:scaling>
          <c:orientation val="minMax"/>
        </c:scaling>
        <c:axPos val="l"/>
        <c:majorGridlines/>
        <c:title>
          <c:tx>
            <c:rich>
              <a:bodyPr/>
              <a:lstStyle/>
              <a:p>
                <a:pPr>
                  <a:defRPr/>
                </a:pPr>
                <a:r>
                  <a:rPr lang="en-US"/>
                  <a:t>Herfindahl</a:t>
                </a:r>
              </a:p>
            </c:rich>
          </c:tx>
        </c:title>
        <c:numFmt formatCode="0.000" sourceLinked="1"/>
        <c:majorTickMark val="none"/>
        <c:tickLblPos val="nextTo"/>
        <c:crossAx val="203090176"/>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E49D4-89C3-4EA5-8A61-5CDC7A4A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7950</Words>
  <Characters>45318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53162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Howe</dc:creator>
  <cp:lastModifiedBy>Kaneeb</cp:lastModifiedBy>
  <cp:revision>2</cp:revision>
  <cp:lastPrinted>2016-05-04T16:01:00Z</cp:lastPrinted>
  <dcterms:created xsi:type="dcterms:W3CDTF">2017-11-06T20:33:00Z</dcterms:created>
  <dcterms:modified xsi:type="dcterms:W3CDTF">2017-11-06T20:33:00Z</dcterms:modified>
</cp:coreProperties>
</file>