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85B8A" w14:textId="77777777" w:rsidR="009D6F9B" w:rsidRDefault="009D6F9B" w:rsidP="007E4246">
      <w:pPr>
        <w:tabs>
          <w:tab w:val="left" w:pos="1360"/>
        </w:tabs>
        <w:spacing w:after="0" w:line="240" w:lineRule="auto"/>
        <w:ind w:right="159"/>
        <w:jc w:val="center"/>
        <w:rPr>
          <w:rFonts w:ascii="Times New Roman" w:hAnsi="Times New Roman" w:cs="Times New Roman"/>
          <w:b/>
          <w:sz w:val="28"/>
          <w:szCs w:val="28"/>
        </w:rPr>
      </w:pPr>
    </w:p>
    <w:p w14:paraId="498B6B04" w14:textId="0397D162" w:rsidR="000F59F3" w:rsidRPr="007E4246" w:rsidRDefault="00B23F33" w:rsidP="000E2E66">
      <w:pPr>
        <w:tabs>
          <w:tab w:val="left" w:pos="1360"/>
        </w:tabs>
        <w:spacing w:after="0" w:line="240" w:lineRule="auto"/>
        <w:ind w:right="159"/>
        <w:rPr>
          <w:rFonts w:ascii="Times New Roman" w:hAnsi="Times New Roman" w:cs="Times New Roman"/>
          <w:b/>
          <w:sz w:val="28"/>
          <w:szCs w:val="28"/>
        </w:rPr>
      </w:pPr>
      <w:r w:rsidRPr="007E4246">
        <w:rPr>
          <w:rFonts w:ascii="Times New Roman" w:hAnsi="Times New Roman" w:cs="Times New Roman"/>
          <w:b/>
          <w:sz w:val="28"/>
          <w:szCs w:val="28"/>
        </w:rPr>
        <w:t>Coase &amp; the Platform Economy</w:t>
      </w:r>
    </w:p>
    <w:p w14:paraId="0829992C" w14:textId="1B75BE85" w:rsidR="000F59F3" w:rsidRPr="007E4246" w:rsidRDefault="000F59F3" w:rsidP="000E2E66">
      <w:pPr>
        <w:tabs>
          <w:tab w:val="left" w:pos="1360"/>
        </w:tabs>
        <w:spacing w:after="0" w:line="240" w:lineRule="auto"/>
        <w:ind w:right="159"/>
        <w:rPr>
          <w:rFonts w:ascii="Times New Roman" w:hAnsi="Times New Roman" w:cs="Times New Roman"/>
          <w:i/>
          <w:sz w:val="24"/>
          <w:szCs w:val="24"/>
        </w:rPr>
      </w:pPr>
      <w:r w:rsidRPr="007E4246">
        <w:rPr>
          <w:rFonts w:ascii="Times New Roman" w:hAnsi="Times New Roman" w:cs="Times New Roman"/>
          <w:i/>
          <w:sz w:val="24"/>
          <w:szCs w:val="24"/>
        </w:rPr>
        <w:t>Orly Lobel</w:t>
      </w:r>
    </w:p>
    <w:p w14:paraId="7AA3E3E1" w14:textId="696B2461" w:rsidR="00B23F33" w:rsidRPr="007E4246" w:rsidRDefault="00B23F33" w:rsidP="007E4246">
      <w:pPr>
        <w:pStyle w:val="BodyText"/>
        <w:ind w:firstLine="720"/>
        <w:rPr>
          <w:rFonts w:ascii="Times New Roman" w:hAnsi="Times New Roman" w:cs="Times New Roman"/>
        </w:rPr>
      </w:pPr>
    </w:p>
    <w:p w14:paraId="0FD70DE4" w14:textId="7674DC45" w:rsidR="00927475" w:rsidRDefault="00927475" w:rsidP="007E4246">
      <w:pPr>
        <w:pStyle w:val="BodyText"/>
        <w:ind w:left="90" w:right="109" w:firstLine="630"/>
        <w:rPr>
          <w:rFonts w:ascii="Times New Roman" w:hAnsi="Times New Roman" w:cs="Times New Roman"/>
          <w:i/>
        </w:rPr>
      </w:pPr>
    </w:p>
    <w:p w14:paraId="0393221A" w14:textId="77777777" w:rsidR="009D6F9B" w:rsidRDefault="009D6F9B" w:rsidP="009D6F9B">
      <w:pPr>
        <w:pStyle w:val="BodyText"/>
        <w:spacing w:before="2"/>
        <w:ind w:left="1440" w:firstLine="720"/>
        <w:rPr>
          <w:rFonts w:asciiTheme="majorBidi" w:hAnsiTheme="majorBidi" w:cstheme="majorBidi"/>
          <w:i/>
        </w:rPr>
      </w:pPr>
      <w:r w:rsidRPr="0022355A">
        <w:rPr>
          <w:rFonts w:asciiTheme="majorBidi" w:hAnsiTheme="majorBidi" w:cstheme="majorBidi"/>
          <w:u w:val="single"/>
        </w:rPr>
        <w:br/>
      </w:r>
    </w:p>
    <w:p w14:paraId="645D7F7B" w14:textId="77777777" w:rsidR="009D6F9B" w:rsidRDefault="009D6F9B" w:rsidP="009D6F9B">
      <w:pPr>
        <w:pStyle w:val="BodyText"/>
        <w:spacing w:before="2"/>
        <w:ind w:left="1440" w:firstLine="720"/>
        <w:rPr>
          <w:rFonts w:asciiTheme="majorBidi" w:hAnsiTheme="majorBidi" w:cstheme="majorBidi"/>
          <w:i/>
        </w:rPr>
      </w:pPr>
    </w:p>
    <w:p w14:paraId="567CDC86" w14:textId="77777777" w:rsidR="009D6F9B" w:rsidRDefault="009D6F9B" w:rsidP="007E4246">
      <w:pPr>
        <w:spacing w:after="0" w:line="240" w:lineRule="auto"/>
        <w:rPr>
          <w:rFonts w:ascii="Times New Roman" w:hAnsi="Times New Roman" w:cs="Times New Roman"/>
          <w:b/>
          <w:i/>
          <w:sz w:val="24"/>
          <w:szCs w:val="24"/>
        </w:rPr>
      </w:pPr>
    </w:p>
    <w:p w14:paraId="483C9E7F" w14:textId="79413AE2" w:rsidR="00927475" w:rsidRPr="007E4246" w:rsidRDefault="00927475" w:rsidP="007E4246">
      <w:pPr>
        <w:spacing w:after="0" w:line="240" w:lineRule="auto"/>
        <w:rPr>
          <w:rFonts w:ascii="Times New Roman" w:hAnsi="Times New Roman" w:cs="Times New Roman"/>
          <w:b/>
          <w:i/>
          <w:sz w:val="24"/>
          <w:szCs w:val="24"/>
        </w:rPr>
      </w:pPr>
      <w:r w:rsidRPr="007E4246">
        <w:rPr>
          <w:rFonts w:ascii="Times New Roman" w:hAnsi="Times New Roman" w:cs="Times New Roman"/>
          <w:b/>
          <w:i/>
          <w:sz w:val="24"/>
          <w:szCs w:val="24"/>
        </w:rPr>
        <w:t xml:space="preserve">Introduction </w:t>
      </w:r>
    </w:p>
    <w:p w14:paraId="12444BDA" w14:textId="77777777" w:rsidR="000F59F3" w:rsidRPr="007E4246" w:rsidRDefault="000F59F3" w:rsidP="007E4246">
      <w:pPr>
        <w:spacing w:after="0" w:line="240" w:lineRule="auto"/>
        <w:rPr>
          <w:rFonts w:ascii="Times New Roman" w:hAnsi="Times New Roman" w:cs="Times New Roman"/>
          <w:b/>
          <w:sz w:val="24"/>
          <w:szCs w:val="24"/>
          <w:u w:val="single"/>
        </w:rPr>
      </w:pPr>
    </w:p>
    <w:p w14:paraId="473223E6" w14:textId="77777777" w:rsidR="007E4246" w:rsidRDefault="00DE1057" w:rsidP="007E4246">
      <w:pPr>
        <w:spacing w:after="0" w:line="240" w:lineRule="auto"/>
        <w:rPr>
          <w:rFonts w:ascii="Times New Roman" w:hAnsi="Times New Roman" w:cs="Times New Roman"/>
          <w:sz w:val="24"/>
          <w:szCs w:val="24"/>
        </w:rPr>
      </w:pPr>
      <w:r w:rsidRPr="007E4246">
        <w:rPr>
          <w:rFonts w:ascii="Times New Roman" w:hAnsi="Times New Roman" w:cs="Times New Roman"/>
          <w:b/>
          <w:sz w:val="24"/>
          <w:szCs w:val="24"/>
        </w:rPr>
        <w:tab/>
      </w:r>
      <w:r w:rsidRPr="007E4246">
        <w:rPr>
          <w:rFonts w:ascii="Times New Roman" w:hAnsi="Times New Roman" w:cs="Times New Roman"/>
          <w:sz w:val="24"/>
          <w:szCs w:val="24"/>
        </w:rPr>
        <w:t xml:space="preserve">The </w:t>
      </w:r>
      <w:r w:rsidR="0039168D" w:rsidRPr="007E4246">
        <w:rPr>
          <w:rFonts w:ascii="Times New Roman" w:hAnsi="Times New Roman" w:cs="Times New Roman"/>
          <w:sz w:val="24"/>
          <w:szCs w:val="24"/>
        </w:rPr>
        <w:t xml:space="preserve">synthesis of the </w:t>
      </w:r>
      <w:r w:rsidRPr="007E4246">
        <w:rPr>
          <w:rFonts w:ascii="Times New Roman" w:hAnsi="Times New Roman" w:cs="Times New Roman"/>
          <w:sz w:val="24"/>
          <w:szCs w:val="24"/>
        </w:rPr>
        <w:t xml:space="preserve">internet, smart phones, sophisticated applications, and the integration of big data and algorithmic processing </w:t>
      </w:r>
      <w:r w:rsidR="0039168D" w:rsidRPr="007E4246">
        <w:rPr>
          <w:rFonts w:ascii="Times New Roman" w:hAnsi="Times New Roman" w:cs="Times New Roman"/>
          <w:sz w:val="24"/>
          <w:szCs w:val="24"/>
        </w:rPr>
        <w:t>has given</w:t>
      </w:r>
      <w:r w:rsidRPr="007E4246">
        <w:rPr>
          <w:rFonts w:ascii="Times New Roman" w:hAnsi="Times New Roman" w:cs="Times New Roman"/>
          <w:sz w:val="24"/>
          <w:szCs w:val="24"/>
        </w:rPr>
        <w:t xml:space="preserve"> birth to new economic interactions. These </w:t>
      </w:r>
      <w:r w:rsidR="00A35B26" w:rsidRPr="007E4246">
        <w:rPr>
          <w:rFonts w:ascii="Times New Roman" w:hAnsi="Times New Roman" w:cs="Times New Roman"/>
          <w:sz w:val="24"/>
          <w:szCs w:val="24"/>
        </w:rPr>
        <w:t>innovative</w:t>
      </w:r>
      <w:r w:rsidRPr="007E4246">
        <w:rPr>
          <w:rFonts w:ascii="Times New Roman" w:hAnsi="Times New Roman" w:cs="Times New Roman"/>
          <w:sz w:val="24"/>
          <w:szCs w:val="24"/>
        </w:rPr>
        <w:t xml:space="preserve"> business models span a range of </w:t>
      </w:r>
      <w:r w:rsidR="00C62688" w:rsidRPr="007E4246">
        <w:rPr>
          <w:rFonts w:ascii="Times New Roman" w:hAnsi="Times New Roman" w:cs="Times New Roman"/>
          <w:sz w:val="24"/>
          <w:szCs w:val="24"/>
        </w:rPr>
        <w:t xml:space="preserve">pre-existing </w:t>
      </w:r>
      <w:r w:rsidRPr="007E4246">
        <w:rPr>
          <w:rFonts w:ascii="Times New Roman" w:hAnsi="Times New Roman" w:cs="Times New Roman"/>
          <w:sz w:val="24"/>
          <w:szCs w:val="24"/>
        </w:rPr>
        <w:t xml:space="preserve">service and retail industries, including ride-sharing, </w:t>
      </w:r>
      <w:r w:rsidR="0071159A" w:rsidRPr="007E4246">
        <w:rPr>
          <w:rFonts w:ascii="Times New Roman" w:hAnsi="Times New Roman" w:cs="Times New Roman"/>
          <w:sz w:val="24"/>
          <w:szCs w:val="24"/>
        </w:rPr>
        <w:t>short-term home and room rentals</w:t>
      </w:r>
      <w:r w:rsidRPr="007E4246">
        <w:rPr>
          <w:rFonts w:ascii="Times New Roman" w:hAnsi="Times New Roman" w:cs="Times New Roman"/>
          <w:sz w:val="24"/>
          <w:szCs w:val="24"/>
        </w:rPr>
        <w:t>, freelancing, and lending, fueled by leading platforms</w:t>
      </w:r>
      <w:r w:rsidR="00480A9E" w:rsidRPr="007E4246">
        <w:rPr>
          <w:rFonts w:ascii="Times New Roman" w:hAnsi="Times New Roman" w:cs="Times New Roman"/>
          <w:sz w:val="24"/>
          <w:szCs w:val="24"/>
        </w:rPr>
        <w:t xml:space="preserve"> such</w:t>
      </w:r>
      <w:r w:rsidRPr="007E4246">
        <w:rPr>
          <w:rFonts w:ascii="Times New Roman" w:hAnsi="Times New Roman" w:cs="Times New Roman"/>
          <w:sz w:val="24"/>
          <w:szCs w:val="24"/>
        </w:rPr>
        <w:t xml:space="preserve"> as Uber and Lyft, Airbnb, Task-Rabbit, and Lending Club</w:t>
      </w:r>
      <w:r w:rsidR="00C6568E" w:rsidRPr="007E4246">
        <w:rPr>
          <w:rFonts w:ascii="Times New Roman" w:hAnsi="Times New Roman" w:cs="Times New Roman"/>
          <w:sz w:val="24"/>
          <w:szCs w:val="24"/>
        </w:rPr>
        <w:t>,</w:t>
      </w:r>
      <w:r w:rsidRPr="007E4246">
        <w:rPr>
          <w:rFonts w:ascii="Times New Roman" w:hAnsi="Times New Roman" w:cs="Times New Roman"/>
          <w:sz w:val="24"/>
          <w:szCs w:val="24"/>
        </w:rPr>
        <w:t xml:space="preserve"> respectively.</w:t>
      </w:r>
      <w:r w:rsidRPr="007E4246">
        <w:rPr>
          <w:rStyle w:val="FootnoteReference"/>
          <w:rFonts w:ascii="Times New Roman" w:hAnsi="Times New Roman" w:cs="Times New Roman"/>
          <w:sz w:val="24"/>
          <w:szCs w:val="24"/>
        </w:rPr>
        <w:footnoteReference w:id="1"/>
      </w:r>
      <w:r w:rsidRPr="007E4246">
        <w:rPr>
          <w:rFonts w:ascii="Times New Roman" w:hAnsi="Times New Roman" w:cs="Times New Roman"/>
          <w:sz w:val="24"/>
          <w:szCs w:val="24"/>
        </w:rPr>
        <w:t xml:space="preserve"> The</w:t>
      </w:r>
      <w:r w:rsidR="00BB3BAB" w:rsidRPr="007E4246">
        <w:rPr>
          <w:rFonts w:ascii="Times New Roman" w:hAnsi="Times New Roman" w:cs="Times New Roman"/>
          <w:sz w:val="24"/>
          <w:szCs w:val="24"/>
        </w:rPr>
        <w:t>se</w:t>
      </w:r>
      <w:r w:rsidR="00070B39" w:rsidRPr="007E4246">
        <w:rPr>
          <w:rFonts w:ascii="Times New Roman" w:hAnsi="Times New Roman" w:cs="Times New Roman"/>
          <w:sz w:val="24"/>
          <w:szCs w:val="24"/>
        </w:rPr>
        <w:t xml:space="preserve"> </w:t>
      </w:r>
      <w:bookmarkStart w:id="0" w:name="_GoBack"/>
      <w:bookmarkEnd w:id="0"/>
      <w:r w:rsidRPr="007E4246">
        <w:rPr>
          <w:rFonts w:ascii="Times New Roman" w:hAnsi="Times New Roman" w:cs="Times New Roman"/>
          <w:sz w:val="24"/>
          <w:szCs w:val="24"/>
        </w:rPr>
        <w:t xml:space="preserve">new economic models are often clustered under the somewhat misleading term, the </w:t>
      </w:r>
      <w:r w:rsidR="00E4112E" w:rsidRPr="007E4246">
        <w:rPr>
          <w:rFonts w:ascii="Times New Roman" w:hAnsi="Times New Roman" w:cs="Times New Roman"/>
          <w:sz w:val="24"/>
          <w:szCs w:val="24"/>
        </w:rPr>
        <w:t>“</w:t>
      </w:r>
      <w:r w:rsidRPr="007E4246">
        <w:rPr>
          <w:rFonts w:ascii="Times New Roman" w:hAnsi="Times New Roman" w:cs="Times New Roman"/>
          <w:sz w:val="24"/>
          <w:szCs w:val="24"/>
        </w:rPr>
        <w:t>sharing economy.</w:t>
      </w:r>
      <w:r w:rsidR="00E4112E" w:rsidRPr="007E4246">
        <w:rPr>
          <w:rFonts w:ascii="Times New Roman" w:hAnsi="Times New Roman" w:cs="Times New Roman"/>
          <w:sz w:val="24"/>
          <w:szCs w:val="24"/>
        </w:rPr>
        <w:t>”</w:t>
      </w:r>
      <w:r w:rsidRPr="007E4246">
        <w:rPr>
          <w:rStyle w:val="FootnoteReference"/>
          <w:rFonts w:ascii="Times New Roman" w:hAnsi="Times New Roman" w:cs="Times New Roman"/>
          <w:sz w:val="24"/>
          <w:szCs w:val="24"/>
        </w:rPr>
        <w:footnoteReference w:id="2"/>
      </w:r>
      <w:r w:rsidRPr="007E4246">
        <w:rPr>
          <w:rFonts w:ascii="Times New Roman" w:hAnsi="Times New Roman" w:cs="Times New Roman"/>
          <w:sz w:val="24"/>
          <w:szCs w:val="24"/>
        </w:rPr>
        <w:t xml:space="preserve"> As a number of contributors to this volume aptly note, sharing connotes a romantic ideal of collaborative, anti-corporatist exchanges. In reality, what is termed the sharing economy marketplace </w:t>
      </w:r>
      <w:r w:rsidR="007D2D9D" w:rsidRPr="007E4246">
        <w:rPr>
          <w:rFonts w:ascii="Times New Roman" w:hAnsi="Times New Roman" w:cs="Times New Roman"/>
          <w:sz w:val="24"/>
          <w:szCs w:val="24"/>
        </w:rPr>
        <w:t xml:space="preserve">is controlled by </w:t>
      </w:r>
      <w:r w:rsidR="002C682D" w:rsidRPr="007E4246">
        <w:rPr>
          <w:rFonts w:ascii="Times New Roman" w:hAnsi="Times New Roman" w:cs="Times New Roman"/>
          <w:sz w:val="24"/>
          <w:szCs w:val="24"/>
        </w:rPr>
        <w:t>multi-billion dollar corporations</w:t>
      </w:r>
      <w:r w:rsidR="00B40986" w:rsidRPr="007E4246">
        <w:rPr>
          <w:rFonts w:ascii="Times New Roman" w:hAnsi="Times New Roman" w:cs="Times New Roman"/>
          <w:sz w:val="24"/>
          <w:szCs w:val="24"/>
        </w:rPr>
        <w:t xml:space="preserve"> with profit-minded goa</w:t>
      </w:r>
      <w:r w:rsidR="00BB3BAB" w:rsidRPr="007E4246">
        <w:rPr>
          <w:rFonts w:ascii="Times New Roman" w:hAnsi="Times New Roman" w:cs="Times New Roman"/>
          <w:sz w:val="24"/>
          <w:szCs w:val="24"/>
        </w:rPr>
        <w:t>ls that have little to do with sharing</w:t>
      </w:r>
      <w:r w:rsidR="00B40986" w:rsidRPr="007E4246">
        <w:rPr>
          <w:rFonts w:ascii="Times New Roman" w:hAnsi="Times New Roman" w:cs="Times New Roman"/>
          <w:sz w:val="24"/>
          <w:szCs w:val="24"/>
        </w:rPr>
        <w:t>.</w:t>
      </w:r>
      <w:r w:rsidR="00BC26BB" w:rsidRPr="007E4246">
        <w:rPr>
          <w:rStyle w:val="FootnoteReference"/>
          <w:rFonts w:ascii="Times New Roman" w:hAnsi="Times New Roman" w:cs="Times New Roman"/>
          <w:sz w:val="24"/>
          <w:szCs w:val="24"/>
        </w:rPr>
        <w:footnoteReference w:id="3"/>
      </w:r>
      <w:r w:rsidR="00B40986" w:rsidRPr="007E4246">
        <w:rPr>
          <w:rFonts w:ascii="Times New Roman" w:hAnsi="Times New Roman" w:cs="Times New Roman"/>
          <w:sz w:val="24"/>
          <w:szCs w:val="24"/>
        </w:rPr>
        <w:t xml:space="preserve"> </w:t>
      </w:r>
      <w:r w:rsidR="00480A48" w:rsidRPr="007E4246">
        <w:rPr>
          <w:rFonts w:ascii="Times New Roman" w:hAnsi="Times New Roman" w:cs="Times New Roman"/>
          <w:sz w:val="24"/>
          <w:szCs w:val="24"/>
        </w:rPr>
        <w:t>Digital platforms like Uber and Airbnb are very clearly corporate</w:t>
      </w:r>
      <w:r w:rsidR="00BB3BAB" w:rsidRPr="007E4246">
        <w:rPr>
          <w:rFonts w:ascii="Times New Roman" w:hAnsi="Times New Roman" w:cs="Times New Roman"/>
          <w:sz w:val="24"/>
          <w:szCs w:val="24"/>
        </w:rPr>
        <w:t xml:space="preserve"> entities</w:t>
      </w:r>
      <w:r w:rsidR="00480A48" w:rsidRPr="007E4246">
        <w:rPr>
          <w:rFonts w:ascii="Times New Roman" w:hAnsi="Times New Roman" w:cs="Times New Roman"/>
          <w:sz w:val="24"/>
          <w:szCs w:val="24"/>
        </w:rPr>
        <w:t xml:space="preserve">. </w:t>
      </w:r>
      <w:r w:rsidR="00765A92" w:rsidRPr="007E4246">
        <w:rPr>
          <w:rFonts w:ascii="Times New Roman" w:hAnsi="Times New Roman" w:cs="Times New Roman"/>
          <w:sz w:val="24"/>
          <w:szCs w:val="24"/>
        </w:rPr>
        <w:t xml:space="preserve">Their commodity is a form </w:t>
      </w:r>
      <w:r w:rsidR="008433BA" w:rsidRPr="007E4246">
        <w:rPr>
          <w:rFonts w:ascii="Times New Roman" w:hAnsi="Times New Roman" w:cs="Times New Roman"/>
          <w:sz w:val="24"/>
          <w:szCs w:val="24"/>
        </w:rPr>
        <w:t>of digital communication facilitating search</w:t>
      </w:r>
      <w:r w:rsidR="00283403" w:rsidRPr="007E4246">
        <w:rPr>
          <w:rFonts w:ascii="Times New Roman" w:hAnsi="Times New Roman" w:cs="Times New Roman"/>
          <w:sz w:val="24"/>
          <w:szCs w:val="24"/>
        </w:rPr>
        <w:t>e</w:t>
      </w:r>
      <w:r w:rsidR="00C0726C" w:rsidRPr="007E4246">
        <w:rPr>
          <w:rFonts w:ascii="Times New Roman" w:hAnsi="Times New Roman" w:cs="Times New Roman"/>
          <w:sz w:val="24"/>
          <w:szCs w:val="24"/>
        </w:rPr>
        <w:t>s</w:t>
      </w:r>
      <w:r w:rsidR="008433BA" w:rsidRPr="007E4246">
        <w:rPr>
          <w:rFonts w:ascii="Times New Roman" w:hAnsi="Times New Roman" w:cs="Times New Roman"/>
          <w:sz w:val="24"/>
          <w:szCs w:val="24"/>
        </w:rPr>
        <w:t xml:space="preserve"> </w:t>
      </w:r>
      <w:r w:rsidR="00BC26BB" w:rsidRPr="007E4246">
        <w:rPr>
          <w:rFonts w:ascii="Times New Roman" w:hAnsi="Times New Roman" w:cs="Times New Roman"/>
          <w:sz w:val="24"/>
          <w:szCs w:val="24"/>
        </w:rPr>
        <w:t>and transactions between</w:t>
      </w:r>
      <w:r w:rsidR="008433BA" w:rsidRPr="007E4246">
        <w:rPr>
          <w:rFonts w:ascii="Times New Roman" w:hAnsi="Times New Roman" w:cs="Times New Roman"/>
          <w:sz w:val="24"/>
          <w:szCs w:val="24"/>
        </w:rPr>
        <w:t xml:space="preserve"> providers and buyers</w:t>
      </w:r>
      <w:r w:rsidR="002C682D" w:rsidRPr="007E4246">
        <w:rPr>
          <w:rFonts w:ascii="Times New Roman" w:hAnsi="Times New Roman" w:cs="Times New Roman"/>
          <w:sz w:val="24"/>
          <w:szCs w:val="24"/>
        </w:rPr>
        <w:t>.</w:t>
      </w:r>
      <w:r w:rsidR="00154232" w:rsidRPr="007E4246">
        <w:rPr>
          <w:rFonts w:ascii="Times New Roman" w:hAnsi="Times New Roman" w:cs="Times New Roman"/>
          <w:sz w:val="24"/>
          <w:szCs w:val="24"/>
        </w:rPr>
        <w:t xml:space="preserve"> </w:t>
      </w:r>
      <w:r w:rsidR="00A837C4" w:rsidRPr="007E4246">
        <w:rPr>
          <w:rFonts w:ascii="Times New Roman" w:hAnsi="Times New Roman" w:cs="Times New Roman"/>
          <w:sz w:val="24"/>
          <w:szCs w:val="24"/>
        </w:rPr>
        <w:t xml:space="preserve">The </w:t>
      </w:r>
      <w:r w:rsidR="00BB3BAB" w:rsidRPr="007E4246">
        <w:rPr>
          <w:rFonts w:ascii="Times New Roman" w:hAnsi="Times New Roman" w:cs="Times New Roman"/>
          <w:sz w:val="24"/>
          <w:szCs w:val="24"/>
        </w:rPr>
        <w:t xml:space="preserve">digital platform </w:t>
      </w:r>
      <w:r w:rsidR="00A837C4" w:rsidRPr="007E4246">
        <w:rPr>
          <w:rFonts w:ascii="Times New Roman" w:hAnsi="Times New Roman" w:cs="Times New Roman"/>
          <w:sz w:val="24"/>
          <w:szCs w:val="24"/>
        </w:rPr>
        <w:t>market</w:t>
      </w:r>
      <w:r w:rsidR="00154232" w:rsidRPr="007E4246">
        <w:rPr>
          <w:rFonts w:ascii="Times New Roman" w:hAnsi="Times New Roman" w:cs="Times New Roman"/>
          <w:sz w:val="24"/>
          <w:szCs w:val="24"/>
        </w:rPr>
        <w:t xml:space="preserve"> </w:t>
      </w:r>
      <w:r w:rsidRPr="007E4246">
        <w:rPr>
          <w:rFonts w:ascii="Times New Roman" w:hAnsi="Times New Roman" w:cs="Times New Roman"/>
          <w:sz w:val="24"/>
          <w:szCs w:val="24"/>
        </w:rPr>
        <w:t>usually consists of three groups; (1) the platform, (2) end providers, and (3) end buyers.</w:t>
      </w:r>
      <w:r w:rsidRPr="007E4246">
        <w:rPr>
          <w:rStyle w:val="FootnoteReference"/>
          <w:rFonts w:ascii="Times New Roman" w:hAnsi="Times New Roman" w:cs="Times New Roman"/>
          <w:sz w:val="24"/>
          <w:szCs w:val="24"/>
        </w:rPr>
        <w:footnoteReference w:id="4"/>
      </w:r>
      <w:r w:rsidRPr="007E4246">
        <w:rPr>
          <w:rFonts w:ascii="Times New Roman" w:hAnsi="Times New Roman" w:cs="Times New Roman"/>
          <w:sz w:val="24"/>
          <w:szCs w:val="24"/>
        </w:rPr>
        <w:t xml:space="preserve"> </w:t>
      </w:r>
    </w:p>
    <w:p w14:paraId="08673DCA" w14:textId="77777777" w:rsidR="007E4246" w:rsidRDefault="007E4246" w:rsidP="007E4246">
      <w:pPr>
        <w:spacing w:after="0" w:line="240" w:lineRule="auto"/>
        <w:rPr>
          <w:rFonts w:ascii="Times New Roman" w:hAnsi="Times New Roman" w:cs="Times New Roman"/>
          <w:sz w:val="24"/>
          <w:szCs w:val="24"/>
        </w:rPr>
      </w:pPr>
    </w:p>
    <w:p w14:paraId="58995097" w14:textId="57CEFD03" w:rsidR="00DE1057" w:rsidRPr="00C32D58" w:rsidRDefault="00AC34C3" w:rsidP="007E4246">
      <w:pPr>
        <w:spacing w:after="0" w:line="240" w:lineRule="auto"/>
        <w:ind w:firstLine="720"/>
        <w:rPr>
          <w:rFonts w:ascii="Times New Roman" w:hAnsi="Times New Roman" w:cs="Times New Roman"/>
          <w:sz w:val="24"/>
          <w:szCs w:val="24"/>
        </w:rPr>
      </w:pPr>
      <w:r w:rsidRPr="007E4246">
        <w:rPr>
          <w:rFonts w:ascii="Times New Roman" w:hAnsi="Times New Roman" w:cs="Times New Roman"/>
          <w:sz w:val="24"/>
          <w:szCs w:val="24"/>
        </w:rPr>
        <w:t>Though seemingly in line with traditional markets</w:t>
      </w:r>
      <w:r w:rsidR="00DE1057" w:rsidRPr="007E4246">
        <w:rPr>
          <w:rFonts w:ascii="Times New Roman" w:hAnsi="Times New Roman" w:cs="Times New Roman"/>
          <w:sz w:val="24"/>
          <w:szCs w:val="24"/>
        </w:rPr>
        <w:t xml:space="preserve">, </w:t>
      </w:r>
      <w:r w:rsidR="00BB3BAB" w:rsidRPr="007E4246">
        <w:rPr>
          <w:rFonts w:ascii="Times New Roman" w:hAnsi="Times New Roman" w:cs="Times New Roman"/>
          <w:sz w:val="24"/>
          <w:szCs w:val="24"/>
        </w:rPr>
        <w:t>platforms</w:t>
      </w:r>
      <w:r w:rsidR="00DE1057" w:rsidRPr="007E4246">
        <w:rPr>
          <w:rFonts w:ascii="Times New Roman" w:hAnsi="Times New Roman" w:cs="Times New Roman"/>
          <w:sz w:val="24"/>
          <w:szCs w:val="24"/>
        </w:rPr>
        <w:t xml:space="preserve"> challenge older models of service delivery in valuable ways. Most basically, the platform lowers costs associated </w:t>
      </w:r>
      <w:r w:rsidR="0039168D" w:rsidRPr="007E4246">
        <w:rPr>
          <w:rFonts w:ascii="Times New Roman" w:hAnsi="Times New Roman" w:cs="Times New Roman"/>
          <w:sz w:val="24"/>
          <w:szCs w:val="24"/>
        </w:rPr>
        <w:t xml:space="preserve">with </w:t>
      </w:r>
      <w:r w:rsidR="00DE1057" w:rsidRPr="007E4246">
        <w:rPr>
          <w:rFonts w:ascii="Times New Roman" w:hAnsi="Times New Roman" w:cs="Times New Roman"/>
          <w:sz w:val="24"/>
          <w:szCs w:val="24"/>
        </w:rPr>
        <w:t>matching transaction partners and the costs of the actual transaction. In turn, end users, providers</w:t>
      </w:r>
      <w:r w:rsidR="00945100" w:rsidRPr="007E4246">
        <w:rPr>
          <w:rFonts w:ascii="Times New Roman" w:hAnsi="Times New Roman" w:cs="Times New Roman"/>
          <w:sz w:val="24"/>
          <w:szCs w:val="24"/>
        </w:rPr>
        <w:t>,</w:t>
      </w:r>
      <w:r w:rsidR="00DE1057" w:rsidRPr="007E4246">
        <w:rPr>
          <w:rFonts w:ascii="Times New Roman" w:hAnsi="Times New Roman" w:cs="Times New Roman"/>
          <w:sz w:val="24"/>
          <w:szCs w:val="24"/>
        </w:rPr>
        <w:t xml:space="preserve"> and buyers can find what they </w:t>
      </w:r>
      <w:r w:rsidR="00945100" w:rsidRPr="007E4246">
        <w:rPr>
          <w:rFonts w:ascii="Times New Roman" w:hAnsi="Times New Roman" w:cs="Times New Roman"/>
          <w:sz w:val="24"/>
          <w:szCs w:val="24"/>
        </w:rPr>
        <w:t>desire</w:t>
      </w:r>
      <w:r w:rsidR="00DE1057" w:rsidRPr="007E4246">
        <w:rPr>
          <w:rFonts w:ascii="Times New Roman" w:hAnsi="Times New Roman" w:cs="Times New Roman"/>
          <w:sz w:val="24"/>
          <w:szCs w:val="24"/>
        </w:rPr>
        <w:t xml:space="preserve">, be it work, rides, or a place to stay, more rapidly than ever before. With added fluidity for job seekers, increased access to </w:t>
      </w:r>
      <w:r w:rsidR="00913E89" w:rsidRPr="007E4246">
        <w:rPr>
          <w:rFonts w:ascii="Times New Roman" w:hAnsi="Times New Roman" w:cs="Times New Roman"/>
          <w:sz w:val="24"/>
          <w:szCs w:val="24"/>
        </w:rPr>
        <w:t xml:space="preserve">untapped </w:t>
      </w:r>
      <w:r w:rsidR="00DE1057" w:rsidRPr="007E4246">
        <w:rPr>
          <w:rFonts w:ascii="Times New Roman" w:hAnsi="Times New Roman" w:cs="Times New Roman"/>
          <w:sz w:val="24"/>
          <w:szCs w:val="24"/>
        </w:rPr>
        <w:t>resources, and the enhancement of productivity to the market, the sharing economy may contribute to a rise in the global GDP</w:t>
      </w:r>
      <w:r w:rsidR="0022355A" w:rsidRPr="007E4246">
        <w:rPr>
          <w:rFonts w:ascii="Times New Roman" w:hAnsi="Times New Roman" w:cs="Times New Roman"/>
          <w:sz w:val="24"/>
          <w:szCs w:val="24"/>
        </w:rPr>
        <w:t>,</w:t>
      </w:r>
      <w:r w:rsidR="00FA1336" w:rsidRPr="007E4246">
        <w:rPr>
          <w:rFonts w:ascii="Times New Roman" w:hAnsi="Times New Roman" w:cs="Times New Roman"/>
          <w:sz w:val="24"/>
          <w:szCs w:val="24"/>
        </w:rPr>
        <w:t xml:space="preserve"> </w:t>
      </w:r>
      <w:r w:rsidR="004F60B6" w:rsidRPr="007E4246">
        <w:rPr>
          <w:rFonts w:ascii="Times New Roman" w:hAnsi="Times New Roman" w:cs="Times New Roman"/>
          <w:sz w:val="24"/>
          <w:szCs w:val="24"/>
        </w:rPr>
        <w:t xml:space="preserve">which </w:t>
      </w:r>
      <w:r w:rsidR="0022355A" w:rsidRPr="007E4246">
        <w:rPr>
          <w:rFonts w:ascii="Times New Roman" w:hAnsi="Times New Roman" w:cs="Times New Roman"/>
          <w:sz w:val="24"/>
          <w:szCs w:val="24"/>
        </w:rPr>
        <w:t>in turn has the potential to</w:t>
      </w:r>
      <w:r w:rsidR="004F60B6" w:rsidRPr="007E4246">
        <w:rPr>
          <w:rFonts w:ascii="Times New Roman" w:hAnsi="Times New Roman" w:cs="Times New Roman"/>
          <w:sz w:val="24"/>
          <w:szCs w:val="24"/>
        </w:rPr>
        <w:t xml:space="preserve"> </w:t>
      </w:r>
      <w:r w:rsidR="0022355A" w:rsidRPr="007E4246">
        <w:rPr>
          <w:rFonts w:ascii="Times New Roman" w:hAnsi="Times New Roman" w:cs="Times New Roman"/>
          <w:sz w:val="24"/>
          <w:szCs w:val="24"/>
        </w:rPr>
        <w:t>increase</w:t>
      </w:r>
      <w:r w:rsidR="005F18C3" w:rsidRPr="007E4246">
        <w:rPr>
          <w:rFonts w:ascii="Times New Roman" w:hAnsi="Times New Roman" w:cs="Times New Roman"/>
          <w:sz w:val="24"/>
          <w:szCs w:val="24"/>
        </w:rPr>
        <w:t xml:space="preserve"> </w:t>
      </w:r>
      <w:r w:rsidR="0022355A" w:rsidRPr="007E4246">
        <w:rPr>
          <w:rFonts w:ascii="Times New Roman" w:hAnsi="Times New Roman" w:cs="Times New Roman"/>
          <w:sz w:val="24"/>
          <w:szCs w:val="24"/>
        </w:rPr>
        <w:t xml:space="preserve">wages </w:t>
      </w:r>
      <w:r w:rsidR="004F60B6" w:rsidRPr="007E4246">
        <w:rPr>
          <w:rFonts w:ascii="Times New Roman" w:hAnsi="Times New Roman" w:cs="Times New Roman"/>
          <w:sz w:val="24"/>
          <w:szCs w:val="24"/>
        </w:rPr>
        <w:t>and lessen</w:t>
      </w:r>
      <w:r w:rsidR="005F18C3" w:rsidRPr="007E4246">
        <w:rPr>
          <w:rFonts w:ascii="Times New Roman" w:hAnsi="Times New Roman" w:cs="Times New Roman"/>
          <w:sz w:val="24"/>
          <w:szCs w:val="24"/>
        </w:rPr>
        <w:t xml:space="preserve"> the gap between </w:t>
      </w:r>
      <w:r w:rsidR="005954AD" w:rsidRPr="007E4246">
        <w:rPr>
          <w:rFonts w:ascii="Times New Roman" w:hAnsi="Times New Roman" w:cs="Times New Roman"/>
          <w:sz w:val="24"/>
          <w:szCs w:val="24"/>
        </w:rPr>
        <w:t>earned income and the actual cost of living</w:t>
      </w:r>
      <w:r w:rsidR="00DE1057" w:rsidRPr="007E4246">
        <w:rPr>
          <w:rFonts w:ascii="Times New Roman" w:hAnsi="Times New Roman" w:cs="Times New Roman"/>
          <w:sz w:val="24"/>
          <w:szCs w:val="24"/>
        </w:rPr>
        <w:t>.</w:t>
      </w:r>
      <w:r w:rsidR="0022355A" w:rsidRPr="007E4246">
        <w:rPr>
          <w:rStyle w:val="FootnoteReference"/>
          <w:rFonts w:ascii="Times New Roman" w:hAnsi="Times New Roman" w:cs="Times New Roman"/>
          <w:sz w:val="24"/>
          <w:szCs w:val="24"/>
        </w:rPr>
        <w:footnoteReference w:id="5"/>
      </w:r>
      <w:r w:rsidR="00DE1057" w:rsidRPr="007E4246">
        <w:rPr>
          <w:rFonts w:ascii="Times New Roman" w:hAnsi="Times New Roman" w:cs="Times New Roman"/>
          <w:sz w:val="24"/>
          <w:szCs w:val="24"/>
        </w:rPr>
        <w:t xml:space="preserve"> With the rise of the digital platform, entire </w:t>
      </w:r>
      <w:r w:rsidR="00DE1057" w:rsidRPr="007E4246">
        <w:rPr>
          <w:rFonts w:ascii="Times New Roman" w:hAnsi="Times New Roman" w:cs="Times New Roman"/>
          <w:sz w:val="24"/>
          <w:szCs w:val="24"/>
        </w:rPr>
        <w:lastRenderedPageBreak/>
        <w:t xml:space="preserve">industries have progressed. For example, despite </w:t>
      </w:r>
      <w:r w:rsidR="006352A9" w:rsidRPr="007E4246">
        <w:rPr>
          <w:rFonts w:ascii="Times New Roman" w:hAnsi="Times New Roman" w:cs="Times New Roman"/>
          <w:sz w:val="24"/>
          <w:szCs w:val="24"/>
        </w:rPr>
        <w:t xml:space="preserve">the </w:t>
      </w:r>
      <w:r w:rsidR="00DE1057" w:rsidRPr="007E4246">
        <w:rPr>
          <w:rFonts w:ascii="Times New Roman" w:hAnsi="Times New Roman" w:cs="Times New Roman"/>
          <w:sz w:val="24"/>
          <w:szCs w:val="24"/>
        </w:rPr>
        <w:t>justified critique of certain Uber practices, the ride-sharing industry</w:t>
      </w:r>
      <w:r w:rsidR="004B3C76" w:rsidRPr="007E4246">
        <w:rPr>
          <w:rFonts w:ascii="Times New Roman" w:hAnsi="Times New Roman" w:cs="Times New Roman"/>
          <w:sz w:val="24"/>
          <w:szCs w:val="24"/>
        </w:rPr>
        <w:t xml:space="preserve"> has</w:t>
      </w:r>
      <w:r w:rsidR="00DE1057" w:rsidRPr="007E4246">
        <w:rPr>
          <w:rFonts w:ascii="Times New Roman" w:hAnsi="Times New Roman" w:cs="Times New Roman"/>
          <w:sz w:val="24"/>
          <w:szCs w:val="24"/>
        </w:rPr>
        <w:t xml:space="preserve"> increased the supply of drivers, improved the quality of services across transportation industries, including taxis, enhanced safer and more reliable ride-hailing, and even reduced drunk driving.</w:t>
      </w:r>
      <w:r w:rsidR="00DE1057" w:rsidRPr="007E4246">
        <w:rPr>
          <w:rStyle w:val="FootnoteReference"/>
          <w:rFonts w:ascii="Times New Roman" w:hAnsi="Times New Roman" w:cs="Times New Roman"/>
          <w:sz w:val="24"/>
          <w:szCs w:val="24"/>
        </w:rPr>
        <w:footnoteReference w:id="6"/>
      </w:r>
      <w:r w:rsidR="00DE1057" w:rsidRPr="007E4246">
        <w:rPr>
          <w:rFonts w:ascii="Times New Roman" w:hAnsi="Times New Roman" w:cs="Times New Roman"/>
          <w:sz w:val="24"/>
          <w:szCs w:val="24"/>
        </w:rPr>
        <w:t xml:space="preserve"> Short-term lodging has become cheaper</w:t>
      </w:r>
      <w:r w:rsidR="001A386F" w:rsidRPr="007E4246">
        <w:rPr>
          <w:rFonts w:ascii="Times New Roman" w:hAnsi="Times New Roman" w:cs="Times New Roman"/>
          <w:sz w:val="24"/>
          <w:szCs w:val="24"/>
        </w:rPr>
        <w:t xml:space="preserve"> and</w:t>
      </w:r>
      <w:r w:rsidR="00DE1057" w:rsidRPr="007E4246">
        <w:rPr>
          <w:rFonts w:ascii="Times New Roman" w:hAnsi="Times New Roman" w:cs="Times New Roman"/>
          <w:sz w:val="24"/>
          <w:szCs w:val="24"/>
        </w:rPr>
        <w:t xml:space="preserve"> more available to a wider pool of customers, </w:t>
      </w:r>
      <w:r w:rsidR="001A386F" w:rsidRPr="007E4246">
        <w:rPr>
          <w:rFonts w:ascii="Times New Roman" w:hAnsi="Times New Roman" w:cs="Times New Roman"/>
          <w:sz w:val="24"/>
          <w:szCs w:val="24"/>
        </w:rPr>
        <w:t xml:space="preserve">which also </w:t>
      </w:r>
      <w:r w:rsidR="00DE1057" w:rsidRPr="007E4246">
        <w:rPr>
          <w:rFonts w:ascii="Times New Roman" w:hAnsi="Times New Roman" w:cs="Times New Roman"/>
          <w:sz w:val="24"/>
          <w:szCs w:val="24"/>
        </w:rPr>
        <w:t>provide</w:t>
      </w:r>
      <w:r w:rsidR="001A386F" w:rsidRPr="007E4246">
        <w:rPr>
          <w:rFonts w:ascii="Times New Roman" w:hAnsi="Times New Roman" w:cs="Times New Roman"/>
          <w:sz w:val="24"/>
          <w:szCs w:val="24"/>
        </w:rPr>
        <w:t>s</w:t>
      </w:r>
      <w:r w:rsidR="00DE1057" w:rsidRPr="007E4246">
        <w:rPr>
          <w:rFonts w:ascii="Times New Roman" w:hAnsi="Times New Roman" w:cs="Times New Roman"/>
          <w:sz w:val="24"/>
          <w:szCs w:val="24"/>
        </w:rPr>
        <w:t xml:space="preserve"> </w:t>
      </w:r>
      <w:r w:rsidR="001A386F" w:rsidRPr="007E4246">
        <w:rPr>
          <w:rFonts w:ascii="Times New Roman" w:hAnsi="Times New Roman" w:cs="Times New Roman"/>
          <w:sz w:val="24"/>
          <w:szCs w:val="24"/>
        </w:rPr>
        <w:t xml:space="preserve">greater </w:t>
      </w:r>
      <w:r w:rsidR="00DE1057" w:rsidRPr="007E4246">
        <w:rPr>
          <w:rFonts w:ascii="Times New Roman" w:hAnsi="Times New Roman" w:cs="Times New Roman"/>
          <w:sz w:val="24"/>
          <w:szCs w:val="24"/>
        </w:rPr>
        <w:t>variety in the type of lodging</w:t>
      </w:r>
      <w:r w:rsidR="001A386F" w:rsidRPr="007E4246">
        <w:rPr>
          <w:rFonts w:ascii="Times New Roman" w:hAnsi="Times New Roman" w:cs="Times New Roman"/>
          <w:sz w:val="24"/>
          <w:szCs w:val="24"/>
        </w:rPr>
        <w:t xml:space="preserve"> available</w:t>
      </w:r>
      <w:r w:rsidR="00DE1057" w:rsidRPr="007E4246">
        <w:rPr>
          <w:rFonts w:ascii="Times New Roman" w:hAnsi="Times New Roman" w:cs="Times New Roman"/>
          <w:sz w:val="24"/>
          <w:szCs w:val="24"/>
        </w:rPr>
        <w:t xml:space="preserve"> </w:t>
      </w:r>
      <w:r w:rsidR="000A24CE" w:rsidRPr="007E4246">
        <w:rPr>
          <w:rFonts w:ascii="Times New Roman" w:hAnsi="Times New Roman" w:cs="Times New Roman"/>
          <w:sz w:val="24"/>
          <w:szCs w:val="24"/>
        </w:rPr>
        <w:t xml:space="preserve">and </w:t>
      </w:r>
      <w:r w:rsidR="00DE1057" w:rsidRPr="007E4246">
        <w:rPr>
          <w:rFonts w:ascii="Times New Roman" w:hAnsi="Times New Roman" w:cs="Times New Roman"/>
          <w:sz w:val="24"/>
          <w:szCs w:val="24"/>
        </w:rPr>
        <w:t xml:space="preserve">increased and prolonged </w:t>
      </w:r>
      <w:r w:rsidR="000A24CE" w:rsidRPr="007E4246">
        <w:rPr>
          <w:rFonts w:ascii="Times New Roman" w:hAnsi="Times New Roman" w:cs="Times New Roman"/>
          <w:sz w:val="24"/>
          <w:szCs w:val="24"/>
        </w:rPr>
        <w:t>traveling</w:t>
      </w:r>
      <w:r w:rsidR="00DE1057" w:rsidRPr="007E4246">
        <w:rPr>
          <w:rFonts w:ascii="Times New Roman" w:hAnsi="Times New Roman" w:cs="Times New Roman"/>
          <w:sz w:val="24"/>
          <w:szCs w:val="24"/>
        </w:rPr>
        <w:t>.</w:t>
      </w:r>
      <w:r w:rsidR="00DE1057" w:rsidRPr="00C32D58">
        <w:rPr>
          <w:rStyle w:val="FootnoteReference"/>
          <w:rFonts w:ascii="Times New Roman" w:hAnsi="Times New Roman" w:cs="Times New Roman"/>
          <w:sz w:val="24"/>
          <w:szCs w:val="24"/>
        </w:rPr>
        <w:footnoteReference w:id="7"/>
      </w:r>
    </w:p>
    <w:p w14:paraId="7AA2C49B" w14:textId="77777777" w:rsidR="000F59F3" w:rsidRDefault="000F59F3" w:rsidP="007E4246">
      <w:pPr>
        <w:spacing w:after="0" w:line="240" w:lineRule="auto"/>
        <w:ind w:firstLine="720"/>
        <w:rPr>
          <w:rFonts w:ascii="Times New Roman" w:hAnsi="Times New Roman" w:cs="Times New Roman"/>
          <w:sz w:val="24"/>
          <w:szCs w:val="24"/>
        </w:rPr>
      </w:pPr>
    </w:p>
    <w:p w14:paraId="0CB5A4A0" w14:textId="75B5D0F9" w:rsidR="00560ECF" w:rsidRPr="00C32D58" w:rsidRDefault="00345493" w:rsidP="007E4246">
      <w:pPr>
        <w:spacing w:after="0" w:line="240" w:lineRule="auto"/>
        <w:ind w:firstLine="720"/>
        <w:rPr>
          <w:rFonts w:ascii="Times New Roman" w:hAnsi="Times New Roman" w:cs="Times New Roman"/>
          <w:sz w:val="24"/>
          <w:szCs w:val="24"/>
        </w:rPr>
      </w:pPr>
      <w:r w:rsidRPr="00C32D58">
        <w:rPr>
          <w:rFonts w:ascii="Times New Roman" w:hAnsi="Times New Roman" w:cs="Times New Roman"/>
          <w:sz w:val="24"/>
          <w:szCs w:val="24"/>
        </w:rPr>
        <w:t>Despite the</w:t>
      </w:r>
      <w:r w:rsidR="00F316BD" w:rsidRPr="00C32D58">
        <w:rPr>
          <w:rFonts w:ascii="Times New Roman" w:hAnsi="Times New Roman" w:cs="Times New Roman"/>
          <w:sz w:val="24"/>
          <w:szCs w:val="24"/>
        </w:rPr>
        <w:t xml:space="preserve"> apparent benefits brought</w:t>
      </w:r>
      <w:r w:rsidR="00C83EBC" w:rsidRPr="00C32D58">
        <w:rPr>
          <w:rFonts w:ascii="Times New Roman" w:hAnsi="Times New Roman" w:cs="Times New Roman"/>
          <w:sz w:val="24"/>
          <w:szCs w:val="24"/>
        </w:rPr>
        <w:t xml:space="preserve"> about by the new sharing econo</w:t>
      </w:r>
      <w:r w:rsidR="00F316BD" w:rsidRPr="00C32D58">
        <w:rPr>
          <w:rFonts w:ascii="Times New Roman" w:hAnsi="Times New Roman" w:cs="Times New Roman"/>
          <w:sz w:val="24"/>
          <w:szCs w:val="24"/>
        </w:rPr>
        <w:t>my,</w:t>
      </w:r>
      <w:r w:rsidRPr="00C32D58">
        <w:rPr>
          <w:rFonts w:ascii="Times New Roman" w:hAnsi="Times New Roman" w:cs="Times New Roman"/>
          <w:sz w:val="24"/>
          <w:szCs w:val="24"/>
        </w:rPr>
        <w:t xml:space="preserve"> </w:t>
      </w:r>
      <w:r w:rsidR="00F316BD" w:rsidRPr="00C32D58">
        <w:rPr>
          <w:rFonts w:ascii="Times New Roman" w:hAnsi="Times New Roman" w:cs="Times New Roman"/>
          <w:sz w:val="24"/>
          <w:szCs w:val="24"/>
        </w:rPr>
        <w:t>t</w:t>
      </w:r>
      <w:r w:rsidR="00927475" w:rsidRPr="00C32D58">
        <w:rPr>
          <w:rFonts w:ascii="Times New Roman" w:hAnsi="Times New Roman" w:cs="Times New Roman"/>
          <w:sz w:val="24"/>
          <w:szCs w:val="24"/>
        </w:rPr>
        <w:t xml:space="preserve">he </w:t>
      </w:r>
      <w:r w:rsidR="00BA3C4D" w:rsidRPr="00C32D58">
        <w:rPr>
          <w:rFonts w:ascii="Times New Roman" w:hAnsi="Times New Roman" w:cs="Times New Roman"/>
          <w:sz w:val="24"/>
          <w:szCs w:val="24"/>
        </w:rPr>
        <w:t xml:space="preserve">advent </w:t>
      </w:r>
      <w:r w:rsidR="00927475" w:rsidRPr="00C32D58">
        <w:rPr>
          <w:rFonts w:ascii="Times New Roman" w:hAnsi="Times New Roman" w:cs="Times New Roman"/>
          <w:sz w:val="24"/>
          <w:szCs w:val="24"/>
        </w:rPr>
        <w:t>of Uber, Lyft, Airbnb</w:t>
      </w:r>
      <w:r w:rsidR="002361D9" w:rsidRPr="00C32D58">
        <w:rPr>
          <w:rFonts w:ascii="Times New Roman" w:hAnsi="Times New Roman" w:cs="Times New Roman"/>
          <w:sz w:val="24"/>
          <w:szCs w:val="24"/>
        </w:rPr>
        <w:t>,</w:t>
      </w:r>
      <w:r w:rsidR="00927475" w:rsidRPr="00C32D58">
        <w:rPr>
          <w:rFonts w:ascii="Times New Roman" w:hAnsi="Times New Roman" w:cs="Times New Roman"/>
          <w:sz w:val="24"/>
          <w:szCs w:val="24"/>
        </w:rPr>
        <w:t xml:space="preserve"> and other digital platforms as sources of </w:t>
      </w:r>
      <w:r w:rsidR="0022355A" w:rsidRPr="00C32D58">
        <w:rPr>
          <w:rFonts w:ascii="Times New Roman" w:hAnsi="Times New Roman" w:cs="Times New Roman"/>
          <w:sz w:val="24"/>
          <w:szCs w:val="24"/>
        </w:rPr>
        <w:t xml:space="preserve">income </w:t>
      </w:r>
      <w:r w:rsidR="001A386F" w:rsidRPr="00C32D58">
        <w:rPr>
          <w:rFonts w:ascii="Times New Roman" w:hAnsi="Times New Roman" w:cs="Times New Roman"/>
          <w:sz w:val="24"/>
          <w:szCs w:val="24"/>
        </w:rPr>
        <w:t xml:space="preserve">poses </w:t>
      </w:r>
      <w:r w:rsidR="00560ECF" w:rsidRPr="00C32D58">
        <w:rPr>
          <w:rFonts w:ascii="Times New Roman" w:hAnsi="Times New Roman" w:cs="Times New Roman"/>
          <w:sz w:val="24"/>
          <w:szCs w:val="24"/>
        </w:rPr>
        <w:t xml:space="preserve">a range of regulatory challenges, </w:t>
      </w:r>
      <w:r w:rsidR="0022355A" w:rsidRPr="00C32D58">
        <w:rPr>
          <w:rFonts w:ascii="Times New Roman" w:hAnsi="Times New Roman" w:cs="Times New Roman"/>
          <w:sz w:val="24"/>
          <w:szCs w:val="24"/>
        </w:rPr>
        <w:t>including</w:t>
      </w:r>
      <w:r w:rsidR="00927475" w:rsidRPr="00C32D58">
        <w:rPr>
          <w:rFonts w:ascii="Times New Roman" w:hAnsi="Times New Roman" w:cs="Times New Roman"/>
          <w:sz w:val="24"/>
          <w:szCs w:val="24"/>
        </w:rPr>
        <w:t xml:space="preserve"> </w:t>
      </w:r>
      <w:r w:rsidR="00194A7A" w:rsidRPr="00C32D58">
        <w:rPr>
          <w:rFonts w:ascii="Times New Roman" w:hAnsi="Times New Roman" w:cs="Times New Roman"/>
          <w:sz w:val="24"/>
          <w:szCs w:val="24"/>
        </w:rPr>
        <w:t xml:space="preserve">worker </w:t>
      </w:r>
      <w:r w:rsidR="00927475" w:rsidRPr="00C32D58">
        <w:rPr>
          <w:rFonts w:ascii="Times New Roman" w:hAnsi="Times New Roman" w:cs="Times New Roman"/>
          <w:sz w:val="24"/>
          <w:szCs w:val="24"/>
        </w:rPr>
        <w:t>classification, safety</w:t>
      </w:r>
      <w:r w:rsidR="00560ECF" w:rsidRPr="00C32D58">
        <w:rPr>
          <w:rFonts w:ascii="Times New Roman" w:hAnsi="Times New Roman" w:cs="Times New Roman"/>
          <w:sz w:val="24"/>
          <w:szCs w:val="24"/>
        </w:rPr>
        <w:t xml:space="preserve"> protections, insurance standards, taxation, </w:t>
      </w:r>
      <w:r w:rsidR="00BA3C4D" w:rsidRPr="00C32D58">
        <w:rPr>
          <w:rFonts w:ascii="Times New Roman" w:hAnsi="Times New Roman" w:cs="Times New Roman"/>
          <w:sz w:val="24"/>
          <w:szCs w:val="24"/>
        </w:rPr>
        <w:t xml:space="preserve">and </w:t>
      </w:r>
      <w:r w:rsidR="00560ECF" w:rsidRPr="00C32D58">
        <w:rPr>
          <w:rFonts w:ascii="Times New Roman" w:hAnsi="Times New Roman" w:cs="Times New Roman"/>
          <w:sz w:val="24"/>
          <w:szCs w:val="24"/>
        </w:rPr>
        <w:t>licensing and permitting requirements</w:t>
      </w:r>
      <w:r w:rsidR="00927475" w:rsidRPr="00C32D58">
        <w:rPr>
          <w:rFonts w:ascii="Times New Roman" w:hAnsi="Times New Roman" w:cs="Times New Roman"/>
          <w:sz w:val="24"/>
          <w:szCs w:val="24"/>
        </w:rPr>
        <w:t>. Attempts to fit new breed</w:t>
      </w:r>
      <w:r w:rsidR="00560ECF" w:rsidRPr="00C32D58">
        <w:rPr>
          <w:rFonts w:ascii="Times New Roman" w:hAnsi="Times New Roman" w:cs="Times New Roman"/>
          <w:sz w:val="24"/>
          <w:szCs w:val="24"/>
        </w:rPr>
        <w:t xml:space="preserve">s of online service delivery </w:t>
      </w:r>
      <w:r w:rsidR="00927475" w:rsidRPr="00C32D58">
        <w:rPr>
          <w:rFonts w:ascii="Times New Roman" w:hAnsi="Times New Roman" w:cs="Times New Roman"/>
          <w:sz w:val="24"/>
          <w:szCs w:val="24"/>
        </w:rPr>
        <w:t>into existing laws ha</w:t>
      </w:r>
      <w:r w:rsidR="00E91E50" w:rsidRPr="00C32D58">
        <w:rPr>
          <w:rFonts w:ascii="Times New Roman" w:hAnsi="Times New Roman" w:cs="Times New Roman"/>
          <w:sz w:val="24"/>
          <w:szCs w:val="24"/>
        </w:rPr>
        <w:t>ve</w:t>
      </w:r>
      <w:r w:rsidR="00927475" w:rsidRPr="00C32D58">
        <w:rPr>
          <w:rFonts w:ascii="Times New Roman" w:hAnsi="Times New Roman" w:cs="Times New Roman"/>
          <w:sz w:val="24"/>
          <w:szCs w:val="24"/>
        </w:rPr>
        <w:t xml:space="preserve"> resulted in much litigation with very few concrete answers. As </w:t>
      </w:r>
      <w:r w:rsidR="001A386F" w:rsidRPr="00C32D58">
        <w:rPr>
          <w:rFonts w:ascii="Times New Roman" w:hAnsi="Times New Roman" w:cs="Times New Roman"/>
          <w:sz w:val="24"/>
          <w:szCs w:val="24"/>
        </w:rPr>
        <w:t xml:space="preserve">United States Federal District Court </w:t>
      </w:r>
      <w:r w:rsidR="00927475" w:rsidRPr="00C32D58">
        <w:rPr>
          <w:rFonts w:ascii="Times New Roman" w:hAnsi="Times New Roman" w:cs="Times New Roman"/>
          <w:sz w:val="24"/>
          <w:szCs w:val="24"/>
        </w:rPr>
        <w:t xml:space="preserve">Judge Chhabria stated </w:t>
      </w:r>
      <w:r w:rsidR="00385AB9" w:rsidRPr="00C32D58">
        <w:rPr>
          <w:rFonts w:ascii="Times New Roman" w:hAnsi="Times New Roman" w:cs="Times New Roman"/>
          <w:sz w:val="24"/>
          <w:szCs w:val="24"/>
        </w:rPr>
        <w:t>regarding</w:t>
      </w:r>
      <w:r w:rsidR="00927475" w:rsidRPr="00C32D58">
        <w:rPr>
          <w:rFonts w:ascii="Times New Roman" w:hAnsi="Times New Roman" w:cs="Times New Roman"/>
          <w:sz w:val="24"/>
          <w:szCs w:val="24"/>
        </w:rPr>
        <w:t xml:space="preserve"> the classification of Lyft drivers, the task is</w:t>
      </w:r>
      <w:r w:rsidR="00560ECF" w:rsidRPr="00C32D58">
        <w:rPr>
          <w:rFonts w:ascii="Times New Roman" w:hAnsi="Times New Roman" w:cs="Times New Roman"/>
          <w:sz w:val="24"/>
          <w:szCs w:val="24"/>
        </w:rPr>
        <w:t xml:space="preserve"> often</w:t>
      </w:r>
      <w:r w:rsidR="00927475" w:rsidRPr="00C32D58">
        <w:rPr>
          <w:rFonts w:ascii="Times New Roman" w:hAnsi="Times New Roman" w:cs="Times New Roman"/>
          <w:sz w:val="24"/>
          <w:szCs w:val="24"/>
        </w:rPr>
        <w:t xml:space="preserve"> akin to “be[ing] handed a square peg and asked to choose between two round holes.”</w:t>
      </w:r>
      <w:r w:rsidR="00927475" w:rsidRPr="00C32D58">
        <w:rPr>
          <w:rStyle w:val="FootnoteReference"/>
          <w:rFonts w:ascii="Times New Roman" w:hAnsi="Times New Roman" w:cs="Times New Roman"/>
          <w:sz w:val="24"/>
          <w:szCs w:val="24"/>
        </w:rPr>
        <w:footnoteReference w:id="8"/>
      </w:r>
      <w:r w:rsidR="00927475" w:rsidRPr="00C32D58">
        <w:rPr>
          <w:rFonts w:ascii="Times New Roman" w:hAnsi="Times New Roman" w:cs="Times New Roman"/>
          <w:sz w:val="24"/>
          <w:szCs w:val="24"/>
        </w:rPr>
        <w:t xml:space="preserve"> </w:t>
      </w:r>
      <w:r w:rsidR="00DF35CD" w:rsidRPr="00C32D58">
        <w:rPr>
          <w:rFonts w:ascii="Times New Roman" w:hAnsi="Times New Roman" w:cs="Times New Roman"/>
          <w:sz w:val="24"/>
          <w:szCs w:val="24"/>
        </w:rPr>
        <w:t>An i</w:t>
      </w:r>
      <w:r w:rsidR="00927475" w:rsidRPr="00C32D58">
        <w:rPr>
          <w:rFonts w:ascii="Times New Roman" w:hAnsi="Times New Roman" w:cs="Times New Roman"/>
          <w:sz w:val="24"/>
          <w:szCs w:val="24"/>
        </w:rPr>
        <w:t xml:space="preserve">mmediate </w:t>
      </w:r>
      <w:r w:rsidR="00560ECF" w:rsidRPr="00C32D58">
        <w:rPr>
          <w:rFonts w:ascii="Times New Roman" w:hAnsi="Times New Roman" w:cs="Times New Roman"/>
          <w:sz w:val="24"/>
          <w:szCs w:val="24"/>
        </w:rPr>
        <w:t>judicial</w:t>
      </w:r>
      <w:r w:rsidR="00927475" w:rsidRPr="00C32D58">
        <w:rPr>
          <w:rFonts w:ascii="Times New Roman" w:hAnsi="Times New Roman" w:cs="Times New Roman"/>
          <w:sz w:val="24"/>
          <w:szCs w:val="24"/>
        </w:rPr>
        <w:t xml:space="preserve"> resolution </w:t>
      </w:r>
      <w:r w:rsidR="00560ECF" w:rsidRPr="00C32D58">
        <w:rPr>
          <w:rFonts w:ascii="Times New Roman" w:hAnsi="Times New Roman" w:cs="Times New Roman"/>
          <w:sz w:val="24"/>
          <w:szCs w:val="24"/>
        </w:rPr>
        <w:t>has</w:t>
      </w:r>
      <w:r w:rsidR="00927475" w:rsidRPr="00C32D58">
        <w:rPr>
          <w:rFonts w:ascii="Times New Roman" w:hAnsi="Times New Roman" w:cs="Times New Roman"/>
          <w:sz w:val="24"/>
          <w:szCs w:val="24"/>
        </w:rPr>
        <w:t xml:space="preserve"> </w:t>
      </w:r>
      <w:r w:rsidR="00560ECF" w:rsidRPr="00C32D58">
        <w:rPr>
          <w:rFonts w:ascii="Times New Roman" w:hAnsi="Times New Roman" w:cs="Times New Roman"/>
          <w:sz w:val="24"/>
          <w:szCs w:val="24"/>
        </w:rPr>
        <w:t xml:space="preserve">been delayed </w:t>
      </w:r>
      <w:r w:rsidR="001A386F" w:rsidRPr="00C32D58">
        <w:rPr>
          <w:rFonts w:ascii="Times New Roman" w:hAnsi="Times New Roman" w:cs="Times New Roman"/>
          <w:sz w:val="24"/>
          <w:szCs w:val="24"/>
        </w:rPr>
        <w:t xml:space="preserve">in </w:t>
      </w:r>
      <w:r w:rsidR="00560ECF" w:rsidRPr="00C32D58">
        <w:rPr>
          <w:rFonts w:ascii="Times New Roman" w:hAnsi="Times New Roman" w:cs="Times New Roman"/>
          <w:sz w:val="24"/>
          <w:szCs w:val="24"/>
        </w:rPr>
        <w:t xml:space="preserve">a </w:t>
      </w:r>
      <w:r w:rsidR="00927475" w:rsidRPr="00C32D58">
        <w:rPr>
          <w:rFonts w:ascii="Times New Roman" w:hAnsi="Times New Roman" w:cs="Times New Roman"/>
          <w:sz w:val="24"/>
          <w:szCs w:val="24"/>
        </w:rPr>
        <w:t xml:space="preserve">number of cases </w:t>
      </w:r>
      <w:r w:rsidR="001A386F" w:rsidRPr="00C32D58">
        <w:rPr>
          <w:rFonts w:ascii="Times New Roman" w:hAnsi="Times New Roman" w:cs="Times New Roman"/>
          <w:sz w:val="24"/>
          <w:szCs w:val="24"/>
        </w:rPr>
        <w:t xml:space="preserve">that </w:t>
      </w:r>
      <w:r w:rsidR="00014DB2" w:rsidRPr="00C32D58">
        <w:rPr>
          <w:rFonts w:ascii="Times New Roman" w:hAnsi="Times New Roman" w:cs="Times New Roman"/>
          <w:sz w:val="24"/>
          <w:szCs w:val="24"/>
        </w:rPr>
        <w:t xml:space="preserve">have </w:t>
      </w:r>
      <w:r w:rsidR="00927475" w:rsidRPr="00C32D58">
        <w:rPr>
          <w:rFonts w:ascii="Times New Roman" w:hAnsi="Times New Roman" w:cs="Times New Roman"/>
          <w:sz w:val="24"/>
          <w:szCs w:val="24"/>
        </w:rPr>
        <w:t>either stalled in the courts for years,</w:t>
      </w:r>
      <w:r w:rsidR="00927475" w:rsidRPr="00C32D58">
        <w:rPr>
          <w:rStyle w:val="FootnoteReference"/>
          <w:rFonts w:ascii="Times New Roman" w:hAnsi="Times New Roman" w:cs="Times New Roman"/>
          <w:sz w:val="24"/>
          <w:szCs w:val="24"/>
        </w:rPr>
        <w:footnoteReference w:id="9"/>
      </w:r>
      <w:r w:rsidR="00927475" w:rsidRPr="00C32D58">
        <w:rPr>
          <w:rFonts w:ascii="Times New Roman" w:hAnsi="Times New Roman" w:cs="Times New Roman"/>
          <w:sz w:val="24"/>
          <w:szCs w:val="24"/>
        </w:rPr>
        <w:t xml:space="preserve"> </w:t>
      </w:r>
      <w:r w:rsidR="00560ECF" w:rsidRPr="00C32D58">
        <w:rPr>
          <w:rFonts w:ascii="Times New Roman" w:hAnsi="Times New Roman" w:cs="Times New Roman"/>
          <w:sz w:val="24"/>
          <w:szCs w:val="24"/>
        </w:rPr>
        <w:t xml:space="preserve">been </w:t>
      </w:r>
      <w:r w:rsidR="00927475" w:rsidRPr="00C32D58">
        <w:rPr>
          <w:rFonts w:ascii="Times New Roman" w:hAnsi="Times New Roman" w:cs="Times New Roman"/>
          <w:sz w:val="24"/>
          <w:szCs w:val="24"/>
        </w:rPr>
        <w:t>dismissed for procedural shortcomings,</w:t>
      </w:r>
      <w:r w:rsidR="00927475" w:rsidRPr="00C32D58">
        <w:rPr>
          <w:rStyle w:val="FootnoteReference"/>
          <w:rFonts w:ascii="Times New Roman" w:hAnsi="Times New Roman" w:cs="Times New Roman"/>
          <w:sz w:val="24"/>
          <w:szCs w:val="24"/>
        </w:rPr>
        <w:footnoteReference w:id="10"/>
      </w:r>
      <w:r w:rsidR="00927475" w:rsidRPr="00C32D58">
        <w:rPr>
          <w:rFonts w:ascii="Times New Roman" w:hAnsi="Times New Roman" w:cs="Times New Roman"/>
          <w:sz w:val="24"/>
          <w:szCs w:val="24"/>
        </w:rPr>
        <w:t xml:space="preserve"> or settled before a decision could be rendered.</w:t>
      </w:r>
      <w:r w:rsidR="00927475" w:rsidRPr="00C32D58">
        <w:rPr>
          <w:rStyle w:val="FootnoteReference"/>
          <w:rFonts w:ascii="Times New Roman" w:hAnsi="Times New Roman" w:cs="Times New Roman"/>
          <w:sz w:val="24"/>
          <w:szCs w:val="24"/>
        </w:rPr>
        <w:footnoteReference w:id="11"/>
      </w:r>
      <w:r w:rsidR="00927475" w:rsidRPr="00C32D58">
        <w:rPr>
          <w:rFonts w:ascii="Times New Roman" w:hAnsi="Times New Roman" w:cs="Times New Roman"/>
          <w:sz w:val="24"/>
          <w:szCs w:val="24"/>
        </w:rPr>
        <w:t xml:space="preserve"> As some commentators, including Judge Chhabria, have suggested, some of the</w:t>
      </w:r>
      <w:r w:rsidR="00065648" w:rsidRPr="00C32D58">
        <w:rPr>
          <w:rFonts w:ascii="Times New Roman" w:hAnsi="Times New Roman" w:cs="Times New Roman"/>
          <w:sz w:val="24"/>
          <w:szCs w:val="24"/>
        </w:rPr>
        <w:t xml:space="preserve">se issues </w:t>
      </w:r>
      <w:r w:rsidR="00927475" w:rsidRPr="00C32D58">
        <w:rPr>
          <w:rFonts w:ascii="Times New Roman" w:hAnsi="Times New Roman" w:cs="Times New Roman"/>
          <w:sz w:val="24"/>
          <w:szCs w:val="24"/>
        </w:rPr>
        <w:t>may be better suited for regulatory and legislative resolution rather than litigation.</w:t>
      </w:r>
      <w:r w:rsidR="00927475" w:rsidRPr="00C32D58">
        <w:rPr>
          <w:rStyle w:val="FootnoteReference"/>
          <w:rFonts w:ascii="Times New Roman" w:hAnsi="Times New Roman" w:cs="Times New Roman"/>
          <w:sz w:val="24"/>
          <w:szCs w:val="24"/>
        </w:rPr>
        <w:footnoteReference w:id="12"/>
      </w:r>
      <w:r w:rsidR="001A386F" w:rsidRPr="00C32D58">
        <w:rPr>
          <w:rFonts w:ascii="Times New Roman" w:hAnsi="Times New Roman" w:cs="Times New Roman"/>
          <w:sz w:val="24"/>
          <w:szCs w:val="24"/>
        </w:rPr>
        <w:t xml:space="preserve">  </w:t>
      </w:r>
      <w:r w:rsidR="001D4A23" w:rsidRPr="00C32D58">
        <w:rPr>
          <w:rFonts w:ascii="Times New Roman" w:hAnsi="Times New Roman" w:cs="Times New Roman"/>
          <w:sz w:val="24"/>
          <w:szCs w:val="24"/>
        </w:rPr>
        <w:t xml:space="preserve">No matter </w:t>
      </w:r>
      <w:r w:rsidR="00560ECF" w:rsidRPr="00C32D58">
        <w:rPr>
          <w:rFonts w:ascii="Times New Roman" w:hAnsi="Times New Roman" w:cs="Times New Roman"/>
          <w:sz w:val="24"/>
          <w:szCs w:val="24"/>
        </w:rPr>
        <w:t xml:space="preserve">the forum, the law must grapple with the ways in which new business models create both risks and opportunities </w:t>
      </w:r>
      <w:r w:rsidR="001A386F" w:rsidRPr="00C32D58">
        <w:rPr>
          <w:rFonts w:ascii="Times New Roman" w:hAnsi="Times New Roman" w:cs="Times New Roman"/>
          <w:sz w:val="24"/>
          <w:szCs w:val="24"/>
        </w:rPr>
        <w:t xml:space="preserve">for achieving </w:t>
      </w:r>
      <w:r w:rsidR="00560ECF" w:rsidRPr="00C32D58">
        <w:rPr>
          <w:rFonts w:ascii="Times New Roman" w:hAnsi="Times New Roman" w:cs="Times New Roman"/>
          <w:sz w:val="24"/>
          <w:szCs w:val="24"/>
        </w:rPr>
        <w:t>the goals underlying our social policies. For legislatures, regulators, and courts to better address the range of questions posed by the tension between business innovation and existing laws, we must understand the logic and value</w:t>
      </w:r>
      <w:r w:rsidR="0022355A" w:rsidRPr="00C32D58">
        <w:rPr>
          <w:rFonts w:ascii="Times New Roman" w:hAnsi="Times New Roman" w:cs="Times New Roman"/>
          <w:sz w:val="24"/>
          <w:szCs w:val="24"/>
        </w:rPr>
        <w:t>, as well as the risks,</w:t>
      </w:r>
      <w:r w:rsidR="00560ECF" w:rsidRPr="00C32D58">
        <w:rPr>
          <w:rFonts w:ascii="Times New Roman" w:hAnsi="Times New Roman" w:cs="Times New Roman"/>
          <w:sz w:val="24"/>
          <w:szCs w:val="24"/>
        </w:rPr>
        <w:t xml:space="preserve"> created by the digital platform.</w:t>
      </w:r>
    </w:p>
    <w:p w14:paraId="61607B67" w14:textId="77777777" w:rsidR="000F59F3" w:rsidRDefault="000F59F3" w:rsidP="00C32D58">
      <w:pPr>
        <w:pStyle w:val="BodyText"/>
        <w:ind w:left="90" w:right="109" w:firstLine="630"/>
        <w:rPr>
          <w:rFonts w:ascii="Times New Roman" w:hAnsi="Times New Roman" w:cs="Times New Roman"/>
          <w:iCs/>
        </w:rPr>
      </w:pPr>
    </w:p>
    <w:p w14:paraId="2F793397" w14:textId="532B0B32" w:rsidR="008F0E4C" w:rsidRPr="00C32D58" w:rsidRDefault="008F0E4C" w:rsidP="00C32D58">
      <w:pPr>
        <w:pStyle w:val="BodyText"/>
        <w:ind w:left="90" w:right="109" w:firstLine="630"/>
        <w:rPr>
          <w:rFonts w:ascii="Times New Roman" w:hAnsi="Times New Roman" w:cs="Times New Roman"/>
          <w:iCs/>
        </w:rPr>
      </w:pPr>
      <w:r w:rsidRPr="00C32D58">
        <w:rPr>
          <w:rFonts w:ascii="Times New Roman" w:hAnsi="Times New Roman" w:cs="Times New Roman"/>
          <w:iCs/>
        </w:rPr>
        <w:t>This Chapter analyze</w:t>
      </w:r>
      <w:r w:rsidR="00576CA3" w:rsidRPr="00C32D58">
        <w:rPr>
          <w:rFonts w:ascii="Times New Roman" w:hAnsi="Times New Roman" w:cs="Times New Roman"/>
          <w:iCs/>
        </w:rPr>
        <w:t>s</w:t>
      </w:r>
      <w:r w:rsidRPr="00C32D58">
        <w:rPr>
          <w:rFonts w:ascii="Times New Roman" w:hAnsi="Times New Roman" w:cs="Times New Roman"/>
          <w:iCs/>
        </w:rPr>
        <w:t xml:space="preserve"> the ways in which </w:t>
      </w:r>
      <w:r w:rsidR="001E0C40" w:rsidRPr="00C32D58">
        <w:rPr>
          <w:rFonts w:ascii="Times New Roman" w:hAnsi="Times New Roman" w:cs="Times New Roman"/>
          <w:iCs/>
        </w:rPr>
        <w:t xml:space="preserve">digital </w:t>
      </w:r>
      <w:r w:rsidRPr="00C32D58">
        <w:rPr>
          <w:rFonts w:ascii="Times New Roman" w:hAnsi="Times New Roman" w:cs="Times New Roman"/>
          <w:iCs/>
        </w:rPr>
        <w:t xml:space="preserve">platforms such as Uber and Airbnb are perfecting the </w:t>
      </w:r>
      <w:r w:rsidR="00E8195B" w:rsidRPr="00C32D58">
        <w:rPr>
          <w:rFonts w:ascii="Times New Roman" w:hAnsi="Times New Roman" w:cs="Times New Roman"/>
          <w:iCs/>
        </w:rPr>
        <w:t>stag</w:t>
      </w:r>
      <w:r w:rsidR="007B4ED5" w:rsidRPr="00C32D58">
        <w:rPr>
          <w:rFonts w:ascii="Times New Roman" w:hAnsi="Times New Roman" w:cs="Times New Roman"/>
          <w:iCs/>
        </w:rPr>
        <w:t>e</w:t>
      </w:r>
      <w:r w:rsidR="00E8195B" w:rsidRPr="00C32D58">
        <w:rPr>
          <w:rFonts w:ascii="Times New Roman" w:hAnsi="Times New Roman" w:cs="Times New Roman"/>
          <w:iCs/>
        </w:rPr>
        <w:t xml:space="preserve">s of </w:t>
      </w:r>
      <w:r w:rsidRPr="00C32D58">
        <w:rPr>
          <w:rFonts w:ascii="Times New Roman" w:hAnsi="Times New Roman" w:cs="Times New Roman"/>
          <w:iCs/>
        </w:rPr>
        <w:t>deal</w:t>
      </w:r>
      <w:r w:rsidR="00E8195B" w:rsidRPr="00C32D58">
        <w:rPr>
          <w:rFonts w:ascii="Times New Roman" w:hAnsi="Times New Roman" w:cs="Times New Roman"/>
          <w:iCs/>
        </w:rPr>
        <w:t>-making</w:t>
      </w:r>
      <w:r w:rsidRPr="00C32D58">
        <w:rPr>
          <w:rFonts w:ascii="Times New Roman" w:hAnsi="Times New Roman" w:cs="Times New Roman"/>
          <w:iCs/>
        </w:rPr>
        <w:t xml:space="preserve"> and lowering transaction costs. The chapter argues that </w:t>
      </w:r>
      <w:r w:rsidR="001A386F" w:rsidRPr="00C32D58">
        <w:rPr>
          <w:rFonts w:ascii="Times New Roman" w:hAnsi="Times New Roman" w:cs="Times New Roman"/>
          <w:iCs/>
        </w:rPr>
        <w:t xml:space="preserve">– in each of </w:t>
      </w:r>
      <w:r w:rsidRPr="00C32D58">
        <w:rPr>
          <w:rFonts w:ascii="Times New Roman" w:hAnsi="Times New Roman" w:cs="Times New Roman"/>
          <w:iCs/>
        </w:rPr>
        <w:t>the three stages of pre-deal, deal-making, and post-deal</w:t>
      </w:r>
      <w:r w:rsidR="001A386F" w:rsidRPr="00C32D58">
        <w:rPr>
          <w:rFonts w:ascii="Times New Roman" w:hAnsi="Times New Roman" w:cs="Times New Roman"/>
          <w:iCs/>
        </w:rPr>
        <w:t xml:space="preserve"> –</w:t>
      </w:r>
      <w:r w:rsidRPr="00C32D58">
        <w:rPr>
          <w:rFonts w:ascii="Times New Roman" w:hAnsi="Times New Roman" w:cs="Times New Roman"/>
          <w:iCs/>
        </w:rPr>
        <w:t xml:space="preserve"> 1) search costs; 2) bargaining and decision costs; and 3) policing and enforcement costs, may benefit from the digital platform</w:t>
      </w:r>
      <w:r w:rsidR="00DF7071" w:rsidRPr="00C32D58">
        <w:rPr>
          <w:rFonts w:ascii="Times New Roman" w:hAnsi="Times New Roman" w:cs="Times New Roman"/>
          <w:iCs/>
        </w:rPr>
        <w:t xml:space="preserve"> model</w:t>
      </w:r>
      <w:r w:rsidRPr="00C32D58">
        <w:rPr>
          <w:rFonts w:ascii="Times New Roman" w:hAnsi="Times New Roman" w:cs="Times New Roman"/>
          <w:iCs/>
        </w:rPr>
        <w:t>. Each stage depends on enhanced information and optimal matching to reduce costs. The chapter</w:t>
      </w:r>
      <w:r w:rsidR="00654A9C" w:rsidRPr="00C32D58">
        <w:rPr>
          <w:rFonts w:ascii="Times New Roman" w:hAnsi="Times New Roman" w:cs="Times New Roman"/>
          <w:iCs/>
        </w:rPr>
        <w:t xml:space="preserve"> </w:t>
      </w:r>
      <w:r w:rsidR="0030425A" w:rsidRPr="00C32D58">
        <w:rPr>
          <w:rFonts w:ascii="Times New Roman" w:hAnsi="Times New Roman" w:cs="Times New Roman"/>
          <w:iCs/>
        </w:rPr>
        <w:t xml:space="preserve">illustrates </w:t>
      </w:r>
      <w:r w:rsidRPr="00C32D58">
        <w:rPr>
          <w:rFonts w:ascii="Times New Roman" w:hAnsi="Times New Roman" w:cs="Times New Roman"/>
          <w:iCs/>
        </w:rPr>
        <w:t>how the platform</w:t>
      </w:r>
      <w:r w:rsidR="00853161" w:rsidRPr="00C32D58">
        <w:rPr>
          <w:rFonts w:ascii="Times New Roman" w:hAnsi="Times New Roman" w:cs="Times New Roman"/>
          <w:iCs/>
        </w:rPr>
        <w:t>s</w:t>
      </w:r>
      <w:r w:rsidR="00141B0C" w:rsidRPr="00C32D58">
        <w:rPr>
          <w:rFonts w:ascii="Times New Roman" w:hAnsi="Times New Roman" w:cs="Times New Roman"/>
          <w:iCs/>
        </w:rPr>
        <w:t>,</w:t>
      </w:r>
      <w:r w:rsidRPr="00C32D58">
        <w:rPr>
          <w:rFonts w:ascii="Times New Roman" w:hAnsi="Times New Roman" w:cs="Times New Roman"/>
          <w:iCs/>
        </w:rPr>
        <w:t xml:space="preserve"> based on digital large scale multi-sided networks and sophisticated algorithmic pricing</w:t>
      </w:r>
      <w:r w:rsidR="00141B0C" w:rsidRPr="00C32D58">
        <w:rPr>
          <w:rFonts w:ascii="Times New Roman" w:hAnsi="Times New Roman" w:cs="Times New Roman"/>
          <w:iCs/>
        </w:rPr>
        <w:t xml:space="preserve">, </w:t>
      </w:r>
      <w:r w:rsidR="00853161" w:rsidRPr="00C32D58">
        <w:rPr>
          <w:rFonts w:ascii="Times New Roman" w:hAnsi="Times New Roman" w:cs="Times New Roman"/>
          <w:iCs/>
        </w:rPr>
        <w:t xml:space="preserve">positively </w:t>
      </w:r>
      <w:r w:rsidRPr="00C32D58">
        <w:rPr>
          <w:rFonts w:ascii="Times New Roman" w:hAnsi="Times New Roman" w:cs="Times New Roman"/>
          <w:iCs/>
        </w:rPr>
        <w:t xml:space="preserve">impact the relevant transaction costs at all three stages. </w:t>
      </w:r>
      <w:r w:rsidR="005E0289" w:rsidRPr="00C32D58">
        <w:rPr>
          <w:rFonts w:ascii="Times New Roman" w:hAnsi="Times New Roman" w:cs="Times New Roman"/>
          <w:iCs/>
        </w:rPr>
        <w:t>Drawing primarily on examples from the legal challenges platforms face in the United States, the chapter</w:t>
      </w:r>
      <w:r w:rsidRPr="00C32D58">
        <w:rPr>
          <w:rFonts w:ascii="Times New Roman" w:hAnsi="Times New Roman" w:cs="Times New Roman"/>
          <w:iCs/>
        </w:rPr>
        <w:t xml:space="preserve"> then suggests that regulators must consider the opportunities that come from platform delivery as well as the possibility that certain traditional regulations </w:t>
      </w:r>
      <w:r w:rsidR="008E3139" w:rsidRPr="00C32D58">
        <w:rPr>
          <w:rFonts w:ascii="Times New Roman" w:hAnsi="Times New Roman" w:cs="Times New Roman"/>
          <w:iCs/>
        </w:rPr>
        <w:t xml:space="preserve">have </w:t>
      </w:r>
      <w:r w:rsidRPr="00C32D58">
        <w:rPr>
          <w:rFonts w:ascii="Times New Roman" w:hAnsi="Times New Roman" w:cs="Times New Roman"/>
          <w:iCs/>
        </w:rPr>
        <w:lastRenderedPageBreak/>
        <w:t xml:space="preserve">become redundant </w:t>
      </w:r>
      <w:r w:rsidR="008E3139" w:rsidRPr="00C32D58">
        <w:rPr>
          <w:rFonts w:ascii="Times New Roman" w:hAnsi="Times New Roman" w:cs="Times New Roman"/>
          <w:iCs/>
        </w:rPr>
        <w:t xml:space="preserve">through </w:t>
      </w:r>
      <w:r w:rsidRPr="00C32D58">
        <w:rPr>
          <w:rFonts w:ascii="Times New Roman" w:hAnsi="Times New Roman" w:cs="Times New Roman"/>
          <w:iCs/>
        </w:rPr>
        <w:t>platform innovations.</w:t>
      </w:r>
      <w:r w:rsidR="007D6EEF" w:rsidRPr="00C32D58">
        <w:rPr>
          <w:rFonts w:ascii="Times New Roman" w:hAnsi="Times New Roman" w:cs="Times New Roman"/>
          <w:iCs/>
        </w:rPr>
        <w:t xml:space="preserve"> The chapter thereby urges policymakers to identify the areas that continue to require regulatory solutions and those issues that are better addressed by platform private ordering.</w:t>
      </w:r>
    </w:p>
    <w:p w14:paraId="57BCFACD" w14:textId="77777777" w:rsidR="008F0E4C" w:rsidRPr="00C32D58" w:rsidRDefault="008F0E4C" w:rsidP="00C32D58">
      <w:pPr>
        <w:spacing w:after="0" w:line="240" w:lineRule="auto"/>
        <w:ind w:firstLine="720"/>
        <w:rPr>
          <w:rFonts w:ascii="Times New Roman" w:hAnsi="Times New Roman" w:cs="Times New Roman"/>
          <w:sz w:val="24"/>
          <w:szCs w:val="24"/>
        </w:rPr>
      </w:pPr>
    </w:p>
    <w:p w14:paraId="07EE673D" w14:textId="2D16784B" w:rsidR="00B615CB" w:rsidRPr="00C32D58" w:rsidRDefault="000F59F3" w:rsidP="00C32D58">
      <w:pPr>
        <w:spacing w:after="0"/>
        <w:rPr>
          <w:rFonts w:ascii="Times New Roman" w:hAnsi="Times New Roman" w:cs="Times New Roman"/>
          <w:b/>
          <w:sz w:val="24"/>
          <w:szCs w:val="24"/>
        </w:rPr>
      </w:pPr>
      <w:r w:rsidRPr="00C32D58">
        <w:rPr>
          <w:rFonts w:ascii="Times New Roman" w:hAnsi="Times New Roman" w:cs="Times New Roman"/>
          <w:b/>
          <w:sz w:val="24"/>
          <w:szCs w:val="24"/>
        </w:rPr>
        <w:t xml:space="preserve">1. </w:t>
      </w:r>
      <w:r w:rsidR="008F0E4C" w:rsidRPr="00C32D58">
        <w:rPr>
          <w:rFonts w:ascii="Times New Roman" w:hAnsi="Times New Roman" w:cs="Times New Roman"/>
          <w:b/>
          <w:sz w:val="24"/>
          <w:szCs w:val="24"/>
        </w:rPr>
        <w:t>Value Added</w:t>
      </w:r>
    </w:p>
    <w:p w14:paraId="5FFB3DB0" w14:textId="77777777" w:rsidR="00B615CB" w:rsidRPr="00C32D58" w:rsidRDefault="00B615CB" w:rsidP="00C32D58">
      <w:pPr>
        <w:spacing w:after="0" w:line="240" w:lineRule="auto"/>
        <w:rPr>
          <w:rFonts w:ascii="Times New Roman" w:eastAsia="Calibri" w:hAnsi="Times New Roman" w:cs="Times New Roman"/>
          <w:sz w:val="24"/>
          <w:szCs w:val="24"/>
        </w:rPr>
      </w:pPr>
    </w:p>
    <w:p w14:paraId="2AC3E912" w14:textId="43EB7EB7" w:rsidR="004C589F" w:rsidRPr="00C32D58" w:rsidRDefault="00266036" w:rsidP="00C32D58">
      <w:pPr>
        <w:spacing w:after="0" w:line="240" w:lineRule="auto"/>
        <w:ind w:firstLine="720"/>
        <w:rPr>
          <w:rFonts w:ascii="Times New Roman" w:hAnsi="Times New Roman" w:cs="Times New Roman"/>
          <w:sz w:val="24"/>
          <w:szCs w:val="24"/>
        </w:rPr>
      </w:pPr>
      <w:r w:rsidRPr="00C32D58">
        <w:rPr>
          <w:rFonts w:ascii="Times New Roman" w:eastAsia="Calibri" w:hAnsi="Times New Roman" w:cs="Times New Roman"/>
          <w:sz w:val="24"/>
          <w:szCs w:val="24"/>
        </w:rPr>
        <w:t>In 19</w:t>
      </w:r>
      <w:r w:rsidR="00CA1726" w:rsidRPr="00C32D58">
        <w:rPr>
          <w:rFonts w:ascii="Times New Roman" w:eastAsia="Calibri" w:hAnsi="Times New Roman" w:cs="Times New Roman"/>
          <w:sz w:val="24"/>
          <w:szCs w:val="24"/>
        </w:rPr>
        <w:t>60</w:t>
      </w:r>
      <w:r w:rsidRPr="00C32D58">
        <w:rPr>
          <w:rFonts w:ascii="Times New Roman" w:eastAsia="Calibri" w:hAnsi="Times New Roman" w:cs="Times New Roman"/>
          <w:sz w:val="24"/>
          <w:szCs w:val="24"/>
        </w:rPr>
        <w:t xml:space="preserve">, Ronald Coase wrote </w:t>
      </w:r>
      <w:r w:rsidR="00871EAF" w:rsidRPr="00C32D58">
        <w:rPr>
          <w:rFonts w:ascii="Times New Roman" w:eastAsia="Calibri" w:hAnsi="Times New Roman" w:cs="Times New Roman"/>
          <w:sz w:val="24"/>
          <w:szCs w:val="24"/>
        </w:rPr>
        <w:t xml:space="preserve">in </w:t>
      </w:r>
      <w:r w:rsidRPr="00C32D58">
        <w:rPr>
          <w:rFonts w:ascii="Times New Roman" w:eastAsia="Calibri" w:hAnsi="Times New Roman" w:cs="Times New Roman"/>
          <w:sz w:val="24"/>
          <w:szCs w:val="24"/>
        </w:rPr>
        <w:t xml:space="preserve">his seminal article about transaction costs that pervade the stages of </w:t>
      </w:r>
      <w:r w:rsidR="008473DF" w:rsidRPr="00C32D58">
        <w:rPr>
          <w:rFonts w:ascii="Times New Roman" w:eastAsia="Calibri" w:hAnsi="Times New Roman" w:cs="Times New Roman"/>
          <w:sz w:val="24"/>
          <w:szCs w:val="24"/>
        </w:rPr>
        <w:t>deal-making</w:t>
      </w:r>
      <w:r w:rsidRPr="00C32D58">
        <w:rPr>
          <w:rFonts w:ascii="Times New Roman" w:eastAsia="Calibri" w:hAnsi="Times New Roman" w:cs="Times New Roman"/>
          <w:sz w:val="24"/>
          <w:szCs w:val="24"/>
        </w:rPr>
        <w:t>: “</w:t>
      </w:r>
      <w:bookmarkStart w:id="2" w:name="OLE_LINK407"/>
      <w:bookmarkStart w:id="3" w:name="OLE_LINK408"/>
      <w:r w:rsidRPr="00C32D58">
        <w:rPr>
          <w:rFonts w:ascii="Times New Roman" w:eastAsia="Calibri" w:hAnsi="Times New Roman" w:cs="Times New Roman"/>
          <w:sz w:val="24"/>
          <w:szCs w:val="24"/>
        </w:rPr>
        <w:t>operations are often extremely costly, sufficiently costly at any rate to prevent many transactions that would be carried out in a world in which the pricing system worked without cost</w:t>
      </w:r>
      <w:bookmarkEnd w:id="2"/>
      <w:bookmarkEnd w:id="3"/>
      <w:r w:rsidRPr="00C32D58">
        <w:rPr>
          <w:rFonts w:ascii="Times New Roman" w:eastAsia="Calibri" w:hAnsi="Times New Roman" w:cs="Times New Roman"/>
          <w:sz w:val="24"/>
          <w:szCs w:val="24"/>
        </w:rPr>
        <w:t>.”</w:t>
      </w:r>
      <w:r w:rsidRPr="00C32D58">
        <w:rPr>
          <w:rFonts w:ascii="Times New Roman" w:hAnsi="Times New Roman" w:cs="Times New Roman"/>
          <w:sz w:val="24"/>
          <w:szCs w:val="24"/>
          <w:vertAlign w:val="superscript"/>
        </w:rPr>
        <w:footnoteReference w:id="13"/>
      </w:r>
      <w:r w:rsidRPr="00C32D58">
        <w:rPr>
          <w:rFonts w:ascii="Times New Roman" w:eastAsia="Calibri" w:hAnsi="Times New Roman" w:cs="Times New Roman"/>
          <w:sz w:val="24"/>
          <w:szCs w:val="24"/>
        </w:rPr>
        <w:t xml:space="preserve"> During the three stages of pre-deal, deal-making, and post-deal, transaction costs include search costs, bargaining and decision costs, and, finally, policing and enforcement costs.</w:t>
      </w:r>
      <w:r w:rsidRPr="00C32D58">
        <w:rPr>
          <w:rFonts w:ascii="Times New Roman" w:hAnsi="Times New Roman" w:cs="Times New Roman"/>
          <w:sz w:val="24"/>
          <w:szCs w:val="24"/>
          <w:vertAlign w:val="superscript"/>
        </w:rPr>
        <w:footnoteReference w:id="14"/>
      </w:r>
      <w:r w:rsidRPr="00C32D58">
        <w:rPr>
          <w:rFonts w:ascii="Times New Roman" w:eastAsia="Calibri" w:hAnsi="Times New Roman" w:cs="Times New Roman"/>
          <w:sz w:val="24"/>
          <w:szCs w:val="24"/>
        </w:rPr>
        <w:t xml:space="preserve"> </w:t>
      </w:r>
      <w:r w:rsidR="00157736" w:rsidRPr="00C32D58">
        <w:rPr>
          <w:rFonts w:ascii="Times New Roman" w:eastAsia="Calibri" w:hAnsi="Times New Roman" w:cs="Times New Roman"/>
          <w:sz w:val="24"/>
          <w:szCs w:val="24"/>
        </w:rPr>
        <w:t>To reduce these costs, e</w:t>
      </w:r>
      <w:r w:rsidRPr="00C32D58">
        <w:rPr>
          <w:rFonts w:ascii="Times New Roman" w:eastAsia="Calibri" w:hAnsi="Times New Roman" w:cs="Times New Roman"/>
          <w:sz w:val="24"/>
          <w:szCs w:val="24"/>
        </w:rPr>
        <w:t xml:space="preserve">ach stage depends on </w:t>
      </w:r>
      <w:r w:rsidR="00157736" w:rsidRPr="00C32D58">
        <w:rPr>
          <w:rFonts w:ascii="Times New Roman" w:eastAsia="Calibri" w:hAnsi="Times New Roman" w:cs="Times New Roman"/>
          <w:sz w:val="24"/>
          <w:szCs w:val="24"/>
        </w:rPr>
        <w:t xml:space="preserve">obtaining </w:t>
      </w:r>
      <w:r w:rsidRPr="00C32D58">
        <w:rPr>
          <w:rFonts w:ascii="Times New Roman" w:eastAsia="Calibri" w:hAnsi="Times New Roman" w:cs="Times New Roman"/>
          <w:sz w:val="24"/>
          <w:szCs w:val="24"/>
        </w:rPr>
        <w:t>information.</w:t>
      </w:r>
      <w:r w:rsidRPr="00C32D58">
        <w:rPr>
          <w:rFonts w:ascii="Times New Roman" w:hAnsi="Times New Roman" w:cs="Times New Roman"/>
          <w:sz w:val="24"/>
          <w:szCs w:val="24"/>
          <w:lang w:bidi="he-IL"/>
        </w:rPr>
        <w:t xml:space="preserve"> The </w:t>
      </w:r>
      <w:r w:rsidR="00DF0CF0" w:rsidRPr="00C32D58">
        <w:rPr>
          <w:rFonts w:ascii="Times New Roman" w:hAnsi="Times New Roman" w:cs="Times New Roman"/>
          <w:sz w:val="24"/>
          <w:szCs w:val="24"/>
          <w:lang w:bidi="he-IL"/>
        </w:rPr>
        <w:t xml:space="preserve">digital </w:t>
      </w:r>
      <w:r w:rsidRPr="00C32D58">
        <w:rPr>
          <w:rFonts w:ascii="Times New Roman" w:hAnsi="Times New Roman" w:cs="Times New Roman"/>
          <w:sz w:val="24"/>
          <w:szCs w:val="24"/>
          <w:lang w:bidi="he-IL"/>
        </w:rPr>
        <w:t>platform</w:t>
      </w:r>
      <w:r w:rsidR="007D6EEF" w:rsidRPr="00C32D58">
        <w:rPr>
          <w:rFonts w:ascii="Times New Roman" w:hAnsi="Times New Roman" w:cs="Times New Roman"/>
          <w:sz w:val="24"/>
          <w:szCs w:val="24"/>
          <w:lang w:bidi="he-IL"/>
        </w:rPr>
        <w:t xml:space="preserve"> has the potential to increase access</w:t>
      </w:r>
      <w:r w:rsidR="007766A1" w:rsidRPr="00C32D58">
        <w:rPr>
          <w:rFonts w:ascii="Times New Roman" w:hAnsi="Times New Roman" w:cs="Times New Roman"/>
          <w:sz w:val="24"/>
          <w:szCs w:val="24"/>
          <w:lang w:bidi="he-IL"/>
        </w:rPr>
        <w:t xml:space="preserve"> to information</w:t>
      </w:r>
      <w:r w:rsidR="008D4620" w:rsidRPr="00C32D58">
        <w:rPr>
          <w:rFonts w:ascii="Times New Roman" w:hAnsi="Times New Roman" w:cs="Times New Roman"/>
          <w:sz w:val="24"/>
          <w:szCs w:val="24"/>
          <w:lang w:bidi="he-IL"/>
        </w:rPr>
        <w:t xml:space="preserve"> by the application of advanced technology to every aspect of the deal</w:t>
      </w:r>
      <w:r w:rsidR="007D6EEF" w:rsidRPr="00C32D58">
        <w:rPr>
          <w:rFonts w:ascii="Times New Roman" w:hAnsi="Times New Roman" w:cs="Times New Roman"/>
          <w:sz w:val="24"/>
          <w:szCs w:val="24"/>
          <w:lang w:bidi="he-IL"/>
        </w:rPr>
        <w:t>.</w:t>
      </w:r>
      <w:r w:rsidRPr="00C32D58">
        <w:rPr>
          <w:rFonts w:ascii="Times New Roman" w:hAnsi="Times New Roman" w:cs="Times New Roman"/>
          <w:sz w:val="24"/>
          <w:szCs w:val="24"/>
          <w:lang w:bidi="he-IL"/>
        </w:rPr>
        <w:t xml:space="preserve"> </w:t>
      </w:r>
      <w:r w:rsidR="007D6EEF" w:rsidRPr="00C32D58">
        <w:rPr>
          <w:rFonts w:ascii="Times New Roman" w:hAnsi="Times New Roman" w:cs="Times New Roman"/>
          <w:sz w:val="24"/>
          <w:szCs w:val="24"/>
          <w:lang w:bidi="he-IL"/>
        </w:rPr>
        <w:t>It thereby</w:t>
      </w:r>
      <w:r w:rsidR="006578A3" w:rsidRPr="00C32D58">
        <w:rPr>
          <w:rFonts w:ascii="Times New Roman" w:hAnsi="Times New Roman" w:cs="Times New Roman"/>
          <w:sz w:val="24"/>
          <w:szCs w:val="24"/>
          <w:lang w:bidi="he-IL"/>
        </w:rPr>
        <w:t xml:space="preserve"> </w:t>
      </w:r>
      <w:r w:rsidRPr="00C32D58">
        <w:rPr>
          <w:rFonts w:ascii="Times New Roman" w:hAnsi="Times New Roman" w:cs="Times New Roman"/>
          <w:sz w:val="24"/>
          <w:szCs w:val="24"/>
          <w:lang w:bidi="he-IL"/>
        </w:rPr>
        <w:t xml:space="preserve">impacts the relevant transaction costs at all three stages. </w:t>
      </w:r>
      <w:r w:rsidRPr="00C32D58">
        <w:rPr>
          <w:rFonts w:ascii="Times New Roman" w:eastAsia="Calibri" w:hAnsi="Times New Roman" w:cs="Times New Roman"/>
          <w:sz w:val="24"/>
          <w:szCs w:val="24"/>
        </w:rPr>
        <w:t>As the platform grows, efficienc</w:t>
      </w:r>
      <w:r w:rsidR="0021021F" w:rsidRPr="00C32D58">
        <w:rPr>
          <w:rFonts w:ascii="Times New Roman" w:eastAsia="Calibri" w:hAnsi="Times New Roman" w:cs="Times New Roman"/>
          <w:sz w:val="24"/>
          <w:szCs w:val="24"/>
        </w:rPr>
        <w:t>y</w:t>
      </w:r>
      <w:r w:rsidRPr="00C32D58">
        <w:rPr>
          <w:rFonts w:ascii="Times New Roman" w:eastAsia="Calibri" w:hAnsi="Times New Roman" w:cs="Times New Roman"/>
          <w:sz w:val="24"/>
          <w:szCs w:val="24"/>
        </w:rPr>
        <w:t xml:space="preserve"> grow</w:t>
      </w:r>
      <w:r w:rsidR="0021021F" w:rsidRPr="00C32D58">
        <w:rPr>
          <w:rFonts w:ascii="Times New Roman" w:eastAsia="Calibri" w:hAnsi="Times New Roman" w:cs="Times New Roman"/>
          <w:sz w:val="24"/>
          <w:szCs w:val="24"/>
        </w:rPr>
        <w:t>s</w:t>
      </w:r>
      <w:r w:rsidR="007D6EEF" w:rsidRPr="00C32D58">
        <w:rPr>
          <w:rFonts w:ascii="Times New Roman" w:eastAsia="Calibri" w:hAnsi="Times New Roman" w:cs="Times New Roman"/>
          <w:sz w:val="24"/>
          <w:szCs w:val="24"/>
        </w:rPr>
        <w:t xml:space="preserve"> as well.</w:t>
      </w:r>
      <w:r w:rsidRPr="00C32D58">
        <w:rPr>
          <w:rFonts w:ascii="Times New Roman" w:eastAsia="Calibri" w:hAnsi="Times New Roman" w:cs="Times New Roman"/>
          <w:sz w:val="24"/>
          <w:szCs w:val="24"/>
        </w:rPr>
        <w:t xml:space="preserve"> In systemic way</w:t>
      </w:r>
      <w:r w:rsidR="007D6EEF" w:rsidRPr="00C32D58">
        <w:rPr>
          <w:rFonts w:ascii="Times New Roman" w:eastAsia="Calibri" w:hAnsi="Times New Roman" w:cs="Times New Roman"/>
          <w:sz w:val="24"/>
          <w:szCs w:val="24"/>
        </w:rPr>
        <w:t>s</w:t>
      </w:r>
      <w:r w:rsidRPr="00C32D58">
        <w:rPr>
          <w:rFonts w:ascii="Times New Roman" w:eastAsia="Calibri" w:hAnsi="Times New Roman" w:cs="Times New Roman"/>
          <w:sz w:val="24"/>
          <w:szCs w:val="24"/>
        </w:rPr>
        <w:t>, the market</w:t>
      </w:r>
      <w:r w:rsidR="006E1AED" w:rsidRPr="00C32D58">
        <w:rPr>
          <w:rFonts w:ascii="Times New Roman" w:eastAsia="Calibri" w:hAnsi="Times New Roman" w:cs="Times New Roman"/>
          <w:sz w:val="24"/>
          <w:szCs w:val="24"/>
        </w:rPr>
        <w:t xml:space="preserve"> perfects itself</w:t>
      </w:r>
      <w:r w:rsidRPr="00C32D58">
        <w:rPr>
          <w:rFonts w:ascii="Times New Roman" w:eastAsia="Calibri" w:hAnsi="Times New Roman" w:cs="Times New Roman"/>
          <w:sz w:val="24"/>
          <w:szCs w:val="24"/>
        </w:rPr>
        <w:t xml:space="preserve">. </w:t>
      </w:r>
    </w:p>
    <w:p w14:paraId="7CEF0CBE" w14:textId="77777777" w:rsidR="000F59F3" w:rsidRDefault="000F59F3" w:rsidP="00C32D58">
      <w:pPr>
        <w:spacing w:after="0" w:line="240" w:lineRule="auto"/>
        <w:ind w:firstLine="720"/>
        <w:rPr>
          <w:rFonts w:ascii="Times New Roman" w:hAnsi="Times New Roman" w:cs="Times New Roman"/>
          <w:sz w:val="24"/>
          <w:szCs w:val="24"/>
          <w:lang w:bidi="he-IL"/>
        </w:rPr>
      </w:pPr>
    </w:p>
    <w:p w14:paraId="38D13367" w14:textId="7A3C78B1" w:rsidR="004C589F" w:rsidRDefault="004C589F" w:rsidP="00C32D58">
      <w:pPr>
        <w:spacing w:after="0" w:line="240" w:lineRule="auto"/>
        <w:ind w:firstLine="720"/>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In my article </w:t>
      </w:r>
      <w:r w:rsidRPr="00C32D58">
        <w:rPr>
          <w:rFonts w:ascii="Times New Roman" w:hAnsi="Times New Roman" w:cs="Times New Roman"/>
          <w:i/>
          <w:iCs/>
          <w:sz w:val="24"/>
          <w:szCs w:val="24"/>
          <w:lang w:bidi="he-IL"/>
        </w:rPr>
        <w:t>The Law of the Platform</w:t>
      </w:r>
      <w:r w:rsidRPr="00C32D58">
        <w:rPr>
          <w:rFonts w:ascii="Times New Roman" w:hAnsi="Times New Roman" w:cs="Times New Roman"/>
          <w:sz w:val="24"/>
          <w:szCs w:val="24"/>
          <w:lang w:bidi="he-IL"/>
        </w:rPr>
        <w:t>, I develop a novel taxonomy of ten distinct principles of the platform that together combine to reduce transaction costs:</w:t>
      </w:r>
      <w:r w:rsidR="007D6EEF" w:rsidRPr="00C32D58">
        <w:rPr>
          <w:rStyle w:val="FootnoteReference"/>
          <w:rFonts w:ascii="Times New Roman" w:hAnsi="Times New Roman" w:cs="Times New Roman"/>
          <w:sz w:val="24"/>
          <w:szCs w:val="24"/>
          <w:lang w:bidi="he-IL"/>
        </w:rPr>
        <w:footnoteReference w:id="15"/>
      </w:r>
      <w:r w:rsidRPr="00C32D58">
        <w:rPr>
          <w:rFonts w:ascii="Times New Roman" w:hAnsi="Times New Roman" w:cs="Times New Roman"/>
          <w:sz w:val="24"/>
          <w:szCs w:val="24"/>
          <w:lang w:bidi="he-IL"/>
        </w:rPr>
        <w:t xml:space="preserve"> </w:t>
      </w:r>
    </w:p>
    <w:p w14:paraId="0FE0243A" w14:textId="77777777" w:rsidR="00C32D58" w:rsidRPr="00C32D58" w:rsidRDefault="00C32D58" w:rsidP="00C32D58">
      <w:pPr>
        <w:spacing w:after="0" w:line="240" w:lineRule="auto"/>
        <w:ind w:firstLine="720"/>
        <w:rPr>
          <w:rFonts w:ascii="Times New Roman" w:hAnsi="Times New Roman" w:cs="Times New Roman"/>
          <w:sz w:val="24"/>
          <w:szCs w:val="24"/>
          <w:lang w:bidi="he-IL"/>
        </w:rPr>
      </w:pPr>
    </w:p>
    <w:p w14:paraId="7A8764FE" w14:textId="2E4DB034" w:rsidR="00C138F3" w:rsidRPr="00C32D58" w:rsidRDefault="00D94E5E">
      <w:pPr>
        <w:pStyle w:val="ListParagraph"/>
        <w:numPr>
          <w:ilvl w:val="0"/>
          <w:numId w:val="5"/>
        </w:numPr>
        <w:rPr>
          <w:rFonts w:ascii="Times New Roman" w:hAnsi="Times New Roman" w:cs="Times New Roman"/>
          <w:sz w:val="24"/>
          <w:szCs w:val="24"/>
          <w:lang w:bidi="he-IL"/>
        </w:rPr>
      </w:pPr>
      <w:r w:rsidRPr="00C32D58">
        <w:rPr>
          <w:rFonts w:ascii="Times New Roman" w:hAnsi="Times New Roman" w:cs="Times New Roman"/>
          <w:sz w:val="24"/>
          <w:szCs w:val="24"/>
          <w:u w:val="single"/>
          <w:lang w:bidi="he-IL"/>
        </w:rPr>
        <w:t>U</w:t>
      </w:r>
      <w:r w:rsidR="004C589F" w:rsidRPr="00C32D58">
        <w:rPr>
          <w:rFonts w:ascii="Times New Roman" w:hAnsi="Times New Roman" w:cs="Times New Roman"/>
          <w:sz w:val="24"/>
          <w:szCs w:val="24"/>
          <w:u w:val="single"/>
          <w:lang w:bidi="he-IL"/>
        </w:rPr>
        <w:t>ber-scale</w:t>
      </w:r>
      <w:r w:rsidR="004C589F" w:rsidRPr="00C32D58">
        <w:rPr>
          <w:rFonts w:ascii="Times New Roman" w:hAnsi="Times New Roman" w:cs="Times New Roman"/>
          <w:sz w:val="24"/>
          <w:szCs w:val="24"/>
          <w:lang w:bidi="he-IL"/>
        </w:rPr>
        <w:t>:</w:t>
      </w:r>
      <w:r w:rsidR="00DC112F" w:rsidRPr="00C32D58">
        <w:rPr>
          <w:rFonts w:ascii="Times New Roman" w:hAnsi="Times New Roman" w:cs="Times New Roman"/>
          <w:sz w:val="24"/>
          <w:szCs w:val="24"/>
          <w:lang w:bidi="he-IL"/>
        </w:rPr>
        <w:t xml:space="preserve"> </w:t>
      </w:r>
      <w:r w:rsidR="005C00EF" w:rsidRPr="00C32D58">
        <w:rPr>
          <w:rFonts w:ascii="Times New Roman" w:eastAsia="Calibri" w:hAnsi="Times New Roman" w:cs="Times New Roman"/>
          <w:sz w:val="24"/>
          <w:szCs w:val="24"/>
        </w:rPr>
        <w:t>T</w:t>
      </w:r>
      <w:r w:rsidR="00DC112F" w:rsidRPr="00C32D58">
        <w:rPr>
          <w:rFonts w:ascii="Times New Roman" w:eastAsia="Calibri" w:hAnsi="Times New Roman" w:cs="Times New Roman"/>
          <w:sz w:val="24"/>
          <w:szCs w:val="24"/>
        </w:rPr>
        <w:t>he platform connects strangers on a global scale. It creates</w:t>
      </w:r>
    </w:p>
    <w:p w14:paraId="4CADC46B" w14:textId="756D9421" w:rsidR="00DC112F" w:rsidRPr="00C32D58" w:rsidRDefault="00635648" w:rsidP="00C32D58">
      <w:pPr>
        <w:spacing w:after="0" w:line="240" w:lineRule="auto"/>
        <w:rPr>
          <w:rFonts w:ascii="Times New Roman" w:hAnsi="Times New Roman" w:cs="Times New Roman"/>
          <w:sz w:val="24"/>
          <w:szCs w:val="24"/>
          <w:lang w:bidi="he-IL"/>
        </w:rPr>
      </w:pPr>
      <w:r w:rsidRPr="00C32D58">
        <w:rPr>
          <w:rFonts w:ascii="Times New Roman" w:eastAsia="Calibri" w:hAnsi="Times New Roman" w:cs="Times New Roman"/>
          <w:sz w:val="24"/>
          <w:szCs w:val="24"/>
        </w:rPr>
        <w:t xml:space="preserve">multi-sided networks of </w:t>
      </w:r>
      <w:r w:rsidR="0014397A" w:rsidRPr="00C32D58">
        <w:rPr>
          <w:rFonts w:ascii="Times New Roman" w:eastAsia="Calibri" w:hAnsi="Times New Roman" w:cs="Times New Roman"/>
          <w:sz w:val="24"/>
          <w:szCs w:val="24"/>
        </w:rPr>
        <w:t>unprecedented</w:t>
      </w:r>
      <w:r w:rsidR="00DC112F" w:rsidRPr="00C32D58">
        <w:rPr>
          <w:rFonts w:ascii="Times New Roman" w:eastAsia="Calibri" w:hAnsi="Times New Roman" w:cs="Times New Roman"/>
          <w:sz w:val="24"/>
          <w:szCs w:val="24"/>
        </w:rPr>
        <w:t xml:space="preserve"> size, increasing the availability of both supply and demand.</w:t>
      </w:r>
    </w:p>
    <w:p w14:paraId="78D66FF7" w14:textId="217FFE3F" w:rsidR="004C589F" w:rsidRPr="00C32D58" w:rsidRDefault="004C589F" w:rsidP="00C32D58">
      <w:pPr>
        <w:spacing w:after="0" w:line="240" w:lineRule="auto"/>
        <w:ind w:firstLine="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2) </w:t>
      </w:r>
      <w:r w:rsidR="00D94E5E" w:rsidRPr="00C32D58">
        <w:rPr>
          <w:rFonts w:ascii="Times New Roman" w:hAnsi="Times New Roman" w:cs="Times New Roman"/>
          <w:sz w:val="24"/>
          <w:szCs w:val="24"/>
          <w:u w:val="single"/>
          <w:lang w:bidi="he-IL"/>
        </w:rPr>
        <w:t>R</w:t>
      </w:r>
      <w:r w:rsidRPr="00C32D58">
        <w:rPr>
          <w:rFonts w:ascii="Times New Roman" w:hAnsi="Times New Roman" w:cs="Times New Roman"/>
          <w:sz w:val="24"/>
          <w:szCs w:val="24"/>
          <w:u w:val="single"/>
          <w:lang w:bidi="he-IL"/>
        </w:rPr>
        <w:t xml:space="preserve">esurrection of </w:t>
      </w:r>
      <w:r w:rsidR="00D94E5E" w:rsidRPr="00C32D58">
        <w:rPr>
          <w:rFonts w:ascii="Times New Roman" w:hAnsi="Times New Roman" w:cs="Times New Roman"/>
          <w:sz w:val="24"/>
          <w:szCs w:val="24"/>
          <w:u w:val="single"/>
          <w:lang w:bidi="he-IL"/>
        </w:rPr>
        <w:t>D</w:t>
      </w:r>
      <w:r w:rsidRPr="00C32D58">
        <w:rPr>
          <w:rFonts w:ascii="Times New Roman" w:hAnsi="Times New Roman" w:cs="Times New Roman"/>
          <w:sz w:val="24"/>
          <w:szCs w:val="24"/>
          <w:u w:val="single"/>
          <w:lang w:bidi="he-IL"/>
        </w:rPr>
        <w:t xml:space="preserve">ead </w:t>
      </w:r>
      <w:r w:rsidR="00D94E5E" w:rsidRPr="00C32D58">
        <w:rPr>
          <w:rFonts w:ascii="Times New Roman" w:hAnsi="Times New Roman" w:cs="Times New Roman"/>
          <w:sz w:val="24"/>
          <w:szCs w:val="24"/>
          <w:u w:val="single"/>
          <w:lang w:bidi="he-IL"/>
        </w:rPr>
        <w:t>C</w:t>
      </w:r>
      <w:r w:rsidRPr="00C32D58">
        <w:rPr>
          <w:rFonts w:ascii="Times New Roman" w:hAnsi="Times New Roman" w:cs="Times New Roman"/>
          <w:sz w:val="24"/>
          <w:szCs w:val="24"/>
          <w:u w:val="single"/>
          <w:lang w:bidi="he-IL"/>
        </w:rPr>
        <w:t>apital</w:t>
      </w:r>
      <w:r w:rsidR="00DC112F" w:rsidRPr="00C32D58">
        <w:rPr>
          <w:rFonts w:ascii="Times New Roman" w:hAnsi="Times New Roman" w:cs="Times New Roman"/>
          <w:sz w:val="24"/>
          <w:szCs w:val="24"/>
          <w:lang w:bidi="he-IL"/>
        </w:rPr>
        <w:t xml:space="preserve">: </w:t>
      </w:r>
      <w:r w:rsidR="005C00EF" w:rsidRPr="00C32D58">
        <w:rPr>
          <w:rFonts w:ascii="Times New Roman" w:hAnsi="Times New Roman" w:cs="Times New Roman"/>
          <w:sz w:val="24"/>
          <w:szCs w:val="24"/>
          <w:lang w:bidi="he-IL"/>
        </w:rPr>
        <w:t>T</w:t>
      </w:r>
      <w:r w:rsidR="009B498E" w:rsidRPr="00C32D58">
        <w:rPr>
          <w:rFonts w:ascii="Times New Roman" w:hAnsi="Times New Roman" w:cs="Times New Roman"/>
          <w:sz w:val="24"/>
          <w:szCs w:val="24"/>
          <w:lang w:bidi="he-IL"/>
        </w:rPr>
        <w:t xml:space="preserve">he platform </w:t>
      </w:r>
      <w:r w:rsidR="00DC112F" w:rsidRPr="00C32D58">
        <w:rPr>
          <w:rFonts w:ascii="Times New Roman" w:hAnsi="Times New Roman" w:cs="Times New Roman"/>
          <w:sz w:val="24"/>
          <w:szCs w:val="24"/>
          <w:lang w:bidi="he-IL"/>
        </w:rPr>
        <w:t>add</w:t>
      </w:r>
      <w:r w:rsidR="009B498E" w:rsidRPr="00C32D58">
        <w:rPr>
          <w:rFonts w:ascii="Times New Roman" w:hAnsi="Times New Roman" w:cs="Times New Roman"/>
          <w:sz w:val="24"/>
          <w:szCs w:val="24"/>
          <w:lang w:bidi="he-IL"/>
        </w:rPr>
        <w:t>s</w:t>
      </w:r>
      <w:r w:rsidR="00DC112F" w:rsidRPr="00C32D58">
        <w:rPr>
          <w:rFonts w:ascii="Times New Roman" w:hAnsi="Times New Roman" w:cs="Times New Roman"/>
          <w:sz w:val="24"/>
          <w:szCs w:val="24"/>
          <w:lang w:bidi="he-IL"/>
        </w:rPr>
        <w:t xml:space="preserve"> </w:t>
      </w:r>
      <w:r w:rsidR="001F3385" w:rsidRPr="00C32D58">
        <w:rPr>
          <w:rFonts w:ascii="Times New Roman" w:hAnsi="Times New Roman" w:cs="Times New Roman"/>
          <w:sz w:val="24"/>
          <w:szCs w:val="24"/>
          <w:lang w:bidi="he-IL"/>
        </w:rPr>
        <w:t xml:space="preserve">otherwise idle </w:t>
      </w:r>
      <w:r w:rsidR="00DC112F" w:rsidRPr="00C32D58">
        <w:rPr>
          <w:rFonts w:ascii="Times New Roman" w:hAnsi="Times New Roman" w:cs="Times New Roman"/>
          <w:sz w:val="24"/>
          <w:szCs w:val="24"/>
          <w:lang w:bidi="he-IL"/>
        </w:rPr>
        <w:t xml:space="preserve">assets </w:t>
      </w:r>
      <w:r w:rsidR="009B498E" w:rsidRPr="00C32D58">
        <w:rPr>
          <w:rFonts w:ascii="Times New Roman" w:hAnsi="Times New Roman" w:cs="Times New Roman"/>
          <w:sz w:val="24"/>
          <w:szCs w:val="24"/>
          <w:lang w:bidi="he-IL"/>
        </w:rPr>
        <w:t xml:space="preserve">and resources </w:t>
      </w:r>
      <w:r w:rsidR="00A86F61" w:rsidRPr="00C32D58">
        <w:rPr>
          <w:rFonts w:ascii="Times New Roman" w:hAnsi="Times New Roman" w:cs="Times New Roman"/>
          <w:sz w:val="24"/>
          <w:szCs w:val="24"/>
          <w:lang w:bidi="he-IL"/>
        </w:rPr>
        <w:t>to</w:t>
      </w:r>
      <w:r w:rsidR="00DC112F" w:rsidRPr="00C32D58">
        <w:rPr>
          <w:rFonts w:ascii="Times New Roman" w:hAnsi="Times New Roman" w:cs="Times New Roman"/>
          <w:sz w:val="24"/>
          <w:szCs w:val="24"/>
          <w:lang w:bidi="he-IL"/>
        </w:rPr>
        <w:t xml:space="preserve"> the market</w:t>
      </w:r>
      <w:r w:rsidR="009B498E" w:rsidRPr="00C32D58">
        <w:rPr>
          <w:rFonts w:ascii="Times New Roman" w:hAnsi="Times New Roman" w:cs="Times New Roman"/>
          <w:sz w:val="24"/>
          <w:szCs w:val="24"/>
          <w:lang w:bidi="he-IL"/>
        </w:rPr>
        <w:t xml:space="preserve">: physical products, skill, knowledge, and human labor.  </w:t>
      </w:r>
    </w:p>
    <w:p w14:paraId="6B00F66D" w14:textId="16A50FC7" w:rsidR="004C589F" w:rsidRPr="00C32D58" w:rsidRDefault="004C589F" w:rsidP="00C32D58">
      <w:pPr>
        <w:shd w:val="clear" w:color="auto" w:fill="FFFFFF"/>
        <w:spacing w:after="0" w:line="240" w:lineRule="auto"/>
        <w:ind w:firstLine="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3) </w:t>
      </w:r>
      <w:r w:rsidR="00D94E5E" w:rsidRPr="00C32D58">
        <w:rPr>
          <w:rFonts w:ascii="Times New Roman" w:hAnsi="Times New Roman" w:cs="Times New Roman"/>
          <w:sz w:val="24"/>
          <w:szCs w:val="24"/>
          <w:u w:val="single"/>
          <w:lang w:bidi="he-IL"/>
        </w:rPr>
        <w:t>T</w:t>
      </w:r>
      <w:r w:rsidRPr="00C32D58">
        <w:rPr>
          <w:rFonts w:ascii="Times New Roman" w:hAnsi="Times New Roman" w:cs="Times New Roman"/>
          <w:sz w:val="24"/>
          <w:szCs w:val="24"/>
          <w:u w:val="single"/>
          <w:lang w:bidi="he-IL"/>
        </w:rPr>
        <w:t xml:space="preserve">ailoring the </w:t>
      </w:r>
      <w:r w:rsidR="00D94E5E" w:rsidRPr="00C32D58">
        <w:rPr>
          <w:rFonts w:ascii="Times New Roman" w:hAnsi="Times New Roman" w:cs="Times New Roman"/>
          <w:sz w:val="24"/>
          <w:szCs w:val="24"/>
          <w:u w:val="single"/>
          <w:lang w:bidi="he-IL"/>
        </w:rPr>
        <w:t>T</w:t>
      </w:r>
      <w:r w:rsidRPr="00C32D58">
        <w:rPr>
          <w:rFonts w:ascii="Times New Roman" w:hAnsi="Times New Roman" w:cs="Times New Roman"/>
          <w:sz w:val="24"/>
          <w:szCs w:val="24"/>
          <w:u w:val="single"/>
          <w:lang w:bidi="he-IL"/>
        </w:rPr>
        <w:t xml:space="preserve">ransactional </w:t>
      </w:r>
      <w:r w:rsidR="00D94E5E" w:rsidRPr="00C32D58">
        <w:rPr>
          <w:rFonts w:ascii="Times New Roman" w:hAnsi="Times New Roman" w:cs="Times New Roman"/>
          <w:sz w:val="24"/>
          <w:szCs w:val="24"/>
          <w:u w:val="single"/>
          <w:lang w:bidi="he-IL"/>
        </w:rPr>
        <w:t>U</w:t>
      </w:r>
      <w:r w:rsidRPr="00C32D58">
        <w:rPr>
          <w:rFonts w:ascii="Times New Roman" w:hAnsi="Times New Roman" w:cs="Times New Roman"/>
          <w:sz w:val="24"/>
          <w:szCs w:val="24"/>
          <w:u w:val="single"/>
          <w:lang w:bidi="he-IL"/>
        </w:rPr>
        <w:t>nit</w:t>
      </w:r>
      <w:r w:rsidR="00A86F61" w:rsidRPr="00C32D58">
        <w:rPr>
          <w:rFonts w:ascii="Times New Roman" w:hAnsi="Times New Roman" w:cs="Times New Roman"/>
          <w:sz w:val="24"/>
          <w:szCs w:val="24"/>
          <w:lang w:bidi="he-IL"/>
        </w:rPr>
        <w:t xml:space="preserve">: </w:t>
      </w:r>
      <w:r w:rsidR="005C00EF" w:rsidRPr="00C32D58">
        <w:rPr>
          <w:rFonts w:ascii="Times New Roman" w:hAnsi="Times New Roman" w:cs="Times New Roman"/>
          <w:sz w:val="24"/>
          <w:szCs w:val="24"/>
          <w:lang w:bidi="he-IL"/>
        </w:rPr>
        <w:t>T</w:t>
      </w:r>
      <w:r w:rsidR="00A86F61" w:rsidRPr="00C32D58">
        <w:rPr>
          <w:rFonts w:ascii="Times New Roman" w:hAnsi="Times New Roman" w:cs="Times New Roman"/>
          <w:sz w:val="24"/>
          <w:szCs w:val="24"/>
          <w:lang w:bidi="he-IL"/>
        </w:rPr>
        <w:t xml:space="preserve">he </w:t>
      </w:r>
      <w:r w:rsidR="00443FF4" w:rsidRPr="00C32D58">
        <w:rPr>
          <w:rFonts w:ascii="Times New Roman" w:hAnsi="Times New Roman" w:cs="Times New Roman"/>
          <w:sz w:val="24"/>
          <w:szCs w:val="24"/>
          <w:lang w:bidi="he-IL"/>
        </w:rPr>
        <w:t xml:space="preserve">digital </w:t>
      </w:r>
      <w:r w:rsidR="00A86F61" w:rsidRPr="00C32D58">
        <w:rPr>
          <w:rFonts w:ascii="Times New Roman" w:hAnsi="Times New Roman" w:cs="Times New Roman"/>
          <w:sz w:val="24"/>
          <w:szCs w:val="24"/>
          <w:lang w:bidi="he-IL"/>
        </w:rPr>
        <w:t>platform slices the resources it sells into smaller units, dividing up supply and demand into micro modalities: short-term rentals, an hour</w:t>
      </w:r>
      <w:r w:rsidR="00443FF4" w:rsidRPr="00C32D58">
        <w:rPr>
          <w:rFonts w:ascii="Times New Roman" w:hAnsi="Times New Roman" w:cs="Times New Roman"/>
          <w:sz w:val="24"/>
          <w:szCs w:val="24"/>
          <w:lang w:bidi="he-IL"/>
        </w:rPr>
        <w:t>’</w:t>
      </w:r>
      <w:r w:rsidR="00F65F67" w:rsidRPr="00C32D58">
        <w:rPr>
          <w:rFonts w:ascii="Times New Roman" w:hAnsi="Times New Roman" w:cs="Times New Roman"/>
          <w:sz w:val="24"/>
          <w:szCs w:val="24"/>
          <w:lang w:bidi="he-IL"/>
        </w:rPr>
        <w:t>s</w:t>
      </w:r>
      <w:r w:rsidR="00A86F61" w:rsidRPr="00C32D58">
        <w:rPr>
          <w:rFonts w:ascii="Times New Roman" w:hAnsi="Times New Roman" w:cs="Times New Roman"/>
          <w:sz w:val="24"/>
          <w:szCs w:val="24"/>
          <w:lang w:bidi="he-IL"/>
        </w:rPr>
        <w:t xml:space="preserve"> access to a car or lawnmower, a few minutes of personal assistance or delivery. The technology facilitates the smaller exchanges </w:t>
      </w:r>
      <w:r w:rsidR="001D62B7" w:rsidRPr="00C32D58">
        <w:rPr>
          <w:rFonts w:ascii="Times New Roman" w:hAnsi="Times New Roman" w:cs="Times New Roman"/>
          <w:sz w:val="24"/>
          <w:szCs w:val="24"/>
          <w:lang w:bidi="he-IL"/>
        </w:rPr>
        <w:t>t</w:t>
      </w:r>
      <w:r w:rsidR="005850A9" w:rsidRPr="00C32D58">
        <w:rPr>
          <w:rFonts w:ascii="Times New Roman" w:hAnsi="Times New Roman" w:cs="Times New Roman"/>
          <w:sz w:val="24"/>
          <w:szCs w:val="24"/>
          <w:lang w:bidi="he-IL"/>
        </w:rPr>
        <w:t>hat would have previously never existed due to prohibitive deal-making costs.</w:t>
      </w:r>
      <w:r w:rsidR="008B41E1" w:rsidRPr="00C32D58">
        <w:rPr>
          <w:rFonts w:ascii="Times New Roman" w:hAnsi="Times New Roman" w:cs="Times New Roman"/>
          <w:sz w:val="24"/>
          <w:szCs w:val="24"/>
          <w:lang w:bidi="he-IL"/>
        </w:rPr>
        <w:t xml:space="preserve"> By</w:t>
      </w:r>
      <w:r w:rsidR="00C138F3" w:rsidRPr="00C32D58">
        <w:rPr>
          <w:rFonts w:ascii="Times New Roman" w:hAnsi="Times New Roman" w:cs="Times New Roman"/>
          <w:sz w:val="24"/>
          <w:szCs w:val="24"/>
          <w:lang w:bidi="he-IL"/>
        </w:rPr>
        <w:t xml:space="preserve"> opening up the market to micro modalities, </w:t>
      </w:r>
      <w:r w:rsidR="00AB38B7" w:rsidRPr="00C32D58">
        <w:rPr>
          <w:rFonts w:ascii="Times New Roman" w:hAnsi="Times New Roman" w:cs="Times New Roman"/>
          <w:sz w:val="24"/>
          <w:szCs w:val="24"/>
          <w:lang w:bidi="he-IL"/>
        </w:rPr>
        <w:t>dormant human capital is now mobilized as a market participant o</w:t>
      </w:r>
      <w:r w:rsidR="007D6EEF" w:rsidRPr="00C32D58">
        <w:rPr>
          <w:rFonts w:ascii="Times New Roman" w:hAnsi="Times New Roman" w:cs="Times New Roman"/>
          <w:sz w:val="24"/>
          <w:szCs w:val="24"/>
          <w:lang w:bidi="he-IL"/>
        </w:rPr>
        <w:t>perating at competitive costs.</w:t>
      </w:r>
      <w:r w:rsidR="0031139A" w:rsidRPr="00C32D58">
        <w:rPr>
          <w:rStyle w:val="FootnoteReference"/>
          <w:rFonts w:ascii="Times New Roman" w:hAnsi="Times New Roman" w:cs="Times New Roman"/>
          <w:sz w:val="24"/>
          <w:szCs w:val="24"/>
          <w:lang w:bidi="he-IL"/>
        </w:rPr>
        <w:footnoteReference w:id="16"/>
      </w:r>
    </w:p>
    <w:p w14:paraId="3F845E5C" w14:textId="3C7B246E" w:rsidR="00152C9E" w:rsidRPr="00C32D58" w:rsidRDefault="004C589F" w:rsidP="00C32D58">
      <w:pPr>
        <w:spacing w:after="0" w:line="240" w:lineRule="auto"/>
        <w:ind w:firstLine="720"/>
        <w:rPr>
          <w:rFonts w:ascii="Times New Roman" w:hAnsi="Times New Roman" w:cs="Times New Roman"/>
          <w:sz w:val="24"/>
          <w:szCs w:val="24"/>
        </w:rPr>
      </w:pPr>
      <w:r w:rsidRPr="00C32D58">
        <w:rPr>
          <w:rFonts w:ascii="Times New Roman" w:hAnsi="Times New Roman" w:cs="Times New Roman"/>
          <w:sz w:val="24"/>
          <w:szCs w:val="24"/>
          <w:lang w:bidi="he-IL"/>
        </w:rPr>
        <w:t xml:space="preserve">4) </w:t>
      </w:r>
      <w:r w:rsidR="00D94E5E" w:rsidRPr="00C32D58">
        <w:rPr>
          <w:rFonts w:ascii="Times New Roman" w:hAnsi="Times New Roman" w:cs="Times New Roman"/>
          <w:sz w:val="24"/>
          <w:szCs w:val="24"/>
          <w:u w:val="single"/>
          <w:lang w:bidi="he-IL"/>
        </w:rPr>
        <w:t>C</w:t>
      </w:r>
      <w:r w:rsidRPr="00C32D58">
        <w:rPr>
          <w:rFonts w:ascii="Times New Roman" w:hAnsi="Times New Roman" w:cs="Times New Roman"/>
          <w:sz w:val="24"/>
          <w:szCs w:val="24"/>
          <w:u w:val="single"/>
          <w:lang w:bidi="he-IL"/>
        </w:rPr>
        <w:t xml:space="preserve">ommodification of </w:t>
      </w:r>
      <w:r w:rsidR="00D94E5E" w:rsidRPr="00C32D58">
        <w:rPr>
          <w:rFonts w:ascii="Times New Roman" w:hAnsi="Times New Roman" w:cs="Times New Roman"/>
          <w:sz w:val="24"/>
          <w:szCs w:val="24"/>
          <w:u w:val="single"/>
          <w:lang w:bidi="he-IL"/>
        </w:rPr>
        <w:t>E</w:t>
      </w:r>
      <w:r w:rsidRPr="00C32D58">
        <w:rPr>
          <w:rFonts w:ascii="Times New Roman" w:hAnsi="Times New Roman" w:cs="Times New Roman"/>
          <w:sz w:val="24"/>
          <w:szCs w:val="24"/>
          <w:u w:val="single"/>
          <w:lang w:bidi="he-IL"/>
        </w:rPr>
        <w:t>verything</w:t>
      </w:r>
      <w:r w:rsidR="00561510" w:rsidRPr="00C32D58">
        <w:rPr>
          <w:rFonts w:ascii="Times New Roman" w:hAnsi="Times New Roman" w:cs="Times New Roman"/>
          <w:sz w:val="24"/>
          <w:szCs w:val="24"/>
          <w:lang w:bidi="he-IL"/>
        </w:rPr>
        <w:t xml:space="preserve">: The meteoric </w:t>
      </w:r>
      <w:r w:rsidR="00443FF4" w:rsidRPr="00C32D58">
        <w:rPr>
          <w:rFonts w:ascii="Times New Roman" w:hAnsi="Times New Roman" w:cs="Times New Roman"/>
          <w:sz w:val="24"/>
          <w:szCs w:val="24"/>
          <w:lang w:bidi="he-IL"/>
        </w:rPr>
        <w:t xml:space="preserve">advent of the digital </w:t>
      </w:r>
      <w:r w:rsidR="00561510" w:rsidRPr="00C32D58">
        <w:rPr>
          <w:rFonts w:ascii="Times New Roman" w:hAnsi="Times New Roman" w:cs="Times New Roman"/>
          <w:sz w:val="24"/>
          <w:szCs w:val="24"/>
          <w:lang w:bidi="he-IL"/>
        </w:rPr>
        <w:t>platform has meant that “the share of sharing is growing exponentially</w:t>
      </w:r>
      <w:r w:rsidR="008315A9" w:rsidRPr="00C32D58">
        <w:rPr>
          <w:rFonts w:ascii="Times New Roman" w:hAnsi="Times New Roman" w:cs="Times New Roman"/>
          <w:sz w:val="24"/>
          <w:szCs w:val="24"/>
          <w:lang w:bidi="he-IL"/>
        </w:rPr>
        <w:t>,</w:t>
      </w:r>
      <w:r w:rsidR="00561510" w:rsidRPr="00C32D58">
        <w:rPr>
          <w:rFonts w:ascii="Times New Roman" w:hAnsi="Times New Roman" w:cs="Times New Roman"/>
          <w:sz w:val="24"/>
          <w:szCs w:val="24"/>
          <w:lang w:bidi="he-IL"/>
        </w:rPr>
        <w:t xml:space="preserve"> but sharing is not free.”</w:t>
      </w:r>
      <w:r w:rsidR="00561510" w:rsidRPr="00C32D58">
        <w:rPr>
          <w:rStyle w:val="FootnoteReference"/>
          <w:rFonts w:ascii="Times New Roman" w:hAnsi="Times New Roman" w:cs="Times New Roman"/>
          <w:sz w:val="24"/>
          <w:szCs w:val="24"/>
          <w:lang w:bidi="he-IL"/>
        </w:rPr>
        <w:footnoteReference w:id="17"/>
      </w:r>
      <w:r w:rsidR="00561510" w:rsidRPr="00C32D58">
        <w:rPr>
          <w:rFonts w:ascii="Times New Roman" w:hAnsi="Times New Roman" w:cs="Times New Roman"/>
          <w:sz w:val="24"/>
          <w:szCs w:val="24"/>
          <w:lang w:bidi="he-IL"/>
        </w:rPr>
        <w:t xml:space="preserve"> Most exchanges are based on the price of renting, trading, servicing, driving, and lending for a </w:t>
      </w:r>
      <w:r w:rsidR="00287235" w:rsidRPr="00C32D58">
        <w:rPr>
          <w:rFonts w:ascii="Times New Roman" w:hAnsi="Times New Roman" w:cs="Times New Roman"/>
          <w:sz w:val="24"/>
          <w:szCs w:val="24"/>
          <w:lang w:bidi="he-IL"/>
        </w:rPr>
        <w:t xml:space="preserve">competitive </w:t>
      </w:r>
      <w:r w:rsidR="00561510" w:rsidRPr="00C32D58">
        <w:rPr>
          <w:rFonts w:ascii="Times New Roman" w:hAnsi="Times New Roman" w:cs="Times New Roman"/>
          <w:sz w:val="24"/>
          <w:szCs w:val="24"/>
          <w:lang w:bidi="he-IL"/>
        </w:rPr>
        <w:t>fee</w:t>
      </w:r>
      <w:r w:rsidR="00473D22" w:rsidRPr="00C32D58">
        <w:rPr>
          <w:rFonts w:ascii="Times New Roman" w:hAnsi="Times New Roman" w:cs="Times New Roman"/>
          <w:sz w:val="24"/>
          <w:szCs w:val="24"/>
          <w:lang w:bidi="he-IL"/>
        </w:rPr>
        <w:t xml:space="preserve">, making the once-common practice of offering a friend a lift to the airport practically unheard of, and likely met with the thought, “Why couldn’t she just call an Uber?” </w:t>
      </w:r>
      <w:r w:rsidR="00A22ED4" w:rsidRPr="00C32D58">
        <w:rPr>
          <w:rFonts w:ascii="Times New Roman" w:hAnsi="Times New Roman" w:cs="Times New Roman"/>
          <w:sz w:val="24"/>
          <w:szCs w:val="24"/>
          <w:lang w:bidi="he-IL"/>
        </w:rPr>
        <w:t>C</w:t>
      </w:r>
      <w:r w:rsidR="00561510" w:rsidRPr="00C32D58">
        <w:rPr>
          <w:rFonts w:ascii="Times New Roman" w:hAnsi="Times New Roman" w:cs="Times New Roman"/>
          <w:sz w:val="24"/>
          <w:szCs w:val="24"/>
          <w:lang w:bidi="he-IL"/>
        </w:rPr>
        <w:t>ommodifying every transaction</w:t>
      </w:r>
      <w:r w:rsidR="00A22ED4" w:rsidRPr="00C32D58">
        <w:rPr>
          <w:rFonts w:ascii="Times New Roman" w:hAnsi="Times New Roman" w:cs="Times New Roman"/>
          <w:sz w:val="24"/>
          <w:szCs w:val="24"/>
          <w:lang w:bidi="he-IL"/>
        </w:rPr>
        <w:t>, similarly to the rise in scale of end users,</w:t>
      </w:r>
      <w:r w:rsidR="00561510" w:rsidRPr="00C32D58">
        <w:rPr>
          <w:rFonts w:ascii="Times New Roman" w:hAnsi="Times New Roman" w:cs="Times New Roman"/>
          <w:sz w:val="24"/>
          <w:szCs w:val="24"/>
          <w:lang w:bidi="he-IL"/>
        </w:rPr>
        <w:t xml:space="preserve"> increases supply, such that from a Coasean </w:t>
      </w:r>
      <w:r w:rsidR="00A22ED4" w:rsidRPr="00C32D58">
        <w:rPr>
          <w:rFonts w:ascii="Times New Roman" w:hAnsi="Times New Roman" w:cs="Times New Roman"/>
          <w:sz w:val="24"/>
          <w:szCs w:val="24"/>
          <w:lang w:bidi="he-IL"/>
        </w:rPr>
        <w:t>perspective</w:t>
      </w:r>
      <w:r w:rsidR="001F5EA7" w:rsidRPr="00C32D58">
        <w:rPr>
          <w:rFonts w:ascii="Times New Roman" w:hAnsi="Times New Roman" w:cs="Times New Roman"/>
          <w:sz w:val="24"/>
          <w:szCs w:val="24"/>
          <w:lang w:bidi="he-IL"/>
        </w:rPr>
        <w:t>,</w:t>
      </w:r>
      <w:r w:rsidR="00561510" w:rsidRPr="00C32D58">
        <w:rPr>
          <w:rFonts w:ascii="Times New Roman" w:hAnsi="Times New Roman" w:cs="Times New Roman"/>
          <w:sz w:val="24"/>
          <w:szCs w:val="24"/>
          <w:lang w:bidi="he-IL"/>
        </w:rPr>
        <w:t xml:space="preserve"> cost</w:t>
      </w:r>
      <w:r w:rsidR="007D6EEF" w:rsidRPr="00C32D58">
        <w:rPr>
          <w:rFonts w:ascii="Times New Roman" w:hAnsi="Times New Roman" w:cs="Times New Roman"/>
          <w:sz w:val="24"/>
          <w:szCs w:val="24"/>
          <w:lang w:bidi="he-IL"/>
        </w:rPr>
        <w:t>s</w:t>
      </w:r>
      <w:r w:rsidR="00561510" w:rsidRPr="00C32D58">
        <w:rPr>
          <w:rFonts w:ascii="Times New Roman" w:hAnsi="Times New Roman" w:cs="Times New Roman"/>
          <w:sz w:val="24"/>
          <w:szCs w:val="24"/>
          <w:lang w:bidi="he-IL"/>
        </w:rPr>
        <w:t xml:space="preserve"> are reduced as </w:t>
      </w:r>
      <w:r w:rsidR="00561510" w:rsidRPr="00C32D58">
        <w:rPr>
          <w:rFonts w:ascii="Times New Roman" w:hAnsi="Times New Roman" w:cs="Times New Roman"/>
          <w:sz w:val="24"/>
          <w:szCs w:val="24"/>
          <w:shd w:val="clear" w:color="auto" w:fill="FFFFFF"/>
          <w:lang w:bidi="he-IL"/>
        </w:rPr>
        <w:t>supply appears to be infinite.</w:t>
      </w:r>
    </w:p>
    <w:p w14:paraId="1EB72802" w14:textId="5B315D96" w:rsidR="004C589F" w:rsidRPr="00C32D58" w:rsidRDefault="00575432" w:rsidP="00C32D58">
      <w:pPr>
        <w:spacing w:after="0" w:line="240" w:lineRule="auto"/>
        <w:rPr>
          <w:rFonts w:ascii="Times New Roman" w:hAnsi="Times New Roman" w:cs="Times New Roman"/>
          <w:sz w:val="24"/>
          <w:szCs w:val="24"/>
          <w:lang w:bidi="he-IL"/>
        </w:rPr>
      </w:pPr>
      <w:r w:rsidRPr="00C32D58">
        <w:rPr>
          <w:rFonts w:ascii="Times New Roman" w:hAnsi="Times New Roman" w:cs="Times New Roman"/>
          <w:sz w:val="24"/>
          <w:szCs w:val="24"/>
          <w:lang w:bidi="he-IL"/>
        </w:rPr>
        <w:tab/>
      </w:r>
      <w:r w:rsidR="004C589F" w:rsidRPr="00C32D58">
        <w:rPr>
          <w:rFonts w:ascii="Times New Roman" w:hAnsi="Times New Roman" w:cs="Times New Roman"/>
          <w:sz w:val="24"/>
          <w:szCs w:val="24"/>
          <w:lang w:bidi="he-IL"/>
        </w:rPr>
        <w:t xml:space="preserve">5) </w:t>
      </w:r>
      <w:r w:rsidR="00D94E5E" w:rsidRPr="00C32D58">
        <w:rPr>
          <w:rFonts w:ascii="Times New Roman" w:hAnsi="Times New Roman" w:cs="Times New Roman"/>
          <w:sz w:val="24"/>
          <w:szCs w:val="24"/>
          <w:u w:val="single"/>
          <w:lang w:bidi="he-IL"/>
        </w:rPr>
        <w:t>D</w:t>
      </w:r>
      <w:r w:rsidR="004C589F" w:rsidRPr="00C32D58">
        <w:rPr>
          <w:rFonts w:ascii="Times New Roman" w:hAnsi="Times New Roman" w:cs="Times New Roman"/>
          <w:sz w:val="24"/>
          <w:szCs w:val="24"/>
          <w:u w:val="single"/>
          <w:lang w:bidi="he-IL"/>
        </w:rPr>
        <w:t xml:space="preserve">eal </w:t>
      </w:r>
      <w:r w:rsidR="00D94E5E" w:rsidRPr="00C32D58">
        <w:rPr>
          <w:rFonts w:ascii="Times New Roman" w:hAnsi="Times New Roman" w:cs="Times New Roman"/>
          <w:sz w:val="24"/>
          <w:szCs w:val="24"/>
          <w:u w:val="single"/>
          <w:lang w:bidi="he-IL"/>
        </w:rPr>
        <w:t>C</w:t>
      </w:r>
      <w:r w:rsidR="004C589F" w:rsidRPr="00C32D58">
        <w:rPr>
          <w:rFonts w:ascii="Times New Roman" w:hAnsi="Times New Roman" w:cs="Times New Roman"/>
          <w:sz w:val="24"/>
          <w:szCs w:val="24"/>
          <w:u w:val="single"/>
          <w:lang w:bidi="he-IL"/>
        </w:rPr>
        <w:t>ustomization</w:t>
      </w:r>
      <w:r w:rsidR="00561510" w:rsidRPr="00C32D58">
        <w:rPr>
          <w:rFonts w:ascii="Times New Roman" w:hAnsi="Times New Roman" w:cs="Times New Roman"/>
          <w:sz w:val="24"/>
          <w:szCs w:val="24"/>
          <w:lang w:bidi="he-IL"/>
        </w:rPr>
        <w:t xml:space="preserve">: </w:t>
      </w:r>
      <w:r w:rsidR="00561510" w:rsidRPr="00C32D58">
        <w:rPr>
          <w:rFonts w:ascii="Times New Roman" w:eastAsia="Calibri" w:hAnsi="Times New Roman" w:cs="Times New Roman"/>
          <w:sz w:val="24"/>
          <w:szCs w:val="24"/>
        </w:rPr>
        <w:t xml:space="preserve">Services and resources offered on the platform are not only offered in </w:t>
      </w:r>
      <w:r w:rsidR="00A22ED4" w:rsidRPr="00C32D58">
        <w:rPr>
          <w:rFonts w:ascii="Times New Roman" w:eastAsia="Calibri" w:hAnsi="Times New Roman" w:cs="Times New Roman"/>
          <w:sz w:val="24"/>
          <w:szCs w:val="24"/>
        </w:rPr>
        <w:t>micro modalities</w:t>
      </w:r>
      <w:r w:rsidR="007D22FF" w:rsidRPr="00C32D58">
        <w:rPr>
          <w:rFonts w:ascii="Times New Roman" w:eastAsia="Calibri" w:hAnsi="Times New Roman" w:cs="Times New Roman"/>
          <w:sz w:val="24"/>
          <w:szCs w:val="24"/>
        </w:rPr>
        <w:t>,</w:t>
      </w:r>
      <w:r w:rsidR="00561510" w:rsidRPr="00C32D58">
        <w:rPr>
          <w:rFonts w:ascii="Times New Roman" w:eastAsia="Calibri" w:hAnsi="Times New Roman" w:cs="Times New Roman"/>
          <w:sz w:val="24"/>
          <w:szCs w:val="24"/>
        </w:rPr>
        <w:t xml:space="preserve"> but </w:t>
      </w:r>
      <w:r w:rsidR="00A22ED4" w:rsidRPr="00C32D58">
        <w:rPr>
          <w:rFonts w:ascii="Times New Roman" w:eastAsia="Calibri" w:hAnsi="Times New Roman" w:cs="Times New Roman"/>
          <w:sz w:val="24"/>
          <w:szCs w:val="24"/>
        </w:rPr>
        <w:t>the</w:t>
      </w:r>
      <w:r w:rsidR="00736950" w:rsidRPr="00C32D58">
        <w:rPr>
          <w:rFonts w:ascii="Times New Roman" w:eastAsia="Calibri" w:hAnsi="Times New Roman" w:cs="Times New Roman"/>
          <w:sz w:val="24"/>
          <w:szCs w:val="24"/>
        </w:rPr>
        <w:t xml:space="preserve"> features</w:t>
      </w:r>
      <w:r w:rsidR="00A22ED4" w:rsidRPr="00C32D58">
        <w:rPr>
          <w:rFonts w:ascii="Times New Roman" w:eastAsia="Calibri" w:hAnsi="Times New Roman" w:cs="Times New Roman"/>
          <w:sz w:val="24"/>
          <w:szCs w:val="24"/>
        </w:rPr>
        <w:t xml:space="preserve"> of the </w:t>
      </w:r>
      <w:r w:rsidR="00736950" w:rsidRPr="00C32D58">
        <w:rPr>
          <w:rFonts w:ascii="Times New Roman" w:eastAsia="Calibri" w:hAnsi="Times New Roman" w:cs="Times New Roman"/>
          <w:sz w:val="24"/>
          <w:szCs w:val="24"/>
        </w:rPr>
        <w:t xml:space="preserve">offered </w:t>
      </w:r>
      <w:r w:rsidR="00A22ED4" w:rsidRPr="00C32D58">
        <w:rPr>
          <w:rFonts w:ascii="Times New Roman" w:eastAsia="Calibri" w:hAnsi="Times New Roman" w:cs="Times New Roman"/>
          <w:sz w:val="24"/>
          <w:szCs w:val="24"/>
        </w:rPr>
        <w:t>deal</w:t>
      </w:r>
      <w:r w:rsidR="00561510" w:rsidRPr="00C32D58">
        <w:rPr>
          <w:rFonts w:ascii="Times New Roman" w:eastAsia="Calibri" w:hAnsi="Times New Roman" w:cs="Times New Roman"/>
          <w:sz w:val="24"/>
          <w:szCs w:val="24"/>
        </w:rPr>
        <w:t xml:space="preserve"> can be combined and </w:t>
      </w:r>
      <w:r w:rsidR="007A1654" w:rsidRPr="00C32D58">
        <w:rPr>
          <w:rFonts w:ascii="Times New Roman" w:eastAsia="Calibri" w:hAnsi="Times New Roman" w:cs="Times New Roman"/>
          <w:sz w:val="24"/>
          <w:szCs w:val="24"/>
        </w:rPr>
        <w:t>aggregated</w:t>
      </w:r>
      <w:r w:rsidR="00561510" w:rsidRPr="00C32D58">
        <w:rPr>
          <w:rFonts w:ascii="Times New Roman" w:eastAsia="Calibri" w:hAnsi="Times New Roman" w:cs="Times New Roman"/>
          <w:sz w:val="24"/>
          <w:szCs w:val="24"/>
        </w:rPr>
        <w:t xml:space="preserve"> </w:t>
      </w:r>
      <w:r w:rsidR="00561510" w:rsidRPr="00C32D58">
        <w:rPr>
          <w:rFonts w:ascii="Times New Roman" w:eastAsia="Calibri" w:hAnsi="Times New Roman" w:cs="Times New Roman"/>
          <w:sz w:val="24"/>
          <w:szCs w:val="24"/>
        </w:rPr>
        <w:lastRenderedPageBreak/>
        <w:t xml:space="preserve">to offer </w:t>
      </w:r>
      <w:r w:rsidR="007A1654" w:rsidRPr="00C32D58">
        <w:rPr>
          <w:rFonts w:ascii="Times New Roman" w:eastAsia="Calibri" w:hAnsi="Times New Roman" w:cs="Times New Roman"/>
          <w:sz w:val="24"/>
          <w:szCs w:val="24"/>
          <w:shd w:val="clear" w:color="auto" w:fill="FFFFFF"/>
        </w:rPr>
        <w:t>optimal</w:t>
      </w:r>
      <w:r w:rsidR="00561510" w:rsidRPr="00C32D58">
        <w:rPr>
          <w:rFonts w:ascii="Times New Roman" w:eastAsia="Calibri" w:hAnsi="Times New Roman" w:cs="Times New Roman"/>
          <w:sz w:val="24"/>
          <w:szCs w:val="24"/>
          <w:shd w:val="clear" w:color="auto" w:fill="FFFFFF"/>
        </w:rPr>
        <w:t xml:space="preserve"> customization </w:t>
      </w:r>
      <w:r w:rsidR="00A22ED4" w:rsidRPr="00C32D58">
        <w:rPr>
          <w:rFonts w:ascii="Times New Roman" w:eastAsia="Calibri" w:hAnsi="Times New Roman" w:cs="Times New Roman"/>
          <w:sz w:val="24"/>
          <w:szCs w:val="24"/>
          <w:shd w:val="clear" w:color="auto" w:fill="FFFFFF"/>
        </w:rPr>
        <w:t xml:space="preserve">to </w:t>
      </w:r>
      <w:r w:rsidR="00561510" w:rsidRPr="00C32D58">
        <w:rPr>
          <w:rFonts w:ascii="Times New Roman" w:eastAsia="Calibri" w:hAnsi="Times New Roman" w:cs="Times New Roman"/>
          <w:sz w:val="24"/>
          <w:szCs w:val="24"/>
          <w:shd w:val="clear" w:color="auto" w:fill="FFFFFF"/>
        </w:rPr>
        <w:t xml:space="preserve">fit individual needs </w:t>
      </w:r>
      <w:r w:rsidR="007A1654" w:rsidRPr="00C32D58">
        <w:rPr>
          <w:rFonts w:ascii="Times New Roman" w:eastAsia="Calibri" w:hAnsi="Times New Roman" w:cs="Times New Roman"/>
          <w:sz w:val="24"/>
          <w:szCs w:val="24"/>
          <w:shd w:val="clear" w:color="auto" w:fill="FFFFFF"/>
        </w:rPr>
        <w:t xml:space="preserve">with unprecedented </w:t>
      </w:r>
      <w:r w:rsidR="00561510" w:rsidRPr="00C32D58">
        <w:rPr>
          <w:rFonts w:ascii="Times New Roman" w:eastAsia="Calibri" w:hAnsi="Times New Roman" w:cs="Times New Roman"/>
          <w:sz w:val="24"/>
          <w:szCs w:val="24"/>
          <w:shd w:val="clear" w:color="auto" w:fill="FFFFFF"/>
        </w:rPr>
        <w:t>specificity.</w:t>
      </w:r>
      <w:r w:rsidR="006219DC" w:rsidRPr="00C32D58">
        <w:rPr>
          <w:rFonts w:ascii="Times New Roman" w:hAnsi="Times New Roman" w:cs="Times New Roman"/>
          <w:sz w:val="24"/>
          <w:szCs w:val="24"/>
        </w:rPr>
        <w:t xml:space="preserve"> </w:t>
      </w:r>
      <w:r w:rsidR="00736950" w:rsidRPr="00C32D58">
        <w:rPr>
          <w:rFonts w:ascii="Times New Roman" w:hAnsi="Times New Roman" w:cs="Times New Roman"/>
          <w:sz w:val="24"/>
          <w:szCs w:val="24"/>
        </w:rPr>
        <w:t>Need a ride right now? Call an Uber.</w:t>
      </w:r>
      <w:r w:rsidR="00FD63F1" w:rsidRPr="00C32D58">
        <w:rPr>
          <w:rFonts w:ascii="Times New Roman" w:hAnsi="Times New Roman" w:cs="Times New Roman"/>
          <w:sz w:val="24"/>
          <w:szCs w:val="24"/>
        </w:rPr>
        <w:t xml:space="preserve">Can’t afford to ride on your own? Not a problem - just hop in an uberPool and share the cost of your ride with others going to your destination. </w:t>
      </w:r>
      <w:r w:rsidR="00DA7D40" w:rsidRPr="00C32D58">
        <w:rPr>
          <w:rFonts w:ascii="Times New Roman" w:hAnsi="Times New Roman" w:cs="Times New Roman"/>
          <w:sz w:val="24"/>
          <w:szCs w:val="24"/>
        </w:rPr>
        <w:t>Want a one day house that accommodates your entire extended family plus dog, includes a pool, but no stairs? You are likely to find it on Airbnb. Want an office space twice a week for three co-workers, including two hours of access to an administrative assistant? Shared work spaces like LiquidSpace will provide that deal. The menu of options has become wider</w:t>
      </w:r>
      <w:r w:rsidR="00481545" w:rsidRPr="00C32D58">
        <w:rPr>
          <w:rFonts w:ascii="Times New Roman" w:hAnsi="Times New Roman" w:cs="Times New Roman"/>
          <w:sz w:val="24"/>
          <w:szCs w:val="24"/>
        </w:rPr>
        <w:t xml:space="preserve"> without undermining the facility of transacting by several online clicks. </w:t>
      </w:r>
      <w:r w:rsidR="00FD63F1" w:rsidRPr="00C32D58">
        <w:rPr>
          <w:rFonts w:ascii="Times New Roman" w:hAnsi="Times New Roman" w:cs="Times New Roman"/>
          <w:sz w:val="24"/>
          <w:szCs w:val="24"/>
        </w:rPr>
        <w:t xml:space="preserve">. </w:t>
      </w:r>
    </w:p>
    <w:p w14:paraId="0E1AE26C" w14:textId="429EA0E8" w:rsidR="004C589F" w:rsidRPr="00C32D58" w:rsidRDefault="004C589F" w:rsidP="00C32D58">
      <w:pPr>
        <w:spacing w:after="0" w:line="240" w:lineRule="auto"/>
        <w:ind w:firstLine="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6) </w:t>
      </w:r>
      <w:r w:rsidR="00D94E5E" w:rsidRPr="00C32D58">
        <w:rPr>
          <w:rFonts w:ascii="Times New Roman" w:hAnsi="Times New Roman" w:cs="Times New Roman"/>
          <w:sz w:val="24"/>
          <w:szCs w:val="24"/>
          <w:u w:val="single"/>
          <w:lang w:bidi="he-IL"/>
        </w:rPr>
        <w:t>A</w:t>
      </w:r>
      <w:r w:rsidRPr="00C32D58">
        <w:rPr>
          <w:rFonts w:ascii="Times New Roman" w:hAnsi="Times New Roman" w:cs="Times New Roman"/>
          <w:sz w:val="24"/>
          <w:szCs w:val="24"/>
          <w:u w:val="single"/>
          <w:lang w:bidi="he-IL"/>
        </w:rPr>
        <w:t xml:space="preserve">ccess </w:t>
      </w:r>
      <w:r w:rsidR="00D94E5E" w:rsidRPr="00C32D58">
        <w:rPr>
          <w:rFonts w:ascii="Times New Roman" w:hAnsi="Times New Roman" w:cs="Times New Roman"/>
          <w:sz w:val="24"/>
          <w:szCs w:val="24"/>
          <w:u w:val="single"/>
          <w:lang w:bidi="he-IL"/>
        </w:rPr>
        <w:t>O</w:t>
      </w:r>
      <w:r w:rsidRPr="00C32D58">
        <w:rPr>
          <w:rFonts w:ascii="Times New Roman" w:hAnsi="Times New Roman" w:cs="Times New Roman"/>
          <w:sz w:val="24"/>
          <w:szCs w:val="24"/>
          <w:u w:val="single"/>
          <w:lang w:bidi="he-IL"/>
        </w:rPr>
        <w:t xml:space="preserve">ver </w:t>
      </w:r>
      <w:r w:rsidR="00D94E5E" w:rsidRPr="00C32D58">
        <w:rPr>
          <w:rFonts w:ascii="Times New Roman" w:hAnsi="Times New Roman" w:cs="Times New Roman"/>
          <w:sz w:val="24"/>
          <w:szCs w:val="24"/>
          <w:u w:val="single"/>
          <w:lang w:bidi="he-IL"/>
        </w:rPr>
        <w:t>O</w:t>
      </w:r>
      <w:r w:rsidRPr="00C32D58">
        <w:rPr>
          <w:rFonts w:ascii="Times New Roman" w:hAnsi="Times New Roman" w:cs="Times New Roman"/>
          <w:sz w:val="24"/>
          <w:szCs w:val="24"/>
          <w:u w:val="single"/>
          <w:lang w:bidi="he-IL"/>
        </w:rPr>
        <w:t>wnership</w:t>
      </w:r>
      <w:r w:rsidR="0062421D" w:rsidRPr="00C32D58">
        <w:rPr>
          <w:rFonts w:ascii="Times New Roman" w:hAnsi="Times New Roman" w:cs="Times New Roman"/>
          <w:sz w:val="24"/>
          <w:szCs w:val="24"/>
          <w:lang w:bidi="he-IL"/>
        </w:rPr>
        <w:t xml:space="preserve">: </w:t>
      </w:r>
      <w:bookmarkStart w:id="10" w:name="OLE_LINK419"/>
      <w:bookmarkStart w:id="11" w:name="OLE_LINK420"/>
      <w:r w:rsidR="005C00EF" w:rsidRPr="00C32D58">
        <w:rPr>
          <w:rFonts w:ascii="Times New Roman" w:eastAsia="Calibri" w:hAnsi="Times New Roman" w:cs="Times New Roman"/>
          <w:sz w:val="24"/>
          <w:szCs w:val="24"/>
        </w:rPr>
        <w:t>T</w:t>
      </w:r>
      <w:r w:rsidR="0062421D" w:rsidRPr="00C32D58">
        <w:rPr>
          <w:rFonts w:ascii="Times New Roman" w:eastAsia="Calibri" w:hAnsi="Times New Roman" w:cs="Times New Roman"/>
          <w:sz w:val="24"/>
          <w:szCs w:val="24"/>
        </w:rPr>
        <w:t xml:space="preserve">he platform </w:t>
      </w:r>
      <w:r w:rsidR="007D22FF" w:rsidRPr="00C32D58">
        <w:rPr>
          <w:rFonts w:ascii="Times New Roman" w:eastAsia="Calibri" w:hAnsi="Times New Roman" w:cs="Times New Roman"/>
          <w:sz w:val="24"/>
          <w:szCs w:val="24"/>
        </w:rPr>
        <w:t>aids</w:t>
      </w:r>
      <w:r w:rsidR="0062421D" w:rsidRPr="00C32D58">
        <w:rPr>
          <w:rFonts w:ascii="Times New Roman" w:eastAsia="Calibri" w:hAnsi="Times New Roman" w:cs="Times New Roman"/>
          <w:sz w:val="24"/>
          <w:szCs w:val="24"/>
        </w:rPr>
        <w:t xml:space="preserve"> a shift from a consumption mindset of property to </w:t>
      </w:r>
      <w:r w:rsidR="00F7310C" w:rsidRPr="00C32D58">
        <w:rPr>
          <w:rFonts w:ascii="Times New Roman" w:eastAsia="Calibri" w:hAnsi="Times New Roman" w:cs="Times New Roman"/>
          <w:sz w:val="24"/>
          <w:szCs w:val="24"/>
        </w:rPr>
        <w:t>one</w:t>
      </w:r>
      <w:r w:rsidR="0062421D" w:rsidRPr="00C32D58">
        <w:rPr>
          <w:rFonts w:ascii="Times New Roman" w:eastAsia="Calibri" w:hAnsi="Times New Roman" w:cs="Times New Roman"/>
          <w:sz w:val="24"/>
          <w:szCs w:val="24"/>
        </w:rPr>
        <w:t xml:space="preserve"> of access. </w:t>
      </w:r>
      <w:bookmarkEnd w:id="10"/>
      <w:bookmarkEnd w:id="11"/>
      <w:r w:rsidR="0062421D" w:rsidRPr="00C32D58">
        <w:rPr>
          <w:rFonts w:ascii="Times New Roman" w:eastAsia="Calibri" w:hAnsi="Times New Roman" w:cs="Times New Roman"/>
          <w:sz w:val="24"/>
          <w:szCs w:val="24"/>
        </w:rPr>
        <w:t>This shift reduces transaction costs by mitigating the stakes of the deal</w:t>
      </w:r>
      <w:r w:rsidR="005956FF" w:rsidRPr="00C32D58">
        <w:rPr>
          <w:rFonts w:ascii="Times New Roman" w:eastAsia="Calibri" w:hAnsi="Times New Roman" w:cs="Times New Roman"/>
          <w:sz w:val="24"/>
          <w:szCs w:val="24"/>
        </w:rPr>
        <w:t>. For example,</w:t>
      </w:r>
      <w:r w:rsidR="0062421D" w:rsidRPr="00C32D58">
        <w:rPr>
          <w:rFonts w:ascii="Times New Roman" w:eastAsia="Calibri" w:hAnsi="Times New Roman" w:cs="Times New Roman"/>
          <w:sz w:val="24"/>
          <w:szCs w:val="24"/>
        </w:rPr>
        <w:t xml:space="preserve"> buying a car is a far weightier </w:t>
      </w:r>
      <w:r w:rsidR="00473738" w:rsidRPr="00C32D58">
        <w:rPr>
          <w:rFonts w:ascii="Times New Roman" w:eastAsia="Calibri" w:hAnsi="Times New Roman" w:cs="Times New Roman"/>
          <w:sz w:val="24"/>
          <w:szCs w:val="24"/>
        </w:rPr>
        <w:t>decision than hailing a ride.</w:t>
      </w:r>
      <w:r w:rsidR="00A22ED4" w:rsidRPr="00C32D58">
        <w:rPr>
          <w:rFonts w:ascii="Times New Roman" w:eastAsia="Calibri" w:hAnsi="Times New Roman" w:cs="Times New Roman"/>
          <w:sz w:val="24"/>
          <w:szCs w:val="24"/>
        </w:rPr>
        <w:t xml:space="preserve"> The mindset of access also fuels usage and accelerates the circulation of resources in the market.</w:t>
      </w:r>
    </w:p>
    <w:p w14:paraId="386D14FD" w14:textId="1AD8850B" w:rsidR="004C589F" w:rsidRPr="00C32D58" w:rsidRDefault="004C589F" w:rsidP="00C32D58">
      <w:pPr>
        <w:spacing w:after="0" w:line="240" w:lineRule="auto"/>
        <w:ind w:firstLine="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7) </w:t>
      </w:r>
      <w:r w:rsidR="00D94E5E" w:rsidRPr="00C32D58">
        <w:rPr>
          <w:rFonts w:ascii="Times New Roman" w:hAnsi="Times New Roman" w:cs="Times New Roman"/>
          <w:sz w:val="24"/>
          <w:szCs w:val="24"/>
          <w:u w:val="single"/>
          <w:lang w:bidi="he-IL"/>
        </w:rPr>
        <w:t>O</w:t>
      </w:r>
      <w:r w:rsidRPr="00C32D58">
        <w:rPr>
          <w:rFonts w:ascii="Times New Roman" w:hAnsi="Times New Roman" w:cs="Times New Roman"/>
          <w:sz w:val="24"/>
          <w:szCs w:val="24"/>
          <w:u w:val="single"/>
          <w:lang w:bidi="he-IL"/>
        </w:rPr>
        <w:t xml:space="preserve">verhead </w:t>
      </w:r>
      <w:r w:rsidR="00D94E5E" w:rsidRPr="00C32D58">
        <w:rPr>
          <w:rFonts w:ascii="Times New Roman" w:hAnsi="Times New Roman" w:cs="Times New Roman"/>
          <w:sz w:val="24"/>
          <w:szCs w:val="24"/>
          <w:u w:val="single"/>
          <w:lang w:bidi="he-IL"/>
        </w:rPr>
        <w:t>R</w:t>
      </w:r>
      <w:r w:rsidR="00653F17" w:rsidRPr="00C32D58">
        <w:rPr>
          <w:rFonts w:ascii="Times New Roman" w:hAnsi="Times New Roman" w:cs="Times New Roman"/>
          <w:sz w:val="24"/>
          <w:szCs w:val="24"/>
          <w:u w:val="single"/>
          <w:lang w:bidi="he-IL"/>
        </w:rPr>
        <w:t>eduction</w:t>
      </w:r>
      <w:r w:rsidR="00653F17" w:rsidRPr="00C32D58">
        <w:rPr>
          <w:rFonts w:ascii="Times New Roman" w:hAnsi="Times New Roman" w:cs="Times New Roman"/>
          <w:sz w:val="24"/>
          <w:szCs w:val="24"/>
          <w:lang w:bidi="he-IL"/>
        </w:rPr>
        <w:t xml:space="preserve">: </w:t>
      </w:r>
      <w:r w:rsidR="00D94E5E" w:rsidRPr="00C32D58">
        <w:rPr>
          <w:rFonts w:ascii="Times New Roman" w:eastAsia="Calibri" w:hAnsi="Times New Roman" w:cs="Times New Roman"/>
          <w:sz w:val="24"/>
          <w:szCs w:val="24"/>
          <w:shd w:val="clear" w:color="auto" w:fill="FFFFFF"/>
        </w:rPr>
        <w:t>T</w:t>
      </w:r>
      <w:r w:rsidR="00653F17" w:rsidRPr="00C32D58">
        <w:rPr>
          <w:rFonts w:ascii="Times New Roman" w:eastAsia="Calibri" w:hAnsi="Times New Roman" w:cs="Times New Roman"/>
          <w:sz w:val="24"/>
          <w:szCs w:val="24"/>
          <w:shd w:val="clear" w:color="auto" w:fill="FFFFFF"/>
        </w:rPr>
        <w:t xml:space="preserve">he platform relies more on </w:t>
      </w:r>
      <w:r w:rsidR="00DD4704" w:rsidRPr="00C32D58">
        <w:rPr>
          <w:rFonts w:ascii="Times New Roman" w:eastAsia="Calibri" w:hAnsi="Times New Roman" w:cs="Times New Roman"/>
          <w:sz w:val="24"/>
          <w:szCs w:val="24"/>
          <w:shd w:val="clear" w:color="auto" w:fill="FFFFFF"/>
        </w:rPr>
        <w:t xml:space="preserve">digital </w:t>
      </w:r>
      <w:r w:rsidR="00653F17" w:rsidRPr="00C32D58">
        <w:rPr>
          <w:rFonts w:ascii="Times New Roman" w:eastAsia="Calibri" w:hAnsi="Times New Roman" w:cs="Times New Roman"/>
          <w:sz w:val="24"/>
          <w:szCs w:val="24"/>
          <w:shd w:val="clear" w:color="auto" w:fill="FFFFFF"/>
        </w:rPr>
        <w:t xml:space="preserve">technology than brick-and-mortar offices and employees to intermediate the deal. </w:t>
      </w:r>
      <w:r w:rsidR="00DE1057" w:rsidRPr="00C32D58">
        <w:rPr>
          <w:rFonts w:ascii="Times New Roman" w:eastAsia="Calibri" w:hAnsi="Times New Roman" w:cs="Times New Roman"/>
          <w:sz w:val="24"/>
          <w:szCs w:val="24"/>
          <w:shd w:val="clear" w:color="auto" w:fill="FFFFFF"/>
        </w:rPr>
        <w:t>T</w:t>
      </w:r>
      <w:r w:rsidR="00653F17" w:rsidRPr="00C32D58">
        <w:rPr>
          <w:rFonts w:ascii="Times New Roman" w:eastAsia="Calibri" w:hAnsi="Times New Roman" w:cs="Times New Roman"/>
          <w:sz w:val="24"/>
          <w:szCs w:val="24"/>
        </w:rPr>
        <w:t xml:space="preserve">echnological and economic innovations adopted by </w:t>
      </w:r>
      <w:r w:rsidR="00C12CEC" w:rsidRPr="00C32D58">
        <w:rPr>
          <w:rFonts w:ascii="Times New Roman" w:eastAsia="Calibri" w:hAnsi="Times New Roman" w:cs="Times New Roman"/>
          <w:sz w:val="24"/>
          <w:szCs w:val="24"/>
        </w:rPr>
        <w:t xml:space="preserve">digital </w:t>
      </w:r>
      <w:r w:rsidR="00DE1057" w:rsidRPr="00C32D58">
        <w:rPr>
          <w:rFonts w:ascii="Times New Roman" w:eastAsia="Calibri" w:hAnsi="Times New Roman" w:cs="Times New Roman"/>
          <w:sz w:val="24"/>
          <w:szCs w:val="24"/>
        </w:rPr>
        <w:t xml:space="preserve">companies </w:t>
      </w:r>
      <w:r w:rsidR="00653F17" w:rsidRPr="00C32D58">
        <w:rPr>
          <w:rFonts w:ascii="Times New Roman" w:eastAsia="Calibri" w:hAnsi="Times New Roman" w:cs="Times New Roman"/>
          <w:sz w:val="24"/>
          <w:szCs w:val="24"/>
        </w:rPr>
        <w:t>reduce expenses compared to their offline counterparts</w:t>
      </w:r>
      <w:r w:rsidR="00C12CEC" w:rsidRPr="00C32D58">
        <w:rPr>
          <w:rFonts w:ascii="Times New Roman" w:eastAsia="Calibri" w:hAnsi="Times New Roman" w:cs="Times New Roman"/>
          <w:sz w:val="24"/>
          <w:szCs w:val="24"/>
        </w:rPr>
        <w:t>,</w:t>
      </w:r>
      <w:r w:rsidR="00DE1057" w:rsidRPr="00C32D58">
        <w:rPr>
          <w:rFonts w:ascii="Times New Roman" w:eastAsia="Calibri" w:hAnsi="Times New Roman" w:cs="Times New Roman"/>
          <w:sz w:val="24"/>
          <w:szCs w:val="24"/>
        </w:rPr>
        <w:t xml:space="preserve"> and in turn</w:t>
      </w:r>
      <w:r w:rsidR="00FE795B" w:rsidRPr="00C32D58">
        <w:rPr>
          <w:rFonts w:ascii="Times New Roman" w:eastAsia="Calibri" w:hAnsi="Times New Roman" w:cs="Times New Roman"/>
          <w:sz w:val="24"/>
          <w:szCs w:val="24"/>
        </w:rPr>
        <w:t>,</w:t>
      </w:r>
      <w:r w:rsidR="00DE1057" w:rsidRPr="00C32D58">
        <w:rPr>
          <w:rFonts w:ascii="Times New Roman" w:eastAsia="Calibri" w:hAnsi="Times New Roman" w:cs="Times New Roman"/>
          <w:sz w:val="24"/>
          <w:szCs w:val="24"/>
        </w:rPr>
        <w:t xml:space="preserve"> platform companies charge a relatively small percentage for their intermediation</w:t>
      </w:r>
      <w:r w:rsidR="00A96E9D" w:rsidRPr="00C32D58">
        <w:rPr>
          <w:rFonts w:ascii="Times New Roman" w:eastAsia="Calibri" w:hAnsi="Times New Roman" w:cs="Times New Roman"/>
          <w:sz w:val="24"/>
          <w:szCs w:val="24"/>
        </w:rPr>
        <w:t xml:space="preserve"> </w:t>
      </w:r>
      <w:r w:rsidR="00481545" w:rsidRPr="00C32D58">
        <w:rPr>
          <w:rFonts w:ascii="Times New Roman" w:eastAsia="Calibri" w:hAnsi="Times New Roman" w:cs="Times New Roman"/>
          <w:sz w:val="24"/>
          <w:szCs w:val="24"/>
        </w:rPr>
        <w:t>relative to their traditional brick and mortar counterpart</w:t>
      </w:r>
      <w:r w:rsidR="00653F17" w:rsidRPr="00C32D58">
        <w:rPr>
          <w:rFonts w:ascii="Times New Roman" w:eastAsia="Calibri" w:hAnsi="Times New Roman" w:cs="Times New Roman"/>
          <w:sz w:val="24"/>
          <w:szCs w:val="24"/>
        </w:rPr>
        <w:t>. Still, as will be further discussed below, the question of costs is endogenous to the question of regulatory responsibility</w:t>
      </w:r>
      <w:r w:rsidR="00481545" w:rsidRPr="00C32D58">
        <w:rPr>
          <w:rFonts w:ascii="Times New Roman" w:eastAsia="Calibri" w:hAnsi="Times New Roman" w:cs="Times New Roman"/>
          <w:sz w:val="24"/>
          <w:szCs w:val="24"/>
        </w:rPr>
        <w:t xml:space="preserve"> as well as the viability of a competitive market.</w:t>
      </w:r>
    </w:p>
    <w:p w14:paraId="44E15A59" w14:textId="7F74C897" w:rsidR="00442A00" w:rsidRPr="00C32D58" w:rsidRDefault="004C589F" w:rsidP="00C32D58">
      <w:pPr>
        <w:spacing w:after="0" w:line="240" w:lineRule="auto"/>
        <w:ind w:firstLine="720"/>
        <w:rPr>
          <w:rFonts w:ascii="Times New Roman" w:hAnsi="Times New Roman" w:cs="Times New Roman"/>
          <w:sz w:val="24"/>
          <w:szCs w:val="24"/>
          <w:lang w:bidi="he-IL"/>
        </w:rPr>
      </w:pPr>
      <w:r w:rsidRPr="00C32D58">
        <w:rPr>
          <w:rFonts w:ascii="Times New Roman" w:hAnsi="Times New Roman" w:cs="Times New Roman"/>
          <w:sz w:val="24"/>
          <w:szCs w:val="24"/>
          <w:lang w:bidi="he-IL"/>
        </w:rPr>
        <w:t>8)</w:t>
      </w:r>
      <w:r w:rsidR="00B878BA" w:rsidRPr="00C32D58">
        <w:rPr>
          <w:rFonts w:ascii="Times New Roman" w:hAnsi="Times New Roman" w:cs="Times New Roman"/>
          <w:sz w:val="24"/>
          <w:szCs w:val="24"/>
          <w:lang w:bidi="he-IL"/>
        </w:rPr>
        <w:t xml:space="preserve"> </w:t>
      </w:r>
      <w:r w:rsidR="00D94E5E" w:rsidRPr="00C32D58">
        <w:rPr>
          <w:rFonts w:ascii="Times New Roman" w:hAnsi="Times New Roman" w:cs="Times New Roman"/>
          <w:sz w:val="24"/>
          <w:szCs w:val="24"/>
          <w:u w:val="single"/>
          <w:lang w:bidi="he-IL"/>
        </w:rPr>
        <w:t>R</w:t>
      </w:r>
      <w:r w:rsidR="00B878BA" w:rsidRPr="00C32D58">
        <w:rPr>
          <w:rFonts w:ascii="Times New Roman" w:hAnsi="Times New Roman" w:cs="Times New Roman"/>
          <w:sz w:val="24"/>
          <w:szCs w:val="24"/>
          <w:u w:val="single"/>
          <w:lang w:bidi="he-IL"/>
        </w:rPr>
        <w:t xml:space="preserve">educed </w:t>
      </w:r>
      <w:r w:rsidR="00D94E5E" w:rsidRPr="00C32D58">
        <w:rPr>
          <w:rFonts w:ascii="Times New Roman" w:hAnsi="Times New Roman" w:cs="Times New Roman"/>
          <w:sz w:val="24"/>
          <w:szCs w:val="24"/>
          <w:u w:val="single"/>
          <w:lang w:bidi="he-IL"/>
        </w:rPr>
        <w:t>B</w:t>
      </w:r>
      <w:r w:rsidR="00B878BA" w:rsidRPr="00C32D58">
        <w:rPr>
          <w:rFonts w:ascii="Times New Roman" w:hAnsi="Times New Roman" w:cs="Times New Roman"/>
          <w:sz w:val="24"/>
          <w:szCs w:val="24"/>
          <w:u w:val="single"/>
          <w:lang w:bidi="he-IL"/>
        </w:rPr>
        <w:t xml:space="preserve">arriers to </w:t>
      </w:r>
      <w:r w:rsidR="00D94E5E" w:rsidRPr="00C32D58">
        <w:rPr>
          <w:rFonts w:ascii="Times New Roman" w:hAnsi="Times New Roman" w:cs="Times New Roman"/>
          <w:sz w:val="24"/>
          <w:szCs w:val="24"/>
          <w:u w:val="single"/>
          <w:lang w:bidi="he-IL"/>
        </w:rPr>
        <w:t>E</w:t>
      </w:r>
      <w:r w:rsidR="00B878BA" w:rsidRPr="00C32D58">
        <w:rPr>
          <w:rFonts w:ascii="Times New Roman" w:hAnsi="Times New Roman" w:cs="Times New Roman"/>
          <w:sz w:val="24"/>
          <w:szCs w:val="24"/>
          <w:u w:val="single"/>
          <w:lang w:bidi="he-IL"/>
        </w:rPr>
        <w:t>ntry</w:t>
      </w:r>
      <w:r w:rsidR="00565B98" w:rsidRPr="00C32D58">
        <w:rPr>
          <w:rFonts w:ascii="Times New Roman" w:hAnsi="Times New Roman" w:cs="Times New Roman"/>
          <w:sz w:val="24"/>
          <w:szCs w:val="24"/>
          <w:lang w:bidi="he-IL"/>
        </w:rPr>
        <w:t xml:space="preserve">: </w:t>
      </w:r>
      <w:r w:rsidR="00565B98" w:rsidRPr="00C32D58">
        <w:rPr>
          <w:rFonts w:ascii="Times New Roman" w:eastAsia="Calibri" w:hAnsi="Times New Roman" w:cs="Times New Roman"/>
          <w:sz w:val="24"/>
          <w:szCs w:val="24"/>
        </w:rPr>
        <w:t>S</w:t>
      </w:r>
      <w:r w:rsidR="00442A00" w:rsidRPr="00C32D58">
        <w:rPr>
          <w:rFonts w:ascii="Times New Roman" w:eastAsia="Calibri" w:hAnsi="Times New Roman" w:cs="Times New Roman"/>
          <w:sz w:val="24"/>
          <w:szCs w:val="24"/>
        </w:rPr>
        <w:t>tartup costs to digitally compete are low</w:t>
      </w:r>
      <w:r w:rsidR="00565B98" w:rsidRPr="00C32D58">
        <w:rPr>
          <w:rFonts w:ascii="Times New Roman" w:eastAsia="Calibri" w:hAnsi="Times New Roman" w:cs="Times New Roman"/>
          <w:sz w:val="24"/>
          <w:szCs w:val="24"/>
        </w:rPr>
        <w:t>, primarily because of the low intermediation costs noted above. An online marketplace mostly requires a domain name and an app</w:t>
      </w:r>
      <w:r w:rsidR="00DC5EA3" w:rsidRPr="00C32D58">
        <w:rPr>
          <w:rFonts w:ascii="Times New Roman" w:eastAsia="Calibri" w:hAnsi="Times New Roman" w:cs="Times New Roman"/>
          <w:sz w:val="24"/>
          <w:szCs w:val="24"/>
        </w:rPr>
        <w:t xml:space="preserve">, </w:t>
      </w:r>
      <w:r w:rsidR="00A22ED4" w:rsidRPr="00C32D58">
        <w:rPr>
          <w:rFonts w:ascii="Times New Roman" w:eastAsia="Calibri" w:hAnsi="Times New Roman" w:cs="Times New Roman"/>
          <w:sz w:val="24"/>
          <w:szCs w:val="24"/>
        </w:rPr>
        <w:t>dissolving some of the</w:t>
      </w:r>
      <w:r w:rsidR="00DC5EA3" w:rsidRPr="00C32D58">
        <w:rPr>
          <w:rFonts w:ascii="Times New Roman" w:eastAsia="Calibri" w:hAnsi="Times New Roman" w:cs="Times New Roman"/>
          <w:sz w:val="24"/>
          <w:szCs w:val="24"/>
        </w:rPr>
        <w:t xml:space="preserve"> traditional m</w:t>
      </w:r>
      <w:r w:rsidR="00D15DBB" w:rsidRPr="00C32D58">
        <w:rPr>
          <w:rFonts w:ascii="Times New Roman" w:eastAsia="Calibri" w:hAnsi="Times New Roman" w:cs="Times New Roman"/>
          <w:sz w:val="24"/>
          <w:szCs w:val="24"/>
        </w:rPr>
        <w:t>aintenance costs</w:t>
      </w:r>
      <w:r w:rsidR="00DC5EA3" w:rsidRPr="00C32D58">
        <w:rPr>
          <w:rFonts w:ascii="Times New Roman" w:eastAsia="Calibri" w:hAnsi="Times New Roman" w:cs="Times New Roman"/>
          <w:sz w:val="24"/>
          <w:szCs w:val="24"/>
        </w:rPr>
        <w:t>.</w:t>
      </w:r>
      <w:r w:rsidR="00D15DBB" w:rsidRPr="00C32D58">
        <w:rPr>
          <w:rFonts w:ascii="Times New Roman" w:eastAsia="Calibri" w:hAnsi="Times New Roman" w:cs="Times New Roman"/>
          <w:sz w:val="24"/>
          <w:szCs w:val="24"/>
        </w:rPr>
        <w:t xml:space="preserve"> </w:t>
      </w:r>
      <w:r w:rsidR="00565B98" w:rsidRPr="00C32D58">
        <w:rPr>
          <w:rFonts w:ascii="Times New Roman" w:eastAsia="Calibri" w:hAnsi="Times New Roman" w:cs="Times New Roman"/>
          <w:sz w:val="24"/>
          <w:szCs w:val="24"/>
        </w:rPr>
        <w:t>At the same time,</w:t>
      </w:r>
      <w:r w:rsidR="00442A00" w:rsidRPr="00C32D58">
        <w:rPr>
          <w:rFonts w:ascii="Times New Roman" w:eastAsia="Calibri" w:hAnsi="Times New Roman" w:cs="Times New Roman"/>
          <w:sz w:val="24"/>
          <w:szCs w:val="24"/>
        </w:rPr>
        <w:t xml:space="preserve"> </w:t>
      </w:r>
      <w:r w:rsidR="00565B98" w:rsidRPr="00C32D58">
        <w:rPr>
          <w:rFonts w:ascii="Times New Roman" w:eastAsia="Calibri" w:hAnsi="Times New Roman" w:cs="Times New Roman"/>
          <w:sz w:val="24"/>
          <w:szCs w:val="24"/>
        </w:rPr>
        <w:t xml:space="preserve">as Kenneth Bamberger and I analyze in a forthcoming article, </w:t>
      </w:r>
      <w:r w:rsidR="00565B98" w:rsidRPr="00C32D58">
        <w:rPr>
          <w:rFonts w:ascii="Times New Roman" w:eastAsia="Calibri" w:hAnsi="Times New Roman" w:cs="Times New Roman"/>
          <w:i/>
          <w:sz w:val="24"/>
          <w:szCs w:val="24"/>
        </w:rPr>
        <w:t>Platform Market Power</w:t>
      </w:r>
      <w:r w:rsidR="00565B98" w:rsidRPr="00C32D58">
        <w:rPr>
          <w:rFonts w:ascii="Times New Roman" w:eastAsia="Calibri" w:hAnsi="Times New Roman" w:cs="Times New Roman"/>
          <w:sz w:val="24"/>
          <w:szCs w:val="24"/>
        </w:rPr>
        <w:t>, platforms tend to enjoy dominance once they</w:t>
      </w:r>
      <w:r w:rsidR="00741AD1" w:rsidRPr="00C32D58">
        <w:rPr>
          <w:rFonts w:ascii="Times New Roman" w:eastAsia="Calibri" w:hAnsi="Times New Roman" w:cs="Times New Roman"/>
          <w:sz w:val="24"/>
          <w:szCs w:val="24"/>
        </w:rPr>
        <w:t xml:space="preserve"> have</w:t>
      </w:r>
      <w:r w:rsidR="00565B98" w:rsidRPr="00C32D58">
        <w:rPr>
          <w:rFonts w:ascii="Times New Roman" w:eastAsia="Calibri" w:hAnsi="Times New Roman" w:cs="Times New Roman"/>
          <w:sz w:val="24"/>
          <w:szCs w:val="24"/>
        </w:rPr>
        <w:t xml:space="preserve"> reached large scale adoption</w:t>
      </w:r>
      <w:r w:rsidR="00996B25" w:rsidRPr="00C32D58">
        <w:rPr>
          <w:rFonts w:ascii="Times New Roman" w:eastAsia="Calibri" w:hAnsi="Times New Roman" w:cs="Times New Roman"/>
          <w:sz w:val="24"/>
          <w:szCs w:val="24"/>
        </w:rPr>
        <w:t xml:space="preserve"> due </w:t>
      </w:r>
      <w:r w:rsidR="00A22ED4" w:rsidRPr="00C32D58">
        <w:rPr>
          <w:rFonts w:ascii="Times New Roman" w:eastAsia="Calibri" w:hAnsi="Times New Roman" w:cs="Times New Roman"/>
          <w:sz w:val="24"/>
          <w:szCs w:val="24"/>
        </w:rPr>
        <w:t xml:space="preserve">in large part </w:t>
      </w:r>
      <w:r w:rsidR="00996B25" w:rsidRPr="00C32D58">
        <w:rPr>
          <w:rFonts w:ascii="Times New Roman" w:eastAsia="Calibri" w:hAnsi="Times New Roman" w:cs="Times New Roman"/>
          <w:sz w:val="24"/>
          <w:szCs w:val="24"/>
        </w:rPr>
        <w:t>to</w:t>
      </w:r>
      <w:r w:rsidR="00A22ED4" w:rsidRPr="00C32D58">
        <w:rPr>
          <w:rFonts w:ascii="Times New Roman" w:eastAsia="Calibri" w:hAnsi="Times New Roman" w:cs="Times New Roman"/>
          <w:sz w:val="24"/>
          <w:szCs w:val="24"/>
        </w:rPr>
        <w:t xml:space="preserve"> network effects and switching costs</w:t>
      </w:r>
      <w:r w:rsidR="00565B98" w:rsidRPr="00C32D58">
        <w:rPr>
          <w:rFonts w:ascii="Times New Roman" w:eastAsia="Calibri" w:hAnsi="Times New Roman" w:cs="Times New Roman"/>
          <w:sz w:val="24"/>
          <w:szCs w:val="24"/>
        </w:rPr>
        <w:t>.</w:t>
      </w:r>
      <w:r w:rsidR="00A22ED4" w:rsidRPr="00C32D58">
        <w:rPr>
          <w:rStyle w:val="FootnoteReference"/>
          <w:rFonts w:ascii="Times New Roman" w:eastAsia="Calibri" w:hAnsi="Times New Roman" w:cs="Times New Roman"/>
          <w:sz w:val="24"/>
          <w:szCs w:val="24"/>
        </w:rPr>
        <w:footnoteReference w:id="18"/>
      </w:r>
      <w:r w:rsidR="00565B98" w:rsidRPr="00C32D58">
        <w:rPr>
          <w:rFonts w:ascii="Times New Roman" w:eastAsia="Calibri" w:hAnsi="Times New Roman" w:cs="Times New Roman"/>
          <w:sz w:val="24"/>
          <w:szCs w:val="24"/>
        </w:rPr>
        <w:t xml:space="preserve"> </w:t>
      </w:r>
    </w:p>
    <w:p w14:paraId="704C6CD6" w14:textId="520FA914" w:rsidR="00B878BA" w:rsidRPr="00C32D58" w:rsidRDefault="00B878BA" w:rsidP="00C32D58">
      <w:pPr>
        <w:spacing w:after="0" w:line="240" w:lineRule="auto"/>
        <w:ind w:firstLine="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9) </w:t>
      </w:r>
      <w:r w:rsidR="00D94E5E" w:rsidRPr="00C32D58">
        <w:rPr>
          <w:rFonts w:ascii="Times New Roman" w:hAnsi="Times New Roman" w:cs="Times New Roman"/>
          <w:sz w:val="24"/>
          <w:szCs w:val="24"/>
          <w:u w:val="single"/>
          <w:lang w:bidi="he-IL"/>
        </w:rPr>
        <w:t>P</w:t>
      </w:r>
      <w:r w:rsidRPr="00C32D58">
        <w:rPr>
          <w:rFonts w:ascii="Times New Roman" w:hAnsi="Times New Roman" w:cs="Times New Roman"/>
          <w:sz w:val="24"/>
          <w:szCs w:val="24"/>
          <w:u w:val="single"/>
          <w:lang w:bidi="he-IL"/>
        </w:rPr>
        <w:t xml:space="preserve">ricing </w:t>
      </w:r>
      <w:r w:rsidR="00D94E5E" w:rsidRPr="00C32D58">
        <w:rPr>
          <w:rFonts w:ascii="Times New Roman" w:hAnsi="Times New Roman" w:cs="Times New Roman"/>
          <w:sz w:val="24"/>
          <w:szCs w:val="24"/>
          <w:u w:val="single"/>
          <w:lang w:bidi="he-IL"/>
        </w:rPr>
        <w:t>P</w:t>
      </w:r>
      <w:r w:rsidRPr="00C32D58">
        <w:rPr>
          <w:rFonts w:ascii="Times New Roman" w:hAnsi="Times New Roman" w:cs="Times New Roman"/>
          <w:sz w:val="24"/>
          <w:szCs w:val="24"/>
          <w:u w:val="single"/>
          <w:lang w:bidi="he-IL"/>
        </w:rPr>
        <w:t>recision</w:t>
      </w:r>
      <w:r w:rsidR="00565B98" w:rsidRPr="00C32D58">
        <w:rPr>
          <w:rFonts w:ascii="Times New Roman" w:hAnsi="Times New Roman" w:cs="Times New Roman"/>
          <w:sz w:val="24"/>
          <w:szCs w:val="24"/>
          <w:lang w:bidi="he-IL"/>
        </w:rPr>
        <w:t xml:space="preserve">: </w:t>
      </w:r>
      <w:r w:rsidR="005C00EF" w:rsidRPr="00C32D58">
        <w:rPr>
          <w:rFonts w:ascii="Times New Roman" w:eastAsia="Calibri" w:hAnsi="Times New Roman" w:cs="Times New Roman"/>
          <w:sz w:val="24"/>
          <w:szCs w:val="24"/>
        </w:rPr>
        <w:t>D</w:t>
      </w:r>
      <w:r w:rsidR="00565B98" w:rsidRPr="00C32D58">
        <w:rPr>
          <w:rFonts w:ascii="Times New Roman" w:eastAsia="Calibri" w:hAnsi="Times New Roman" w:cs="Times New Roman"/>
          <w:sz w:val="24"/>
          <w:szCs w:val="24"/>
        </w:rPr>
        <w:t xml:space="preserve">igital platforms rely on </w:t>
      </w:r>
      <w:r w:rsidR="00565B98" w:rsidRPr="00C32D58">
        <w:rPr>
          <w:rFonts w:ascii="Times New Roman" w:eastAsia="Calibri" w:hAnsi="Times New Roman" w:cs="Times New Roman"/>
          <w:sz w:val="24"/>
          <w:szCs w:val="24"/>
          <w:shd w:val="clear" w:color="auto" w:fill="FFFFFF"/>
        </w:rPr>
        <w:t>sophisticated pricing algorithms, which improve through data mining and artificial intelligence</w:t>
      </w:r>
      <w:r w:rsidR="00C30DA6" w:rsidRPr="00C32D58">
        <w:rPr>
          <w:rFonts w:ascii="Times New Roman" w:eastAsia="Calibri" w:hAnsi="Times New Roman" w:cs="Times New Roman"/>
          <w:sz w:val="24"/>
          <w:szCs w:val="24"/>
          <w:shd w:val="clear" w:color="auto" w:fill="FFFFFF"/>
        </w:rPr>
        <w:t>. S</w:t>
      </w:r>
      <w:r w:rsidR="00565B98" w:rsidRPr="00C32D58">
        <w:rPr>
          <w:rFonts w:ascii="Times New Roman" w:eastAsia="Calibri" w:hAnsi="Times New Roman" w:cs="Times New Roman"/>
          <w:sz w:val="24"/>
          <w:szCs w:val="24"/>
          <w:shd w:val="clear" w:color="auto" w:fill="FFFFFF"/>
        </w:rPr>
        <w:t>elf-learning bots</w:t>
      </w:r>
      <w:r w:rsidR="00C30DA6" w:rsidRPr="00C32D58">
        <w:rPr>
          <w:rFonts w:ascii="Times New Roman" w:eastAsia="Calibri" w:hAnsi="Times New Roman" w:cs="Times New Roman"/>
          <w:sz w:val="24"/>
          <w:szCs w:val="24"/>
          <w:shd w:val="clear" w:color="auto" w:fill="FFFFFF"/>
        </w:rPr>
        <w:t xml:space="preserve"> engage in dynamic pricing based on unprecedented amounts of information</w:t>
      </w:r>
      <w:r w:rsidR="00CC1829" w:rsidRPr="00C32D58">
        <w:rPr>
          <w:rFonts w:ascii="Times New Roman" w:eastAsia="Calibri" w:hAnsi="Times New Roman" w:cs="Times New Roman"/>
          <w:sz w:val="24"/>
          <w:szCs w:val="24"/>
          <w:shd w:val="clear" w:color="auto" w:fill="FFFFFF"/>
        </w:rPr>
        <w:t>. F</w:t>
      </w:r>
      <w:r w:rsidR="00565B98" w:rsidRPr="00C32D58">
        <w:rPr>
          <w:rFonts w:ascii="Times New Roman" w:eastAsia="Calibri" w:hAnsi="Times New Roman" w:cs="Times New Roman"/>
          <w:sz w:val="24"/>
          <w:szCs w:val="24"/>
          <w:shd w:val="clear" w:color="auto" w:fill="FFFFFF"/>
        </w:rPr>
        <w:t>rom a Coasean perspective</w:t>
      </w:r>
      <w:r w:rsidR="004907F9" w:rsidRPr="00C32D58">
        <w:rPr>
          <w:rFonts w:ascii="Times New Roman" w:eastAsia="Calibri" w:hAnsi="Times New Roman" w:cs="Times New Roman"/>
          <w:sz w:val="24"/>
          <w:szCs w:val="24"/>
          <w:shd w:val="clear" w:color="auto" w:fill="FFFFFF"/>
        </w:rPr>
        <w:t>, the platforms</w:t>
      </w:r>
      <w:r w:rsidR="00565B98" w:rsidRPr="00C32D58">
        <w:rPr>
          <w:rFonts w:ascii="Times New Roman" w:eastAsia="Calibri" w:hAnsi="Times New Roman" w:cs="Times New Roman"/>
          <w:sz w:val="24"/>
          <w:szCs w:val="24"/>
          <w:shd w:val="clear" w:color="auto" w:fill="FFFFFF"/>
        </w:rPr>
        <w:t xml:space="preserve"> reach a </w:t>
      </w:r>
      <w:r w:rsidR="00F20ADE" w:rsidRPr="00C32D58">
        <w:rPr>
          <w:rFonts w:ascii="Times New Roman" w:eastAsia="Calibri" w:hAnsi="Times New Roman" w:cs="Times New Roman"/>
          <w:sz w:val="24"/>
          <w:szCs w:val="24"/>
          <w:shd w:val="clear" w:color="auto" w:fill="FFFFFF"/>
        </w:rPr>
        <w:t xml:space="preserve">perfect </w:t>
      </w:r>
      <w:r w:rsidR="00565B98" w:rsidRPr="00C32D58">
        <w:rPr>
          <w:rFonts w:ascii="Times New Roman" w:eastAsia="Calibri" w:hAnsi="Times New Roman" w:cs="Times New Roman"/>
          <w:sz w:val="24"/>
          <w:szCs w:val="24"/>
          <w:shd w:val="clear" w:color="auto" w:fill="FFFFFF"/>
        </w:rPr>
        <w:t xml:space="preserve">marketing ideal: dynamic and comprehensive processing of market information to produce accurate valuation. </w:t>
      </w:r>
    </w:p>
    <w:p w14:paraId="549CC836" w14:textId="7172C335" w:rsidR="00B84B4C" w:rsidRPr="00C32D58" w:rsidRDefault="00B878BA" w:rsidP="00C32D58">
      <w:pPr>
        <w:shd w:val="clear" w:color="auto" w:fill="FFFFFF"/>
        <w:spacing w:after="0" w:line="240" w:lineRule="auto"/>
        <w:ind w:firstLine="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10) </w:t>
      </w:r>
      <w:r w:rsidR="00D94E5E" w:rsidRPr="00C32D58">
        <w:rPr>
          <w:rFonts w:ascii="Times New Roman" w:hAnsi="Times New Roman" w:cs="Times New Roman"/>
          <w:sz w:val="24"/>
          <w:szCs w:val="24"/>
          <w:u w:val="single"/>
          <w:lang w:bidi="he-IL"/>
        </w:rPr>
        <w:t>D</w:t>
      </w:r>
      <w:r w:rsidR="004C589F" w:rsidRPr="00C32D58">
        <w:rPr>
          <w:rFonts w:ascii="Times New Roman" w:hAnsi="Times New Roman" w:cs="Times New Roman"/>
          <w:sz w:val="24"/>
          <w:szCs w:val="24"/>
          <w:u w:val="single"/>
          <w:lang w:bidi="he-IL"/>
        </w:rPr>
        <w:t xml:space="preserve">ynamic </w:t>
      </w:r>
      <w:r w:rsidR="00D94E5E" w:rsidRPr="00C32D58">
        <w:rPr>
          <w:rFonts w:ascii="Times New Roman" w:hAnsi="Times New Roman" w:cs="Times New Roman"/>
          <w:sz w:val="24"/>
          <w:szCs w:val="24"/>
          <w:u w:val="single"/>
          <w:lang w:bidi="he-IL"/>
        </w:rPr>
        <w:t>F</w:t>
      </w:r>
      <w:r w:rsidR="004C589F" w:rsidRPr="00C32D58">
        <w:rPr>
          <w:rFonts w:ascii="Times New Roman" w:hAnsi="Times New Roman" w:cs="Times New Roman"/>
          <w:sz w:val="24"/>
          <w:szCs w:val="24"/>
          <w:u w:val="single"/>
          <w:lang w:bidi="he-IL"/>
        </w:rPr>
        <w:t xml:space="preserve">eedback </w:t>
      </w:r>
      <w:r w:rsidR="00D94E5E" w:rsidRPr="00C32D58">
        <w:rPr>
          <w:rFonts w:ascii="Times New Roman" w:hAnsi="Times New Roman" w:cs="Times New Roman"/>
          <w:sz w:val="24"/>
          <w:szCs w:val="24"/>
          <w:u w:val="single"/>
          <w:lang w:bidi="he-IL"/>
        </w:rPr>
        <w:t>S</w:t>
      </w:r>
      <w:r w:rsidRPr="00C32D58">
        <w:rPr>
          <w:rFonts w:ascii="Times New Roman" w:hAnsi="Times New Roman" w:cs="Times New Roman"/>
          <w:sz w:val="24"/>
          <w:szCs w:val="24"/>
          <w:u w:val="single"/>
          <w:lang w:bidi="he-IL"/>
        </w:rPr>
        <w:t>ystems</w:t>
      </w:r>
      <w:r w:rsidR="003C69C0" w:rsidRPr="00C32D58">
        <w:rPr>
          <w:rFonts w:ascii="Times New Roman" w:hAnsi="Times New Roman" w:cs="Times New Roman"/>
          <w:sz w:val="24"/>
          <w:szCs w:val="24"/>
          <w:lang w:bidi="he-IL"/>
        </w:rPr>
        <w:t>: Coase taught us that t</w:t>
      </w:r>
      <w:r w:rsidR="003C69C0" w:rsidRPr="00C32D58">
        <w:rPr>
          <w:rFonts w:ascii="Times New Roman" w:hAnsi="Times New Roman" w:cs="Times New Roman"/>
          <w:sz w:val="24"/>
          <w:szCs w:val="24"/>
          <w:shd w:val="clear" w:color="auto" w:fill="FFFFFF"/>
          <w:lang w:bidi="he-IL"/>
        </w:rPr>
        <w:t xml:space="preserve">ransaction costs are high when information asymmetries exist. </w:t>
      </w:r>
      <w:r w:rsidR="00BD1713" w:rsidRPr="00C32D58">
        <w:rPr>
          <w:rFonts w:ascii="Times New Roman" w:hAnsi="Times New Roman" w:cs="Times New Roman"/>
          <w:sz w:val="24"/>
          <w:szCs w:val="24"/>
          <w:shd w:val="clear" w:color="auto" w:fill="FFFFFF"/>
          <w:lang w:bidi="he-IL"/>
        </w:rPr>
        <w:t>Digital p</w:t>
      </w:r>
      <w:r w:rsidR="003C69C0" w:rsidRPr="00C32D58">
        <w:rPr>
          <w:rFonts w:ascii="Times New Roman" w:hAnsi="Times New Roman" w:cs="Times New Roman"/>
          <w:sz w:val="24"/>
          <w:szCs w:val="24"/>
          <w:shd w:val="clear" w:color="auto" w:fill="FFFFFF"/>
          <w:lang w:bidi="he-IL"/>
        </w:rPr>
        <w:t>latform</w:t>
      </w:r>
      <w:r w:rsidR="00BD1713" w:rsidRPr="00C32D58">
        <w:rPr>
          <w:rFonts w:ascii="Times New Roman" w:hAnsi="Times New Roman" w:cs="Times New Roman"/>
          <w:sz w:val="24"/>
          <w:szCs w:val="24"/>
          <w:shd w:val="clear" w:color="auto" w:fill="FFFFFF"/>
          <w:lang w:bidi="he-IL"/>
        </w:rPr>
        <w:t>s</w:t>
      </w:r>
      <w:r w:rsidR="003C69C0" w:rsidRPr="00C32D58">
        <w:rPr>
          <w:rFonts w:ascii="Times New Roman" w:hAnsi="Times New Roman" w:cs="Times New Roman"/>
          <w:sz w:val="24"/>
          <w:szCs w:val="24"/>
          <w:shd w:val="clear" w:color="auto" w:fill="FFFFFF"/>
          <w:lang w:bidi="he-IL"/>
        </w:rPr>
        <w:t xml:space="preserve"> </w:t>
      </w:r>
      <w:r w:rsidR="00A705D3" w:rsidRPr="00C32D58">
        <w:rPr>
          <w:rFonts w:ascii="Times New Roman" w:hAnsi="Times New Roman" w:cs="Times New Roman"/>
          <w:sz w:val="24"/>
          <w:szCs w:val="24"/>
          <w:shd w:val="clear" w:color="auto" w:fill="FFFFFF"/>
          <w:lang w:bidi="he-IL"/>
        </w:rPr>
        <w:t>innovate on this front by offering</w:t>
      </w:r>
      <w:r w:rsidR="003C69C0" w:rsidRPr="00C32D58">
        <w:rPr>
          <w:rFonts w:ascii="Times New Roman" w:hAnsi="Times New Roman" w:cs="Times New Roman"/>
          <w:sz w:val="24"/>
          <w:szCs w:val="24"/>
          <w:shd w:val="clear" w:color="auto" w:fill="FFFFFF"/>
          <w:lang w:bidi="he-IL"/>
        </w:rPr>
        <w:t xml:space="preserve"> dynamic ratings, reviews, and </w:t>
      </w:r>
      <w:r w:rsidR="00A705D3" w:rsidRPr="00C32D58">
        <w:rPr>
          <w:rFonts w:ascii="Times New Roman" w:hAnsi="Times New Roman" w:cs="Times New Roman"/>
          <w:sz w:val="24"/>
          <w:szCs w:val="24"/>
          <w:shd w:val="clear" w:color="auto" w:fill="FFFFFF"/>
          <w:lang w:bidi="he-IL"/>
        </w:rPr>
        <w:t xml:space="preserve">cross-company information </w:t>
      </w:r>
      <w:r w:rsidR="00FD797D" w:rsidRPr="00C32D58">
        <w:rPr>
          <w:rFonts w:ascii="Times New Roman" w:hAnsi="Times New Roman" w:cs="Times New Roman"/>
          <w:sz w:val="24"/>
          <w:szCs w:val="24"/>
          <w:shd w:val="clear" w:color="auto" w:fill="FFFFFF"/>
          <w:lang w:bidi="he-IL"/>
        </w:rPr>
        <w:t xml:space="preserve">data </w:t>
      </w:r>
      <w:r w:rsidR="00A705D3" w:rsidRPr="00C32D58">
        <w:rPr>
          <w:rFonts w:ascii="Times New Roman" w:hAnsi="Times New Roman" w:cs="Times New Roman"/>
          <w:sz w:val="24"/>
          <w:szCs w:val="24"/>
          <w:shd w:val="clear" w:color="auto" w:fill="FFFFFF"/>
          <w:lang w:bidi="he-IL"/>
        </w:rPr>
        <w:t xml:space="preserve">to increase trust pre-deal and </w:t>
      </w:r>
      <w:r w:rsidR="00C13119" w:rsidRPr="00C32D58">
        <w:rPr>
          <w:rFonts w:ascii="Times New Roman" w:hAnsi="Times New Roman" w:cs="Times New Roman"/>
          <w:sz w:val="24"/>
          <w:szCs w:val="24"/>
          <w:shd w:val="clear" w:color="auto" w:fill="FFFFFF"/>
          <w:lang w:bidi="he-IL"/>
        </w:rPr>
        <w:t>aid</w:t>
      </w:r>
      <w:r w:rsidR="00BD1713" w:rsidRPr="00C32D58">
        <w:rPr>
          <w:rFonts w:ascii="Times New Roman" w:hAnsi="Times New Roman" w:cs="Times New Roman"/>
          <w:sz w:val="24"/>
          <w:szCs w:val="24"/>
          <w:shd w:val="clear" w:color="auto" w:fill="FFFFFF"/>
          <w:lang w:bidi="he-IL"/>
        </w:rPr>
        <w:t xml:space="preserve"> </w:t>
      </w:r>
      <w:r w:rsidR="00C30DA6" w:rsidRPr="00C32D58">
        <w:rPr>
          <w:rFonts w:ascii="Times New Roman" w:hAnsi="Times New Roman" w:cs="Times New Roman"/>
          <w:sz w:val="24"/>
          <w:szCs w:val="24"/>
          <w:shd w:val="clear" w:color="auto" w:fill="FFFFFF"/>
          <w:lang w:bidi="he-IL"/>
        </w:rPr>
        <w:t xml:space="preserve">monitoring, </w:t>
      </w:r>
      <w:r w:rsidR="00A705D3" w:rsidRPr="00C32D58">
        <w:rPr>
          <w:rFonts w:ascii="Times New Roman" w:hAnsi="Times New Roman" w:cs="Times New Roman"/>
          <w:sz w:val="24"/>
          <w:szCs w:val="24"/>
          <w:shd w:val="clear" w:color="auto" w:fill="FFFFFF"/>
          <w:lang w:bidi="he-IL"/>
        </w:rPr>
        <w:t>policing and enforcement post-deal.</w:t>
      </w:r>
      <w:r w:rsidR="003C69C0" w:rsidRPr="00C32D58">
        <w:rPr>
          <w:rFonts w:ascii="Times New Roman" w:hAnsi="Times New Roman" w:cs="Times New Roman"/>
          <w:sz w:val="24"/>
          <w:szCs w:val="24"/>
          <w:shd w:val="clear" w:color="auto" w:fill="FFFFFF"/>
          <w:lang w:bidi="he-IL"/>
        </w:rPr>
        <w:t xml:space="preserve"> </w:t>
      </w:r>
      <w:r w:rsidR="00EE6C70" w:rsidRPr="00C32D58">
        <w:rPr>
          <w:rFonts w:ascii="Times New Roman" w:hAnsi="Times New Roman" w:cs="Times New Roman"/>
          <w:sz w:val="24"/>
          <w:szCs w:val="24"/>
          <w:shd w:val="clear" w:color="auto" w:fill="FFFFFF"/>
          <w:lang w:bidi="he-IL"/>
        </w:rPr>
        <w:t xml:space="preserve">Ride sharing consumers thus can take comfort in the knowledge that </w:t>
      </w:r>
      <w:r w:rsidR="00303BCB">
        <w:rPr>
          <w:rFonts w:ascii="Times New Roman" w:hAnsi="Times New Roman" w:cs="Times New Roman"/>
          <w:sz w:val="24"/>
          <w:szCs w:val="24"/>
          <w:shd w:val="clear" w:color="auto" w:fill="FFFFFF"/>
          <w:lang w:bidi="he-IL"/>
        </w:rPr>
        <w:t xml:space="preserve">a </w:t>
      </w:r>
      <w:r w:rsidR="00EE6C70" w:rsidRPr="00C32D58">
        <w:rPr>
          <w:rFonts w:ascii="Times New Roman" w:hAnsi="Times New Roman" w:cs="Times New Roman"/>
          <w:sz w:val="24"/>
          <w:szCs w:val="24"/>
          <w:shd w:val="clear" w:color="auto" w:fill="FFFFFF"/>
          <w:lang w:bidi="he-IL"/>
        </w:rPr>
        <w:t xml:space="preserve">system </w:t>
      </w:r>
      <w:r w:rsidR="00303BCB">
        <w:rPr>
          <w:rFonts w:ascii="Times New Roman" w:hAnsi="Times New Roman" w:cs="Times New Roman"/>
          <w:sz w:val="24"/>
          <w:szCs w:val="24"/>
          <w:shd w:val="clear" w:color="auto" w:fill="FFFFFF"/>
          <w:lang w:bidi="he-IL"/>
        </w:rPr>
        <w:t>for</w:t>
      </w:r>
      <w:r w:rsidR="00EE6C70" w:rsidRPr="00C32D58">
        <w:rPr>
          <w:rFonts w:ascii="Times New Roman" w:hAnsi="Times New Roman" w:cs="Times New Roman"/>
          <w:sz w:val="24"/>
          <w:szCs w:val="24"/>
          <w:shd w:val="clear" w:color="auto" w:fill="FFFFFF"/>
          <w:lang w:bidi="he-IL"/>
        </w:rPr>
        <w:t xml:space="preserve"> </w:t>
      </w:r>
      <w:r w:rsidR="008C6AE9" w:rsidRPr="00C32D58">
        <w:rPr>
          <w:rFonts w:ascii="Times New Roman" w:hAnsi="Times New Roman" w:cs="Times New Roman"/>
          <w:sz w:val="24"/>
          <w:szCs w:val="24"/>
          <w:shd w:val="clear" w:color="auto" w:fill="FFFFFF"/>
          <w:lang w:bidi="he-IL"/>
        </w:rPr>
        <w:t>flagging unfavorable drivers exists, likely creating the presumption that such drivers will be weeded out, leaving only those favorable to other passengers, and, due to their own ability to leave reviews, riders have the power post-deal to make known their complaints and to ensure that they are not again paired with the same driver against whom they have complained.</w:t>
      </w:r>
    </w:p>
    <w:p w14:paraId="64D74FDF" w14:textId="77777777" w:rsidR="000F59F3" w:rsidRDefault="000F59F3" w:rsidP="00C32D58">
      <w:pPr>
        <w:spacing w:after="0" w:line="240" w:lineRule="auto"/>
        <w:ind w:firstLine="720"/>
        <w:rPr>
          <w:rFonts w:ascii="Times New Roman" w:hAnsi="Times New Roman" w:cs="Times New Roman"/>
          <w:sz w:val="24"/>
          <w:szCs w:val="24"/>
          <w:lang w:bidi="he-IL"/>
        </w:rPr>
      </w:pPr>
    </w:p>
    <w:p w14:paraId="523E9A25" w14:textId="65CE6AF4" w:rsidR="000F59F3" w:rsidRPr="00C32D58" w:rsidRDefault="00B84B4C" w:rsidP="00C32D58">
      <w:pPr>
        <w:spacing w:after="0" w:line="240" w:lineRule="auto"/>
        <w:ind w:firstLine="720"/>
        <w:rPr>
          <w:rFonts w:ascii="Times New Roman" w:hAnsi="Times New Roman" w:cs="Times New Roman"/>
          <w:sz w:val="24"/>
          <w:szCs w:val="24"/>
        </w:rPr>
      </w:pPr>
      <w:r w:rsidRPr="00C32D58">
        <w:rPr>
          <w:rFonts w:ascii="Times New Roman" w:hAnsi="Times New Roman" w:cs="Times New Roman"/>
          <w:sz w:val="24"/>
          <w:szCs w:val="24"/>
          <w:lang w:bidi="he-IL"/>
        </w:rPr>
        <w:t>Beyond these ten features of the platform, note that</w:t>
      </w:r>
      <w:r w:rsidR="00B878BA" w:rsidRPr="00C32D58">
        <w:rPr>
          <w:rFonts w:ascii="Times New Roman" w:hAnsi="Times New Roman" w:cs="Times New Roman"/>
          <w:sz w:val="24"/>
          <w:szCs w:val="24"/>
          <w:lang w:bidi="he-IL"/>
        </w:rPr>
        <w:t xml:space="preserve"> platform companies also produce </w:t>
      </w:r>
      <w:r w:rsidR="004C589F" w:rsidRPr="00C32D58">
        <w:rPr>
          <w:rFonts w:ascii="Times New Roman" w:hAnsi="Times New Roman" w:cs="Times New Roman"/>
          <w:sz w:val="24"/>
          <w:szCs w:val="24"/>
          <w:lang w:bidi="he-IL"/>
        </w:rPr>
        <w:t xml:space="preserve">value </w:t>
      </w:r>
      <w:r w:rsidR="00B878BA" w:rsidRPr="00C32D58">
        <w:rPr>
          <w:rFonts w:ascii="Times New Roman" w:hAnsi="Times New Roman" w:cs="Times New Roman"/>
          <w:sz w:val="24"/>
          <w:szCs w:val="24"/>
          <w:lang w:bidi="he-IL"/>
        </w:rPr>
        <w:t>by their</w:t>
      </w:r>
      <w:r w:rsidR="004C589F" w:rsidRPr="00C32D58">
        <w:rPr>
          <w:rFonts w:ascii="Times New Roman" w:hAnsi="Times New Roman" w:cs="Times New Roman"/>
          <w:sz w:val="24"/>
          <w:szCs w:val="24"/>
          <w:lang w:bidi="he-IL"/>
        </w:rPr>
        <w:t xml:space="preserve"> differentiation from offline traditional exchanges. </w:t>
      </w:r>
      <w:r w:rsidR="00B878BA" w:rsidRPr="00C32D58">
        <w:rPr>
          <w:rFonts w:ascii="Times New Roman" w:hAnsi="Times New Roman" w:cs="Times New Roman"/>
          <w:sz w:val="24"/>
          <w:szCs w:val="24"/>
          <w:lang w:bidi="he-IL"/>
        </w:rPr>
        <w:t>The</w:t>
      </w:r>
      <w:r w:rsidR="004C589F" w:rsidRPr="00C32D58">
        <w:rPr>
          <w:rFonts w:ascii="Times New Roman" w:hAnsi="Times New Roman" w:cs="Times New Roman"/>
          <w:sz w:val="24"/>
          <w:szCs w:val="24"/>
          <w:lang w:bidi="he-IL"/>
        </w:rPr>
        <w:t xml:space="preserve"> platform economy </w:t>
      </w:r>
      <w:r w:rsidR="00B878BA" w:rsidRPr="00C32D58">
        <w:rPr>
          <w:rFonts w:ascii="Times New Roman" w:hAnsi="Times New Roman" w:cs="Times New Roman"/>
          <w:sz w:val="24"/>
          <w:szCs w:val="24"/>
          <w:lang w:bidi="he-IL"/>
        </w:rPr>
        <w:t>does not simply</w:t>
      </w:r>
      <w:r w:rsidR="004C589F" w:rsidRPr="00C32D58">
        <w:rPr>
          <w:rFonts w:ascii="Times New Roman" w:hAnsi="Times New Roman" w:cs="Times New Roman"/>
          <w:sz w:val="24"/>
          <w:szCs w:val="24"/>
          <w:lang w:bidi="he-IL"/>
        </w:rPr>
        <w:t xml:space="preserve"> efficiently</w:t>
      </w:r>
      <w:r w:rsidR="00B878BA" w:rsidRPr="00C32D58">
        <w:rPr>
          <w:rFonts w:ascii="Times New Roman" w:hAnsi="Times New Roman" w:cs="Times New Roman"/>
          <w:sz w:val="24"/>
          <w:szCs w:val="24"/>
          <w:lang w:bidi="he-IL"/>
        </w:rPr>
        <w:t xml:space="preserve"> deliver the </w:t>
      </w:r>
      <w:r w:rsidR="00EE5A28" w:rsidRPr="00C32D58">
        <w:rPr>
          <w:rFonts w:ascii="Times New Roman" w:hAnsi="Times New Roman" w:cs="Times New Roman"/>
          <w:sz w:val="24"/>
          <w:szCs w:val="24"/>
          <w:lang w:bidi="he-IL"/>
        </w:rPr>
        <w:t xml:space="preserve">exact </w:t>
      </w:r>
      <w:r w:rsidR="00B878BA" w:rsidRPr="00C32D58">
        <w:rPr>
          <w:rFonts w:ascii="Times New Roman" w:hAnsi="Times New Roman" w:cs="Times New Roman"/>
          <w:sz w:val="24"/>
          <w:szCs w:val="24"/>
          <w:lang w:bidi="he-IL"/>
        </w:rPr>
        <w:t xml:space="preserve">same services </w:t>
      </w:r>
      <w:r w:rsidR="003332D3" w:rsidRPr="00C32D58">
        <w:rPr>
          <w:rFonts w:ascii="Times New Roman" w:hAnsi="Times New Roman" w:cs="Times New Roman"/>
          <w:sz w:val="24"/>
          <w:szCs w:val="24"/>
          <w:lang w:bidi="he-IL"/>
        </w:rPr>
        <w:t>offered</w:t>
      </w:r>
      <w:r w:rsidR="00B878BA" w:rsidRPr="00C32D58">
        <w:rPr>
          <w:rFonts w:ascii="Times New Roman" w:hAnsi="Times New Roman" w:cs="Times New Roman"/>
          <w:sz w:val="24"/>
          <w:szCs w:val="24"/>
          <w:lang w:bidi="he-IL"/>
        </w:rPr>
        <w:t xml:space="preserve"> before, </w:t>
      </w:r>
      <w:r w:rsidR="00303BCB">
        <w:rPr>
          <w:rFonts w:ascii="Times New Roman" w:hAnsi="Times New Roman" w:cs="Times New Roman"/>
          <w:sz w:val="24"/>
          <w:szCs w:val="24"/>
          <w:lang w:bidi="he-IL"/>
        </w:rPr>
        <w:t>it also</w:t>
      </w:r>
      <w:r w:rsidR="00B878BA" w:rsidRPr="00303BCB">
        <w:rPr>
          <w:rFonts w:ascii="Times New Roman" w:hAnsi="Times New Roman" w:cs="Times New Roman"/>
          <w:sz w:val="24"/>
          <w:szCs w:val="24"/>
          <w:lang w:bidi="he-IL"/>
        </w:rPr>
        <w:t xml:space="preserve"> constitutes new markets </w:t>
      </w:r>
      <w:r w:rsidR="000420F6" w:rsidRPr="00303BCB">
        <w:rPr>
          <w:rFonts w:ascii="Times New Roman" w:hAnsi="Times New Roman" w:cs="Times New Roman"/>
          <w:sz w:val="24"/>
          <w:szCs w:val="24"/>
          <w:lang w:bidi="he-IL"/>
        </w:rPr>
        <w:t>by</w:t>
      </w:r>
      <w:r w:rsidR="00F02006" w:rsidRPr="00303BCB">
        <w:rPr>
          <w:rFonts w:ascii="Times New Roman" w:hAnsi="Times New Roman" w:cs="Times New Roman"/>
          <w:sz w:val="24"/>
          <w:szCs w:val="24"/>
          <w:lang w:bidi="he-IL"/>
        </w:rPr>
        <w:t xml:space="preserve"> </w:t>
      </w:r>
      <w:r w:rsidR="00C30DA6" w:rsidRPr="00303BCB">
        <w:rPr>
          <w:rFonts w:ascii="Times New Roman" w:hAnsi="Times New Roman" w:cs="Times New Roman"/>
          <w:sz w:val="24"/>
          <w:szCs w:val="24"/>
          <w:lang w:bidi="he-IL"/>
        </w:rPr>
        <w:t>accommodating and shaping</w:t>
      </w:r>
      <w:r w:rsidR="00146950" w:rsidRPr="00303BCB">
        <w:rPr>
          <w:rFonts w:ascii="Times New Roman" w:hAnsi="Times New Roman" w:cs="Times New Roman"/>
          <w:sz w:val="24"/>
          <w:szCs w:val="24"/>
          <w:lang w:bidi="he-IL"/>
        </w:rPr>
        <w:t xml:space="preserve"> user’</w:t>
      </w:r>
      <w:r w:rsidR="006553A1" w:rsidRPr="00303BCB">
        <w:rPr>
          <w:rFonts w:ascii="Times New Roman" w:hAnsi="Times New Roman" w:cs="Times New Roman"/>
          <w:sz w:val="24"/>
          <w:szCs w:val="24"/>
          <w:lang w:bidi="he-IL"/>
        </w:rPr>
        <w:t xml:space="preserve">s tastes and preferences. </w:t>
      </w:r>
      <w:r w:rsidR="00C30DA6" w:rsidRPr="00303BCB">
        <w:rPr>
          <w:rFonts w:ascii="Times New Roman" w:hAnsi="Times New Roman" w:cs="Times New Roman"/>
          <w:sz w:val="24"/>
          <w:szCs w:val="24"/>
          <w:lang w:bidi="he-IL"/>
        </w:rPr>
        <w:t>By introducing and normalizing new types of transactions</w:t>
      </w:r>
      <w:r w:rsidR="00294029" w:rsidRPr="00303BCB">
        <w:rPr>
          <w:rFonts w:ascii="Times New Roman" w:hAnsi="Times New Roman" w:cs="Times New Roman"/>
          <w:sz w:val="24"/>
          <w:szCs w:val="24"/>
          <w:lang w:bidi="he-IL"/>
        </w:rPr>
        <w:t>,</w:t>
      </w:r>
      <w:r w:rsidR="00146950" w:rsidRPr="00303BCB">
        <w:rPr>
          <w:rFonts w:ascii="Times New Roman" w:hAnsi="Times New Roman" w:cs="Times New Roman"/>
          <w:sz w:val="24"/>
          <w:szCs w:val="24"/>
          <w:lang w:bidi="he-IL"/>
        </w:rPr>
        <w:t xml:space="preserve"> digital platforms are providing new solutions to old problems</w:t>
      </w:r>
      <w:r w:rsidR="00B878BA" w:rsidRPr="00303BCB">
        <w:rPr>
          <w:rFonts w:ascii="Times New Roman" w:hAnsi="Times New Roman" w:cs="Times New Roman"/>
          <w:sz w:val="24"/>
          <w:szCs w:val="24"/>
          <w:lang w:bidi="he-IL"/>
        </w:rPr>
        <w:t>.</w:t>
      </w:r>
      <w:r w:rsidR="004C589F" w:rsidRPr="00303BCB">
        <w:rPr>
          <w:rFonts w:ascii="Times New Roman" w:hAnsi="Times New Roman" w:cs="Times New Roman"/>
          <w:sz w:val="24"/>
          <w:szCs w:val="24"/>
          <w:lang w:bidi="he-IL"/>
        </w:rPr>
        <w:t xml:space="preserve"> </w:t>
      </w:r>
      <w:r w:rsidR="00C30DA6" w:rsidRPr="00303BCB">
        <w:rPr>
          <w:rFonts w:ascii="Times New Roman" w:hAnsi="Times New Roman" w:cs="Times New Roman"/>
          <w:sz w:val="24"/>
          <w:szCs w:val="24"/>
          <w:lang w:bidi="he-IL"/>
        </w:rPr>
        <w:t xml:space="preserve">At the </w:t>
      </w:r>
      <w:r w:rsidR="00C30DA6" w:rsidRPr="00303BCB">
        <w:rPr>
          <w:rFonts w:ascii="Times New Roman" w:hAnsi="Times New Roman" w:cs="Times New Roman"/>
          <w:sz w:val="24"/>
          <w:szCs w:val="24"/>
          <w:lang w:bidi="he-IL"/>
        </w:rPr>
        <w:lastRenderedPageBreak/>
        <w:t xml:space="preserve">same time, </w:t>
      </w:r>
      <w:r w:rsidR="000420F6" w:rsidRPr="00303BCB">
        <w:rPr>
          <w:rFonts w:ascii="Times New Roman" w:hAnsi="Times New Roman" w:cs="Times New Roman"/>
          <w:sz w:val="24"/>
          <w:szCs w:val="24"/>
          <w:lang w:bidi="he-IL"/>
        </w:rPr>
        <w:t xml:space="preserve">these digital platform giants are </w:t>
      </w:r>
      <w:r w:rsidR="001E086F" w:rsidRPr="00303BCB">
        <w:rPr>
          <w:rFonts w:ascii="Times New Roman" w:hAnsi="Times New Roman" w:cs="Times New Roman"/>
          <w:sz w:val="24"/>
          <w:szCs w:val="24"/>
          <w:lang w:bidi="he-IL"/>
        </w:rPr>
        <w:t>in direct competition with older traditional markets</w:t>
      </w:r>
      <w:r w:rsidR="00515519">
        <w:rPr>
          <w:rFonts w:ascii="Times New Roman" w:hAnsi="Times New Roman" w:cs="Times New Roman"/>
          <w:sz w:val="24"/>
          <w:szCs w:val="24"/>
          <w:lang w:bidi="he-IL"/>
        </w:rPr>
        <w:t>:</w:t>
      </w:r>
      <w:r w:rsidR="001E086F" w:rsidRPr="00303BCB">
        <w:rPr>
          <w:rFonts w:ascii="Times New Roman" w:hAnsi="Times New Roman" w:cs="Times New Roman"/>
          <w:sz w:val="24"/>
          <w:szCs w:val="24"/>
          <w:lang w:bidi="he-IL"/>
        </w:rPr>
        <w:t xml:space="preserve"> think Uber versus traditional taxi cabs</w:t>
      </w:r>
      <w:r w:rsidR="00516914" w:rsidRPr="00303BCB">
        <w:rPr>
          <w:rStyle w:val="FootnoteReference"/>
          <w:rFonts w:ascii="Times New Roman" w:hAnsi="Times New Roman" w:cs="Times New Roman"/>
          <w:sz w:val="24"/>
          <w:szCs w:val="24"/>
          <w:lang w:bidi="he-IL"/>
        </w:rPr>
        <w:footnoteReference w:id="19"/>
      </w:r>
      <w:r w:rsidR="001E086F" w:rsidRPr="00303BCB">
        <w:rPr>
          <w:rFonts w:ascii="Times New Roman" w:hAnsi="Times New Roman" w:cs="Times New Roman"/>
          <w:sz w:val="24"/>
          <w:szCs w:val="24"/>
          <w:lang w:bidi="he-IL"/>
        </w:rPr>
        <w:t>, Airbnb v</w:t>
      </w:r>
      <w:r w:rsidR="00C30DA6" w:rsidRPr="00303BCB">
        <w:rPr>
          <w:rFonts w:ascii="Times New Roman" w:hAnsi="Times New Roman" w:cs="Times New Roman"/>
          <w:sz w:val="24"/>
          <w:szCs w:val="24"/>
          <w:lang w:bidi="he-IL"/>
        </w:rPr>
        <w:t>ersus the hotel industry. This in itself is key to the challenge of regulation: platforms</w:t>
      </w:r>
      <w:r w:rsidR="002C5B7C" w:rsidRPr="00303BCB">
        <w:rPr>
          <w:rFonts w:ascii="Times New Roman" w:hAnsi="Times New Roman" w:cs="Times New Roman"/>
          <w:sz w:val="24"/>
          <w:szCs w:val="24"/>
        </w:rPr>
        <w:t xml:space="preserve"> act as market participants in a </w:t>
      </w:r>
      <w:r w:rsidR="00C30DA6" w:rsidRPr="00303BCB">
        <w:rPr>
          <w:rFonts w:ascii="Times New Roman" w:hAnsi="Times New Roman" w:cs="Times New Roman"/>
          <w:sz w:val="24"/>
          <w:szCs w:val="24"/>
        </w:rPr>
        <w:t>pre-existing competitive market yet</w:t>
      </w:r>
      <w:r w:rsidR="002C5B7C" w:rsidRPr="00303BCB">
        <w:rPr>
          <w:rFonts w:ascii="Times New Roman" w:hAnsi="Times New Roman" w:cs="Times New Roman"/>
          <w:sz w:val="24"/>
          <w:szCs w:val="24"/>
        </w:rPr>
        <w:t xml:space="preserve"> they also can be categorized as their own </w:t>
      </w:r>
      <w:r w:rsidR="00713D67" w:rsidRPr="00303BCB">
        <w:rPr>
          <w:rFonts w:ascii="Times New Roman" w:hAnsi="Times New Roman" w:cs="Times New Roman"/>
          <w:sz w:val="24"/>
          <w:szCs w:val="24"/>
        </w:rPr>
        <w:t>unique market</w:t>
      </w:r>
      <w:r w:rsidR="00515519">
        <w:rPr>
          <w:rFonts w:ascii="Times New Roman" w:hAnsi="Times New Roman" w:cs="Times New Roman"/>
          <w:sz w:val="24"/>
          <w:szCs w:val="24"/>
        </w:rPr>
        <w:t>,</w:t>
      </w:r>
      <w:r w:rsidR="00713D67" w:rsidRPr="00303BCB">
        <w:rPr>
          <w:rFonts w:ascii="Times New Roman" w:hAnsi="Times New Roman" w:cs="Times New Roman"/>
          <w:sz w:val="24"/>
          <w:szCs w:val="24"/>
        </w:rPr>
        <w:t xml:space="preserve"> in which they compete only against other</w:t>
      </w:r>
      <w:r w:rsidR="00563317" w:rsidRPr="00303BCB">
        <w:rPr>
          <w:rFonts w:ascii="Times New Roman" w:hAnsi="Times New Roman" w:cs="Times New Roman"/>
          <w:sz w:val="24"/>
          <w:szCs w:val="24"/>
        </w:rPr>
        <w:t xml:space="preserve"> like </w:t>
      </w:r>
      <w:r w:rsidR="006208C1" w:rsidRPr="00303BCB">
        <w:rPr>
          <w:rFonts w:ascii="Times New Roman" w:hAnsi="Times New Roman" w:cs="Times New Roman"/>
          <w:sz w:val="24"/>
          <w:szCs w:val="24"/>
        </w:rPr>
        <w:t xml:space="preserve">digital platforms: </w:t>
      </w:r>
      <w:r w:rsidR="00713D67" w:rsidRPr="00303BCB">
        <w:rPr>
          <w:rFonts w:ascii="Times New Roman" w:hAnsi="Times New Roman" w:cs="Times New Roman"/>
          <w:sz w:val="24"/>
          <w:szCs w:val="24"/>
        </w:rPr>
        <w:t>Uber versus Lyft</w:t>
      </w:r>
      <w:r w:rsidR="006208C1" w:rsidRPr="00303BCB">
        <w:rPr>
          <w:rFonts w:ascii="Times New Roman" w:hAnsi="Times New Roman" w:cs="Times New Roman"/>
          <w:sz w:val="24"/>
          <w:szCs w:val="24"/>
        </w:rPr>
        <w:t xml:space="preserve"> as one example</w:t>
      </w:r>
      <w:r w:rsidR="00713D67" w:rsidRPr="00303BCB">
        <w:rPr>
          <w:rFonts w:ascii="Times New Roman" w:hAnsi="Times New Roman" w:cs="Times New Roman"/>
          <w:sz w:val="24"/>
          <w:szCs w:val="24"/>
        </w:rPr>
        <w:t>. T</w:t>
      </w:r>
      <w:r w:rsidR="006219DC" w:rsidRPr="00303BCB">
        <w:rPr>
          <w:rFonts w:ascii="Times New Roman" w:hAnsi="Times New Roman" w:cs="Times New Roman"/>
          <w:sz w:val="24"/>
          <w:szCs w:val="24"/>
        </w:rPr>
        <w:t xml:space="preserve">he vast heterogeneity of goods </w:t>
      </w:r>
      <w:r w:rsidR="00C30DA6" w:rsidRPr="00303BCB">
        <w:rPr>
          <w:rFonts w:ascii="Times New Roman" w:hAnsi="Times New Roman" w:cs="Times New Roman"/>
          <w:sz w:val="24"/>
          <w:szCs w:val="24"/>
        </w:rPr>
        <w:t>and</w:t>
      </w:r>
      <w:r w:rsidR="006219DC" w:rsidRPr="00303BCB">
        <w:rPr>
          <w:rFonts w:ascii="Times New Roman" w:hAnsi="Times New Roman" w:cs="Times New Roman"/>
          <w:sz w:val="24"/>
          <w:szCs w:val="24"/>
        </w:rPr>
        <w:t xml:space="preserve"> services</w:t>
      </w:r>
      <w:r w:rsidR="00C30DA6" w:rsidRPr="00303BCB">
        <w:rPr>
          <w:rFonts w:ascii="Times New Roman" w:hAnsi="Times New Roman" w:cs="Times New Roman"/>
          <w:sz w:val="24"/>
          <w:szCs w:val="24"/>
        </w:rPr>
        <w:t xml:space="preserve"> offered on the platform</w:t>
      </w:r>
      <w:r w:rsidR="00515519">
        <w:rPr>
          <w:rFonts w:ascii="Times New Roman" w:hAnsi="Times New Roman" w:cs="Times New Roman"/>
          <w:sz w:val="24"/>
          <w:szCs w:val="24"/>
        </w:rPr>
        <w:t xml:space="preserve"> and</w:t>
      </w:r>
      <w:r w:rsidR="00C30DA6" w:rsidRPr="00303BCB">
        <w:rPr>
          <w:rFonts w:ascii="Times New Roman" w:hAnsi="Times New Roman" w:cs="Times New Roman"/>
          <w:sz w:val="24"/>
          <w:szCs w:val="24"/>
        </w:rPr>
        <w:t xml:space="preserve"> </w:t>
      </w:r>
      <w:r w:rsidR="00481545" w:rsidRPr="00303BCB">
        <w:rPr>
          <w:rFonts w:ascii="Times New Roman" w:hAnsi="Times New Roman" w:cs="Times New Roman"/>
          <w:sz w:val="24"/>
          <w:szCs w:val="24"/>
        </w:rPr>
        <w:t>the innovative technologies and business models that digital platform</w:t>
      </w:r>
      <w:r w:rsidR="00515519">
        <w:rPr>
          <w:rFonts w:ascii="Times New Roman" w:hAnsi="Times New Roman" w:cs="Times New Roman"/>
          <w:sz w:val="24"/>
          <w:szCs w:val="24"/>
        </w:rPr>
        <w:t>s</w:t>
      </w:r>
      <w:r w:rsidR="00481545" w:rsidRPr="00303BCB">
        <w:rPr>
          <w:rFonts w:ascii="Times New Roman" w:hAnsi="Times New Roman" w:cs="Times New Roman"/>
          <w:sz w:val="24"/>
          <w:szCs w:val="24"/>
        </w:rPr>
        <w:t xml:space="preserve"> employ create a</w:t>
      </w:r>
      <w:r w:rsidR="00C30DA6" w:rsidRPr="00303BCB">
        <w:rPr>
          <w:rFonts w:ascii="Times New Roman" w:hAnsi="Times New Roman" w:cs="Times New Roman"/>
          <w:sz w:val="24"/>
          <w:szCs w:val="24"/>
        </w:rPr>
        <w:t xml:space="preserve"> tension between new and old modes of </w:t>
      </w:r>
      <w:r w:rsidR="00481545" w:rsidRPr="00303BCB">
        <w:rPr>
          <w:rFonts w:ascii="Times New Roman" w:hAnsi="Times New Roman" w:cs="Times New Roman"/>
          <w:sz w:val="24"/>
          <w:szCs w:val="24"/>
        </w:rPr>
        <w:t>service delivery</w:t>
      </w:r>
      <w:r w:rsidR="00515519">
        <w:rPr>
          <w:rFonts w:ascii="Times New Roman" w:hAnsi="Times New Roman" w:cs="Times New Roman"/>
          <w:sz w:val="24"/>
          <w:szCs w:val="24"/>
        </w:rPr>
        <w:t>.  This</w:t>
      </w:r>
      <w:r w:rsidR="00481545" w:rsidRPr="00303BCB">
        <w:rPr>
          <w:rFonts w:ascii="Times New Roman" w:hAnsi="Times New Roman" w:cs="Times New Roman"/>
          <w:sz w:val="24"/>
          <w:szCs w:val="24"/>
        </w:rPr>
        <w:t xml:space="preserve"> in turn</w:t>
      </w:r>
      <w:r w:rsidR="00C30DA6" w:rsidRPr="00303BCB">
        <w:rPr>
          <w:rFonts w:ascii="Times New Roman" w:hAnsi="Times New Roman" w:cs="Times New Roman"/>
          <w:sz w:val="24"/>
          <w:szCs w:val="24"/>
        </w:rPr>
        <w:t xml:space="preserve"> explain</w:t>
      </w:r>
      <w:r w:rsidR="00515519">
        <w:rPr>
          <w:rFonts w:ascii="Times New Roman" w:hAnsi="Times New Roman" w:cs="Times New Roman"/>
          <w:sz w:val="24"/>
          <w:szCs w:val="24"/>
        </w:rPr>
        <w:t>s</w:t>
      </w:r>
      <w:r w:rsidR="00C30DA6" w:rsidRPr="00303BCB">
        <w:rPr>
          <w:rFonts w:ascii="Times New Roman" w:hAnsi="Times New Roman" w:cs="Times New Roman"/>
          <w:sz w:val="24"/>
          <w:szCs w:val="24"/>
        </w:rPr>
        <w:t xml:space="preserve"> the ongoing legal battles that many of the leading platforms are now </w:t>
      </w:r>
      <w:r w:rsidR="00515519">
        <w:rPr>
          <w:rFonts w:ascii="Times New Roman" w:hAnsi="Times New Roman" w:cs="Times New Roman"/>
          <w:sz w:val="24"/>
          <w:szCs w:val="24"/>
        </w:rPr>
        <w:t>engaged in with both</w:t>
      </w:r>
      <w:r w:rsidR="00481545" w:rsidRPr="00303BCB">
        <w:rPr>
          <w:rFonts w:ascii="Times New Roman" w:hAnsi="Times New Roman" w:cs="Times New Roman"/>
          <w:sz w:val="24"/>
          <w:szCs w:val="24"/>
        </w:rPr>
        <w:t xml:space="preserve"> regulators and</w:t>
      </w:r>
      <w:r w:rsidR="00EA60A7" w:rsidRPr="00303BCB">
        <w:rPr>
          <w:rFonts w:ascii="Times New Roman" w:hAnsi="Times New Roman" w:cs="Times New Roman"/>
          <w:sz w:val="24"/>
          <w:szCs w:val="24"/>
        </w:rPr>
        <w:t xml:space="preserve"> competitors trying to stand their ground </w:t>
      </w:r>
      <w:r w:rsidR="00515519">
        <w:rPr>
          <w:rFonts w:ascii="Times New Roman" w:hAnsi="Times New Roman" w:cs="Times New Roman"/>
          <w:sz w:val="24"/>
          <w:szCs w:val="24"/>
        </w:rPr>
        <w:t>within more traditional modes</w:t>
      </w:r>
      <w:r w:rsidR="00EA60A7" w:rsidRPr="00303BCB">
        <w:rPr>
          <w:rFonts w:ascii="Times New Roman" w:hAnsi="Times New Roman" w:cs="Times New Roman"/>
          <w:sz w:val="24"/>
          <w:szCs w:val="24"/>
        </w:rPr>
        <w:t xml:space="preserve"> way of operating, while the rug is seemingly </w:t>
      </w:r>
      <w:r w:rsidR="00515519">
        <w:rPr>
          <w:rFonts w:ascii="Times New Roman" w:hAnsi="Times New Roman" w:cs="Times New Roman"/>
          <w:sz w:val="24"/>
          <w:szCs w:val="24"/>
        </w:rPr>
        <w:t xml:space="preserve">being </w:t>
      </w:r>
      <w:r w:rsidR="00EA60A7" w:rsidRPr="00303BCB">
        <w:rPr>
          <w:rFonts w:ascii="Times New Roman" w:hAnsi="Times New Roman" w:cs="Times New Roman"/>
          <w:sz w:val="24"/>
          <w:szCs w:val="24"/>
        </w:rPr>
        <w:t>pulled out from underneath their feet</w:t>
      </w:r>
      <w:r w:rsidR="00C30DA6" w:rsidRPr="00303BCB">
        <w:rPr>
          <w:rFonts w:ascii="Times New Roman" w:hAnsi="Times New Roman" w:cs="Times New Roman"/>
          <w:sz w:val="24"/>
          <w:szCs w:val="24"/>
        </w:rPr>
        <w:t>.</w:t>
      </w:r>
      <w:r w:rsidR="00F4754B" w:rsidRPr="00303BCB">
        <w:rPr>
          <w:rFonts w:ascii="Times New Roman" w:hAnsi="Times New Roman" w:cs="Times New Roman"/>
          <w:sz w:val="24"/>
          <w:szCs w:val="24"/>
        </w:rPr>
        <w:t xml:space="preserve"> As will be discussed in the next section, for regulators and adjudicators considering how </w:t>
      </w:r>
      <w:r w:rsidR="00515519">
        <w:rPr>
          <w:rFonts w:ascii="Times New Roman" w:hAnsi="Times New Roman" w:cs="Times New Roman"/>
          <w:sz w:val="24"/>
          <w:szCs w:val="24"/>
        </w:rPr>
        <w:t xml:space="preserve">to </w:t>
      </w:r>
      <w:r w:rsidR="00F4754B" w:rsidRPr="00303BCB">
        <w:rPr>
          <w:rFonts w:ascii="Times New Roman" w:hAnsi="Times New Roman" w:cs="Times New Roman"/>
          <w:sz w:val="24"/>
          <w:szCs w:val="24"/>
        </w:rPr>
        <w:t xml:space="preserve">address these legal questions, understanding the value added by new platforms in reducing transactions costs can help </w:t>
      </w:r>
      <w:r w:rsidR="00515519">
        <w:rPr>
          <w:rFonts w:ascii="Times New Roman" w:hAnsi="Times New Roman" w:cs="Times New Roman"/>
          <w:sz w:val="24"/>
          <w:szCs w:val="24"/>
        </w:rPr>
        <w:t xml:space="preserve">them to </w:t>
      </w:r>
      <w:r w:rsidR="00F4754B" w:rsidRPr="00303BCB">
        <w:rPr>
          <w:rFonts w:ascii="Times New Roman" w:hAnsi="Times New Roman" w:cs="Times New Roman"/>
          <w:sz w:val="24"/>
          <w:szCs w:val="24"/>
        </w:rPr>
        <w:t xml:space="preserve">analyze the places where continued regulation is needed and the </w:t>
      </w:r>
      <w:r w:rsidR="00515519">
        <w:rPr>
          <w:rFonts w:ascii="Times New Roman" w:hAnsi="Times New Roman" w:cs="Times New Roman"/>
          <w:sz w:val="24"/>
          <w:szCs w:val="24"/>
        </w:rPr>
        <w:t>places where</w:t>
      </w:r>
      <w:r w:rsidR="00F4754B" w:rsidRPr="00303BCB">
        <w:rPr>
          <w:rFonts w:ascii="Times New Roman" w:hAnsi="Times New Roman" w:cs="Times New Roman"/>
          <w:sz w:val="24"/>
          <w:szCs w:val="24"/>
        </w:rPr>
        <w:t xml:space="preserve"> regulations have become redundant.</w:t>
      </w:r>
    </w:p>
    <w:p w14:paraId="188410A7" w14:textId="77777777" w:rsidR="007115C0" w:rsidRPr="00C32D58" w:rsidRDefault="007115C0" w:rsidP="00C32D58">
      <w:pPr>
        <w:spacing w:after="0" w:line="240" w:lineRule="auto"/>
        <w:ind w:firstLine="720"/>
      </w:pPr>
    </w:p>
    <w:p w14:paraId="51F6E17F" w14:textId="3E4041A4" w:rsidR="000F59F3" w:rsidRDefault="000F59F3" w:rsidP="00C32D58">
      <w:pPr>
        <w:spacing w:after="0"/>
        <w:rPr>
          <w:rFonts w:ascii="Times New Roman" w:hAnsi="Times New Roman" w:cs="Times New Roman"/>
          <w:sz w:val="24"/>
          <w:szCs w:val="24"/>
        </w:rPr>
      </w:pPr>
      <w:r w:rsidRPr="00C32D58">
        <w:rPr>
          <w:rFonts w:ascii="Times New Roman" w:hAnsi="Times New Roman" w:cs="Times New Roman"/>
          <w:b/>
          <w:sz w:val="24"/>
          <w:szCs w:val="24"/>
        </w:rPr>
        <w:t xml:space="preserve">2. </w:t>
      </w:r>
      <w:r w:rsidR="00B878BA" w:rsidRPr="00C32D58">
        <w:rPr>
          <w:rFonts w:ascii="Times New Roman" w:hAnsi="Times New Roman" w:cs="Times New Roman"/>
          <w:b/>
          <w:sz w:val="24"/>
          <w:szCs w:val="24"/>
        </w:rPr>
        <w:t>Regulation, Meet Innovation</w:t>
      </w:r>
    </w:p>
    <w:p w14:paraId="45860836" w14:textId="166E085E" w:rsidR="008F0E4C" w:rsidRPr="00C32D58" w:rsidRDefault="008F0E4C" w:rsidP="00C32D58">
      <w:pPr>
        <w:spacing w:after="0"/>
        <w:rPr>
          <w:rFonts w:ascii="Times New Roman" w:hAnsi="Times New Roman" w:cs="Times New Roman"/>
          <w:sz w:val="24"/>
          <w:szCs w:val="24"/>
        </w:rPr>
      </w:pPr>
    </w:p>
    <w:p w14:paraId="41F5EC43" w14:textId="1D6780E0" w:rsidR="00B8456D" w:rsidRPr="00C32D58" w:rsidRDefault="00F4754B" w:rsidP="00C32D58">
      <w:pPr>
        <w:spacing w:after="0" w:line="240" w:lineRule="auto"/>
        <w:ind w:firstLine="720"/>
        <w:rPr>
          <w:rFonts w:ascii="Times New Roman" w:hAnsi="Times New Roman" w:cs="Times New Roman"/>
          <w:sz w:val="24"/>
          <w:szCs w:val="24"/>
          <w:lang w:bidi="he-IL"/>
        </w:rPr>
      </w:pPr>
      <w:r w:rsidRPr="00C32D58">
        <w:rPr>
          <w:rFonts w:ascii="Times New Roman" w:hAnsi="Times New Roman" w:cs="Times New Roman"/>
          <w:sz w:val="24"/>
          <w:szCs w:val="24"/>
        </w:rPr>
        <w:t>Regulation can have various purposes. From a Coasean perspective, rules and regulations are designed to reduce transaction costs and make the market more efficient.</w:t>
      </w:r>
      <w:r w:rsidR="00A62026" w:rsidRPr="00C32D58">
        <w:rPr>
          <w:rStyle w:val="FootnoteReference"/>
          <w:rFonts w:ascii="Times New Roman" w:hAnsi="Times New Roman" w:cs="Times New Roman"/>
          <w:sz w:val="24"/>
          <w:szCs w:val="24"/>
        </w:rPr>
        <w:footnoteReference w:id="20"/>
      </w:r>
      <w:r w:rsidRPr="00C32D58">
        <w:rPr>
          <w:rFonts w:ascii="Times New Roman" w:hAnsi="Times New Roman" w:cs="Times New Roman"/>
          <w:sz w:val="24"/>
          <w:szCs w:val="24"/>
        </w:rPr>
        <w:t xml:space="preserve"> But regulation can </w:t>
      </w:r>
      <w:r w:rsidR="00515519">
        <w:rPr>
          <w:rFonts w:ascii="Times New Roman" w:hAnsi="Times New Roman" w:cs="Times New Roman"/>
          <w:sz w:val="24"/>
          <w:szCs w:val="24"/>
        </w:rPr>
        <w:t>serve</w:t>
      </w:r>
      <w:r w:rsidRPr="00C32D58">
        <w:rPr>
          <w:rFonts w:ascii="Times New Roman" w:hAnsi="Times New Roman" w:cs="Times New Roman"/>
          <w:sz w:val="24"/>
          <w:szCs w:val="24"/>
        </w:rPr>
        <w:t xml:space="preserve"> other goals including</w:t>
      </w:r>
      <w:r w:rsidR="005164A8" w:rsidRPr="00C32D58">
        <w:rPr>
          <w:rFonts w:ascii="Times New Roman" w:hAnsi="Times New Roman" w:cs="Times New Roman"/>
          <w:sz w:val="24"/>
          <w:szCs w:val="24"/>
        </w:rPr>
        <w:t xml:space="preserve"> the promotion of equal distribution, </w:t>
      </w:r>
      <w:r w:rsidR="00515519">
        <w:rPr>
          <w:rFonts w:ascii="Times New Roman" w:hAnsi="Times New Roman" w:cs="Times New Roman"/>
          <w:sz w:val="24"/>
          <w:szCs w:val="24"/>
        </w:rPr>
        <w:t xml:space="preserve">public </w:t>
      </w:r>
      <w:r w:rsidR="005164A8" w:rsidRPr="00C32D58">
        <w:rPr>
          <w:rFonts w:ascii="Times New Roman" w:hAnsi="Times New Roman" w:cs="Times New Roman"/>
          <w:sz w:val="24"/>
          <w:szCs w:val="24"/>
        </w:rPr>
        <w:t>safety</w:t>
      </w:r>
      <w:r w:rsidR="00515519">
        <w:rPr>
          <w:rFonts w:ascii="Times New Roman" w:hAnsi="Times New Roman" w:cs="Times New Roman"/>
          <w:sz w:val="24"/>
          <w:szCs w:val="24"/>
        </w:rPr>
        <w:t>,</w:t>
      </w:r>
      <w:r w:rsidR="005164A8" w:rsidRPr="00C32D58">
        <w:rPr>
          <w:rFonts w:ascii="Times New Roman" w:hAnsi="Times New Roman" w:cs="Times New Roman"/>
          <w:sz w:val="24"/>
          <w:szCs w:val="24"/>
        </w:rPr>
        <w:t xml:space="preserve"> and health and consumer protection.</w:t>
      </w:r>
      <w:r w:rsidR="00A62026" w:rsidRPr="00C32D58">
        <w:rPr>
          <w:rStyle w:val="FootnoteReference"/>
          <w:rFonts w:ascii="Times New Roman" w:hAnsi="Times New Roman" w:cs="Times New Roman"/>
          <w:sz w:val="24"/>
          <w:szCs w:val="24"/>
        </w:rPr>
        <w:footnoteReference w:id="21"/>
      </w:r>
      <w:r w:rsidR="005164A8" w:rsidRPr="00C32D58">
        <w:rPr>
          <w:rFonts w:ascii="Times New Roman" w:hAnsi="Times New Roman" w:cs="Times New Roman"/>
          <w:sz w:val="24"/>
          <w:szCs w:val="24"/>
        </w:rPr>
        <w:t xml:space="preserve"> When policymakers face innovation in the way people transact, exchange goods and deliver services, they must decide whether and which legal rules apply. The di </w:t>
      </w:r>
      <w:r w:rsidR="00F0050A" w:rsidRPr="00C32D58">
        <w:rPr>
          <w:rFonts w:ascii="Times New Roman" w:hAnsi="Times New Roman" w:cs="Times New Roman"/>
          <w:sz w:val="24"/>
          <w:szCs w:val="24"/>
        </w:rPr>
        <w:t xml:space="preserve">gital </w:t>
      </w:r>
      <w:r w:rsidR="0034244F" w:rsidRPr="00C32D58">
        <w:rPr>
          <w:rFonts w:ascii="Times New Roman" w:hAnsi="Times New Roman" w:cs="Times New Roman"/>
          <w:sz w:val="24"/>
          <w:szCs w:val="24"/>
        </w:rPr>
        <w:t>platform</w:t>
      </w:r>
      <w:r w:rsidR="006F557C" w:rsidRPr="00C32D58">
        <w:rPr>
          <w:rFonts w:ascii="Times New Roman" w:hAnsi="Times New Roman" w:cs="Times New Roman"/>
          <w:sz w:val="24"/>
          <w:szCs w:val="24"/>
        </w:rPr>
        <w:t xml:space="preserve"> </w:t>
      </w:r>
      <w:r w:rsidR="00560ECF" w:rsidRPr="00C32D58">
        <w:rPr>
          <w:rFonts w:ascii="Times New Roman" w:hAnsi="Times New Roman" w:cs="Times New Roman"/>
          <w:sz w:val="24"/>
          <w:szCs w:val="24"/>
        </w:rPr>
        <w:t xml:space="preserve">has </w:t>
      </w:r>
      <w:r w:rsidR="0034244F" w:rsidRPr="00C32D58">
        <w:rPr>
          <w:rFonts w:ascii="Times New Roman" w:hAnsi="Times New Roman" w:cs="Times New Roman"/>
          <w:sz w:val="24"/>
          <w:szCs w:val="24"/>
        </w:rPr>
        <w:t>been positively disruptive</w:t>
      </w:r>
      <w:r w:rsidR="00E73B53" w:rsidRPr="00C32D58">
        <w:rPr>
          <w:rFonts w:ascii="Times New Roman" w:hAnsi="Times New Roman" w:cs="Times New Roman"/>
          <w:sz w:val="24"/>
          <w:szCs w:val="24"/>
        </w:rPr>
        <w:t xml:space="preserve"> to traditional market models</w:t>
      </w:r>
      <w:r w:rsidR="00560ECF" w:rsidRPr="00C32D58">
        <w:rPr>
          <w:rFonts w:ascii="Times New Roman" w:hAnsi="Times New Roman" w:cs="Times New Roman"/>
          <w:sz w:val="24"/>
          <w:szCs w:val="24"/>
        </w:rPr>
        <w:t xml:space="preserve">, </w:t>
      </w:r>
      <w:r w:rsidR="00E73B53" w:rsidRPr="00C32D58">
        <w:rPr>
          <w:rFonts w:ascii="Times New Roman" w:hAnsi="Times New Roman" w:cs="Times New Roman"/>
          <w:sz w:val="24"/>
          <w:szCs w:val="24"/>
        </w:rPr>
        <w:t xml:space="preserve">but </w:t>
      </w:r>
      <w:r w:rsidR="00560ECF" w:rsidRPr="00C32D58">
        <w:rPr>
          <w:rFonts w:ascii="Times New Roman" w:hAnsi="Times New Roman" w:cs="Times New Roman"/>
          <w:sz w:val="24"/>
          <w:szCs w:val="24"/>
        </w:rPr>
        <w:t>it is</w:t>
      </w:r>
      <w:r w:rsidR="008F0E4C" w:rsidRPr="00C32D58">
        <w:rPr>
          <w:rFonts w:ascii="Times New Roman" w:hAnsi="Times New Roman" w:cs="Times New Roman"/>
          <w:sz w:val="24"/>
          <w:szCs w:val="24"/>
        </w:rPr>
        <w:t xml:space="preserve"> </w:t>
      </w:r>
      <w:r w:rsidR="00560ECF" w:rsidRPr="00C32D58">
        <w:rPr>
          <w:rFonts w:ascii="Times New Roman" w:hAnsi="Times New Roman" w:cs="Times New Roman"/>
          <w:sz w:val="24"/>
          <w:szCs w:val="24"/>
        </w:rPr>
        <w:t>not without flaws. The global reach of platforms has p</w:t>
      </w:r>
      <w:r w:rsidR="0034244F" w:rsidRPr="00C32D58">
        <w:rPr>
          <w:rFonts w:ascii="Times New Roman" w:hAnsi="Times New Roman" w:cs="Times New Roman"/>
          <w:sz w:val="24"/>
          <w:szCs w:val="24"/>
        </w:rPr>
        <w:t xml:space="preserve">resented a range </w:t>
      </w:r>
      <w:r w:rsidR="00E155B8" w:rsidRPr="00C32D58">
        <w:rPr>
          <w:rFonts w:ascii="Times New Roman" w:hAnsi="Times New Roman" w:cs="Times New Roman"/>
          <w:sz w:val="24"/>
          <w:szCs w:val="24"/>
        </w:rPr>
        <w:t xml:space="preserve">of </w:t>
      </w:r>
      <w:r w:rsidR="0034244F" w:rsidRPr="00C32D58">
        <w:rPr>
          <w:rFonts w:ascii="Times New Roman" w:hAnsi="Times New Roman" w:cs="Times New Roman"/>
          <w:sz w:val="24"/>
          <w:szCs w:val="24"/>
        </w:rPr>
        <w:t>issues</w:t>
      </w:r>
      <w:r w:rsidR="006B6B49" w:rsidRPr="00C32D58">
        <w:rPr>
          <w:rFonts w:ascii="Times New Roman" w:hAnsi="Times New Roman" w:cs="Times New Roman"/>
          <w:sz w:val="24"/>
          <w:szCs w:val="24"/>
        </w:rPr>
        <w:t xml:space="preserve"> ripe</w:t>
      </w:r>
      <w:r w:rsidR="0034244F" w:rsidRPr="00C32D58">
        <w:rPr>
          <w:rFonts w:ascii="Times New Roman" w:hAnsi="Times New Roman" w:cs="Times New Roman"/>
          <w:sz w:val="24"/>
          <w:szCs w:val="24"/>
        </w:rPr>
        <w:t xml:space="preserve"> for regulation. </w:t>
      </w:r>
      <w:r w:rsidR="00B615CB" w:rsidRPr="00C32D58">
        <w:rPr>
          <w:rFonts w:ascii="Times New Roman" w:hAnsi="Times New Roman" w:cs="Times New Roman"/>
          <w:sz w:val="24"/>
          <w:szCs w:val="24"/>
        </w:rPr>
        <w:t xml:space="preserve">Some </w:t>
      </w:r>
      <w:r w:rsidR="00C4401A" w:rsidRPr="00C32D58">
        <w:rPr>
          <w:rFonts w:ascii="Times New Roman" w:hAnsi="Times New Roman" w:cs="Times New Roman"/>
          <w:sz w:val="24"/>
          <w:szCs w:val="24"/>
        </w:rPr>
        <w:t xml:space="preserve">existing </w:t>
      </w:r>
      <w:r w:rsidR="00B615CB" w:rsidRPr="00C32D58">
        <w:rPr>
          <w:rFonts w:ascii="Times New Roman" w:hAnsi="Times New Roman" w:cs="Times New Roman"/>
          <w:sz w:val="24"/>
          <w:szCs w:val="24"/>
        </w:rPr>
        <w:t>regulations lend themselves quite easily to direct app</w:t>
      </w:r>
      <w:r w:rsidR="002B6B3D" w:rsidRPr="00C32D58">
        <w:rPr>
          <w:rFonts w:ascii="Times New Roman" w:hAnsi="Times New Roman" w:cs="Times New Roman"/>
          <w:sz w:val="24"/>
          <w:szCs w:val="24"/>
        </w:rPr>
        <w:t>lication on the platform. Other</w:t>
      </w:r>
      <w:r w:rsidR="00B615CB" w:rsidRPr="00C32D58">
        <w:rPr>
          <w:rFonts w:ascii="Times New Roman" w:hAnsi="Times New Roman" w:cs="Times New Roman"/>
          <w:sz w:val="24"/>
          <w:szCs w:val="24"/>
        </w:rPr>
        <w:t xml:space="preserve"> </w:t>
      </w:r>
      <w:r w:rsidR="00C30DA6" w:rsidRPr="00C32D58">
        <w:rPr>
          <w:rFonts w:ascii="Times New Roman" w:hAnsi="Times New Roman" w:cs="Times New Roman"/>
          <w:sz w:val="24"/>
          <w:szCs w:val="24"/>
        </w:rPr>
        <w:t>regulations appear outdated</w:t>
      </w:r>
      <w:r w:rsidR="00B615CB" w:rsidRPr="00C32D58">
        <w:rPr>
          <w:rFonts w:ascii="Times New Roman" w:hAnsi="Times New Roman" w:cs="Times New Roman"/>
          <w:sz w:val="24"/>
          <w:szCs w:val="24"/>
        </w:rPr>
        <w:t xml:space="preserve">. </w:t>
      </w:r>
      <w:r w:rsidR="00ED0622" w:rsidRPr="00C32D58">
        <w:rPr>
          <w:rFonts w:ascii="Times New Roman" w:hAnsi="Times New Roman" w:cs="Times New Roman"/>
          <w:sz w:val="24"/>
          <w:szCs w:val="24"/>
        </w:rPr>
        <w:t>As with every wave of technological, social and economic innovation, r</w:t>
      </w:r>
      <w:r w:rsidR="00B615CB" w:rsidRPr="00C32D58">
        <w:rPr>
          <w:rFonts w:ascii="Times New Roman" w:hAnsi="Times New Roman" w:cs="Times New Roman"/>
          <w:sz w:val="24"/>
          <w:szCs w:val="24"/>
        </w:rPr>
        <w:t xml:space="preserve">egulators must consider the continued value </w:t>
      </w:r>
      <w:r w:rsidR="00C4401A" w:rsidRPr="00C32D58">
        <w:rPr>
          <w:rFonts w:ascii="Times New Roman" w:hAnsi="Times New Roman" w:cs="Times New Roman"/>
          <w:sz w:val="24"/>
          <w:szCs w:val="24"/>
        </w:rPr>
        <w:t>of</w:t>
      </w:r>
      <w:r w:rsidR="00B615CB" w:rsidRPr="00C32D58">
        <w:rPr>
          <w:rFonts w:ascii="Times New Roman" w:hAnsi="Times New Roman" w:cs="Times New Roman"/>
          <w:sz w:val="24"/>
          <w:szCs w:val="24"/>
        </w:rPr>
        <w:t xml:space="preserve"> </w:t>
      </w:r>
      <w:r w:rsidR="00ED0622" w:rsidRPr="00C32D58">
        <w:rPr>
          <w:rFonts w:ascii="Times New Roman" w:hAnsi="Times New Roman" w:cs="Times New Roman"/>
          <w:sz w:val="24"/>
          <w:szCs w:val="24"/>
        </w:rPr>
        <w:t>various legal</w:t>
      </w:r>
      <w:r w:rsidR="00B615CB" w:rsidRPr="00C32D58">
        <w:rPr>
          <w:rFonts w:ascii="Times New Roman" w:hAnsi="Times New Roman" w:cs="Times New Roman"/>
          <w:sz w:val="24"/>
          <w:szCs w:val="24"/>
        </w:rPr>
        <w:t xml:space="preserve"> requirements in the face of </w:t>
      </w:r>
      <w:r w:rsidR="00ED0622" w:rsidRPr="00C32D58">
        <w:rPr>
          <w:rFonts w:ascii="Times New Roman" w:hAnsi="Times New Roman" w:cs="Times New Roman"/>
          <w:sz w:val="24"/>
          <w:szCs w:val="24"/>
        </w:rPr>
        <w:t>new capabilities, opportunities, risks,</w:t>
      </w:r>
      <w:r w:rsidR="00B615CB" w:rsidRPr="00C32D58">
        <w:rPr>
          <w:rFonts w:ascii="Times New Roman" w:hAnsi="Times New Roman" w:cs="Times New Roman"/>
          <w:sz w:val="24"/>
          <w:szCs w:val="24"/>
        </w:rPr>
        <w:t xml:space="preserve"> preferences</w:t>
      </w:r>
      <w:r w:rsidR="00ED0622" w:rsidRPr="00C32D58">
        <w:rPr>
          <w:rFonts w:ascii="Times New Roman" w:hAnsi="Times New Roman" w:cs="Times New Roman"/>
          <w:sz w:val="24"/>
          <w:szCs w:val="24"/>
        </w:rPr>
        <w:t>,</w:t>
      </w:r>
      <w:r w:rsidR="00B615CB" w:rsidRPr="00C32D58">
        <w:rPr>
          <w:rFonts w:ascii="Times New Roman" w:hAnsi="Times New Roman" w:cs="Times New Roman"/>
          <w:sz w:val="24"/>
          <w:szCs w:val="24"/>
        </w:rPr>
        <w:t xml:space="preserve"> and norms. </w:t>
      </w:r>
      <w:r w:rsidR="00DE1057" w:rsidRPr="00C32D58">
        <w:rPr>
          <w:rFonts w:ascii="Times New Roman" w:eastAsia="Calibri" w:hAnsi="Times New Roman" w:cs="Times New Roman"/>
          <w:sz w:val="24"/>
          <w:szCs w:val="24"/>
        </w:rPr>
        <w:t xml:space="preserve">Moreover, </w:t>
      </w:r>
      <w:r w:rsidR="00B615CB" w:rsidRPr="00C32D58">
        <w:rPr>
          <w:rFonts w:ascii="Times New Roman" w:eastAsia="Calibri" w:hAnsi="Times New Roman" w:cs="Times New Roman"/>
          <w:sz w:val="24"/>
          <w:szCs w:val="24"/>
        </w:rPr>
        <w:t xml:space="preserve">regulators must consider whether technological and economic innovation on the platform can serve the regulatory goals previously achieved by </w:t>
      </w:r>
      <w:r w:rsidR="00C4401A" w:rsidRPr="00C32D58">
        <w:rPr>
          <w:rFonts w:ascii="Times New Roman" w:eastAsia="Calibri" w:hAnsi="Times New Roman" w:cs="Times New Roman"/>
          <w:sz w:val="24"/>
          <w:szCs w:val="24"/>
        </w:rPr>
        <w:t xml:space="preserve">straight-up </w:t>
      </w:r>
      <w:r w:rsidR="00B615CB" w:rsidRPr="00C32D58">
        <w:rPr>
          <w:rFonts w:ascii="Times New Roman" w:eastAsia="Calibri" w:hAnsi="Times New Roman" w:cs="Times New Roman"/>
          <w:sz w:val="24"/>
          <w:szCs w:val="24"/>
        </w:rPr>
        <w:t xml:space="preserve">top-down rules. </w:t>
      </w:r>
      <w:r w:rsidR="005164A8" w:rsidRPr="00C32D58">
        <w:rPr>
          <w:rFonts w:ascii="Times New Roman" w:eastAsia="Calibri" w:hAnsi="Times New Roman" w:cs="Times New Roman"/>
          <w:sz w:val="24"/>
          <w:szCs w:val="24"/>
        </w:rPr>
        <w:t>For example, systems of ratings and review need to be examined and compared to top-down modes of pre-deal quality disclosures and post-deal monitoring. Where</w:t>
      </w:r>
      <w:r w:rsidR="001919B5" w:rsidRPr="00C32D58">
        <w:rPr>
          <w:rFonts w:ascii="Times New Roman" w:eastAsia="Calibri" w:hAnsi="Times New Roman" w:cs="Times New Roman"/>
          <w:sz w:val="24"/>
          <w:szCs w:val="24"/>
        </w:rPr>
        <w:t xml:space="preserve"> regulation was </w:t>
      </w:r>
      <w:r w:rsidR="00C27B79" w:rsidRPr="00C32D58">
        <w:rPr>
          <w:rFonts w:ascii="Times New Roman" w:eastAsia="Calibri" w:hAnsi="Times New Roman" w:cs="Times New Roman"/>
          <w:sz w:val="24"/>
          <w:szCs w:val="24"/>
        </w:rPr>
        <w:t xml:space="preserve">enacted </w:t>
      </w:r>
      <w:r w:rsidR="001919B5" w:rsidRPr="00C32D58">
        <w:rPr>
          <w:rFonts w:ascii="Times New Roman" w:eastAsia="Calibri" w:hAnsi="Times New Roman" w:cs="Times New Roman"/>
          <w:sz w:val="24"/>
          <w:szCs w:val="24"/>
        </w:rPr>
        <w:t xml:space="preserve">to correct market inefficiencies, such as asymmetric information or the high transaction costs involved in monitoring and enforcing the terms of the deal, </w:t>
      </w:r>
      <w:r w:rsidR="00ED0622" w:rsidRPr="00C32D58">
        <w:rPr>
          <w:rFonts w:ascii="Times New Roman" w:eastAsia="Calibri" w:hAnsi="Times New Roman" w:cs="Times New Roman"/>
          <w:sz w:val="24"/>
          <w:szCs w:val="24"/>
        </w:rPr>
        <w:t>new technologies</w:t>
      </w:r>
      <w:r w:rsidR="001919B5" w:rsidRPr="00C32D58">
        <w:rPr>
          <w:rFonts w:ascii="Times New Roman" w:eastAsia="Calibri" w:hAnsi="Times New Roman" w:cs="Times New Roman"/>
          <w:sz w:val="24"/>
          <w:szCs w:val="24"/>
        </w:rPr>
        <w:t xml:space="preserve"> employed on the platform </w:t>
      </w:r>
      <w:r w:rsidR="00ED0622" w:rsidRPr="00C32D58">
        <w:rPr>
          <w:rFonts w:ascii="Times New Roman" w:eastAsia="Calibri" w:hAnsi="Times New Roman" w:cs="Times New Roman"/>
          <w:sz w:val="24"/>
          <w:szCs w:val="24"/>
        </w:rPr>
        <w:t>may</w:t>
      </w:r>
      <w:r w:rsidR="001919B5" w:rsidRPr="00C32D58">
        <w:rPr>
          <w:rFonts w:ascii="Times New Roman" w:eastAsia="Calibri" w:hAnsi="Times New Roman" w:cs="Times New Roman"/>
          <w:sz w:val="24"/>
          <w:szCs w:val="24"/>
        </w:rPr>
        <w:t xml:space="preserve"> serve as a substitute for those </w:t>
      </w:r>
      <w:r w:rsidR="001919B5" w:rsidRPr="00C32D58">
        <w:rPr>
          <w:rFonts w:ascii="Times New Roman" w:eastAsia="Calibri" w:hAnsi="Times New Roman" w:cs="Times New Roman"/>
          <w:sz w:val="24"/>
          <w:szCs w:val="24"/>
        </w:rPr>
        <w:lastRenderedPageBreak/>
        <w:t>policies.</w:t>
      </w:r>
      <w:r w:rsidR="00375B18" w:rsidRPr="00C32D58">
        <w:rPr>
          <w:rStyle w:val="FootnoteReference"/>
          <w:rFonts w:ascii="Times New Roman" w:eastAsia="Calibri" w:hAnsi="Times New Roman" w:cs="Times New Roman"/>
          <w:sz w:val="24"/>
          <w:szCs w:val="24"/>
        </w:rPr>
        <w:footnoteReference w:id="22"/>
      </w:r>
      <w:r w:rsidR="001919B5" w:rsidRPr="00C32D58">
        <w:rPr>
          <w:rFonts w:ascii="Times New Roman" w:eastAsia="Calibri" w:hAnsi="Times New Roman" w:cs="Times New Roman"/>
          <w:sz w:val="24"/>
          <w:szCs w:val="24"/>
        </w:rPr>
        <w:t xml:space="preserve"> </w:t>
      </w:r>
      <w:r w:rsidR="00B8456D" w:rsidRPr="00C32D58">
        <w:rPr>
          <w:rFonts w:ascii="Times New Roman" w:eastAsia="Calibri" w:hAnsi="Times New Roman" w:cs="Times New Roman"/>
          <w:sz w:val="24"/>
          <w:szCs w:val="24"/>
        </w:rPr>
        <w:t xml:space="preserve">When </w:t>
      </w:r>
      <w:r w:rsidR="00515519" w:rsidRPr="00C32D58">
        <w:rPr>
          <w:rFonts w:ascii="Times New Roman" w:hAnsi="Times New Roman" w:cs="Times New Roman"/>
          <w:sz w:val="24"/>
          <w:szCs w:val="24"/>
          <w:lang w:bidi="he-IL"/>
        </w:rPr>
        <w:t>new legal forms of smart private ordering</w:t>
      </w:r>
      <w:r w:rsidR="00515519" w:rsidRPr="00515519">
        <w:rPr>
          <w:rFonts w:ascii="Times New Roman" w:eastAsia="Calibri" w:hAnsi="Times New Roman" w:cs="Times New Roman"/>
          <w:sz w:val="24"/>
          <w:szCs w:val="24"/>
        </w:rPr>
        <w:t xml:space="preserve"> </w:t>
      </w:r>
      <w:r w:rsidR="00515519">
        <w:rPr>
          <w:rFonts w:ascii="Times New Roman" w:eastAsia="Calibri" w:hAnsi="Times New Roman" w:cs="Times New Roman"/>
          <w:sz w:val="24"/>
          <w:szCs w:val="24"/>
        </w:rPr>
        <w:t xml:space="preserve">can be effectively substituted for </w:t>
      </w:r>
      <w:r w:rsidR="00B8456D" w:rsidRPr="00C32D58">
        <w:rPr>
          <w:rFonts w:ascii="Times New Roman" w:eastAsia="Calibri" w:hAnsi="Times New Roman" w:cs="Times New Roman"/>
          <w:sz w:val="24"/>
          <w:szCs w:val="24"/>
        </w:rPr>
        <w:t>r</w:t>
      </w:r>
      <w:r w:rsidR="00B8456D" w:rsidRPr="00C32D58">
        <w:rPr>
          <w:rFonts w:ascii="Times New Roman" w:hAnsi="Times New Roman" w:cs="Times New Roman"/>
          <w:sz w:val="24"/>
          <w:szCs w:val="24"/>
          <w:lang w:bidi="he-IL"/>
        </w:rPr>
        <w:t>egulation</w:t>
      </w:r>
      <w:r w:rsidR="00ED0622" w:rsidRPr="00C32D58">
        <w:rPr>
          <w:rFonts w:ascii="Times New Roman" w:hAnsi="Times New Roman" w:cs="Times New Roman"/>
          <w:sz w:val="24"/>
          <w:szCs w:val="24"/>
          <w:lang w:bidi="he-IL"/>
        </w:rPr>
        <w:t>, both buyer and seller win.</w:t>
      </w:r>
      <w:r w:rsidR="00BD6A45" w:rsidRPr="00C32D58">
        <w:rPr>
          <w:rStyle w:val="FootnoteReference"/>
          <w:rFonts w:ascii="Times New Roman" w:hAnsi="Times New Roman" w:cs="Times New Roman"/>
          <w:sz w:val="24"/>
          <w:szCs w:val="24"/>
          <w:lang w:bidi="he-IL"/>
        </w:rPr>
        <w:footnoteReference w:id="23"/>
      </w:r>
      <w:r w:rsidR="00ED0622" w:rsidRPr="00C32D58">
        <w:rPr>
          <w:rFonts w:ascii="Times New Roman" w:hAnsi="Times New Roman" w:cs="Times New Roman"/>
          <w:sz w:val="24"/>
          <w:szCs w:val="24"/>
          <w:lang w:bidi="he-IL"/>
        </w:rPr>
        <w:t xml:space="preserve"> </w:t>
      </w:r>
    </w:p>
    <w:p w14:paraId="6992EF33" w14:textId="77777777" w:rsidR="000F59F3" w:rsidRDefault="000F59F3" w:rsidP="00C32D58">
      <w:pPr>
        <w:spacing w:after="0" w:line="240" w:lineRule="auto"/>
        <w:ind w:firstLine="720"/>
        <w:rPr>
          <w:rFonts w:ascii="Times New Roman" w:eastAsia="Calibri" w:hAnsi="Times New Roman" w:cs="Times New Roman"/>
          <w:sz w:val="24"/>
          <w:szCs w:val="24"/>
        </w:rPr>
      </w:pPr>
    </w:p>
    <w:p w14:paraId="1275AEB8" w14:textId="26C7D5F0" w:rsidR="001919B5" w:rsidRPr="00C32D58" w:rsidRDefault="001919B5" w:rsidP="00C32D58">
      <w:pPr>
        <w:spacing w:after="0" w:line="240" w:lineRule="auto"/>
        <w:ind w:firstLine="720"/>
        <w:rPr>
          <w:rFonts w:ascii="Times New Roman" w:hAnsi="Times New Roman" w:cs="Times New Roman"/>
          <w:sz w:val="24"/>
          <w:szCs w:val="24"/>
        </w:rPr>
      </w:pPr>
      <w:r w:rsidRPr="00C32D58">
        <w:rPr>
          <w:rFonts w:ascii="Times New Roman" w:eastAsia="Calibri" w:hAnsi="Times New Roman" w:cs="Times New Roman"/>
          <w:sz w:val="24"/>
          <w:szCs w:val="24"/>
        </w:rPr>
        <w:t xml:space="preserve">On the other hand, when regulation is designed to address distributional concerns, </w:t>
      </w:r>
      <w:r w:rsidR="00C14F1B" w:rsidRPr="00C32D58">
        <w:rPr>
          <w:rFonts w:ascii="Times New Roman" w:eastAsia="Calibri" w:hAnsi="Times New Roman" w:cs="Times New Roman"/>
          <w:sz w:val="24"/>
          <w:szCs w:val="24"/>
        </w:rPr>
        <w:t xml:space="preserve">such as </w:t>
      </w:r>
      <w:r w:rsidRPr="00C32D58">
        <w:rPr>
          <w:rFonts w:ascii="Times New Roman" w:eastAsia="Calibri" w:hAnsi="Times New Roman" w:cs="Times New Roman"/>
          <w:sz w:val="24"/>
          <w:szCs w:val="24"/>
        </w:rPr>
        <w:t>equality and fairness goals, it is likely that some of the issues that pervaded offline exchanges will continue into platform relationships.</w:t>
      </w:r>
      <w:r w:rsidRPr="00C32D58">
        <w:rPr>
          <w:rFonts w:ascii="Times New Roman" w:hAnsi="Times New Roman" w:cs="Times New Roman"/>
          <w:sz w:val="24"/>
          <w:szCs w:val="24"/>
          <w:lang w:bidi="he-IL"/>
        </w:rPr>
        <w:t xml:space="preserve"> The platform economy </w:t>
      </w:r>
      <w:r w:rsidR="00ED0622" w:rsidRPr="00C32D58">
        <w:rPr>
          <w:rFonts w:ascii="Times New Roman" w:hAnsi="Times New Roman" w:cs="Times New Roman"/>
          <w:sz w:val="24"/>
          <w:szCs w:val="24"/>
          <w:lang w:bidi="he-IL"/>
        </w:rPr>
        <w:t xml:space="preserve">thereby </w:t>
      </w:r>
      <w:r w:rsidRPr="00C32D58">
        <w:rPr>
          <w:rFonts w:ascii="Times New Roman" w:hAnsi="Times New Roman" w:cs="Times New Roman"/>
          <w:sz w:val="24"/>
          <w:szCs w:val="24"/>
          <w:lang w:bidi="he-IL"/>
        </w:rPr>
        <w:t xml:space="preserve">offers a fresh opportunity to observe and analyze the fit between goals and </w:t>
      </w:r>
      <w:r w:rsidR="00037A68" w:rsidRPr="00C32D58">
        <w:rPr>
          <w:rFonts w:ascii="Times New Roman" w:hAnsi="Times New Roman" w:cs="Times New Roman"/>
          <w:sz w:val="24"/>
          <w:szCs w:val="24"/>
          <w:lang w:bidi="he-IL"/>
        </w:rPr>
        <w:t xml:space="preserve">actual outcomes </w:t>
      </w:r>
      <w:r w:rsidRPr="00C32D58">
        <w:rPr>
          <w:rFonts w:ascii="Times New Roman" w:hAnsi="Times New Roman" w:cs="Times New Roman"/>
          <w:sz w:val="24"/>
          <w:szCs w:val="24"/>
          <w:lang w:bidi="he-IL"/>
        </w:rPr>
        <w:t>of a range of existing laws. When laws do not promote social goals but instead protect incumbent industries against competition, the platform is clearly a welcome</w:t>
      </w:r>
      <w:r w:rsidR="000302D0" w:rsidRPr="00C32D58">
        <w:rPr>
          <w:rFonts w:ascii="Times New Roman" w:hAnsi="Times New Roman" w:cs="Times New Roman"/>
          <w:sz w:val="24"/>
          <w:szCs w:val="24"/>
          <w:lang w:bidi="he-IL"/>
        </w:rPr>
        <w:t>d</w:t>
      </w:r>
      <w:r w:rsidRPr="00C32D58">
        <w:rPr>
          <w:rFonts w:ascii="Times New Roman" w:hAnsi="Times New Roman" w:cs="Times New Roman"/>
          <w:sz w:val="24"/>
          <w:szCs w:val="24"/>
          <w:lang w:bidi="he-IL"/>
        </w:rPr>
        <w:t xml:space="preserve"> intervention and such </w:t>
      </w:r>
      <w:r w:rsidR="00601282" w:rsidRPr="00C32D58">
        <w:rPr>
          <w:rFonts w:ascii="Times New Roman" w:hAnsi="Times New Roman" w:cs="Times New Roman"/>
          <w:sz w:val="24"/>
          <w:szCs w:val="24"/>
          <w:lang w:bidi="he-IL"/>
        </w:rPr>
        <w:t xml:space="preserve">anti-competitive </w:t>
      </w:r>
      <w:r w:rsidRPr="00C32D58">
        <w:rPr>
          <w:rFonts w:ascii="Times New Roman" w:hAnsi="Times New Roman" w:cs="Times New Roman"/>
          <w:sz w:val="24"/>
          <w:szCs w:val="24"/>
          <w:lang w:bidi="he-IL"/>
        </w:rPr>
        <w:t xml:space="preserve">laws should largely be deemed </w:t>
      </w:r>
      <w:r w:rsidR="001B5230" w:rsidRPr="00C32D58">
        <w:rPr>
          <w:rFonts w:ascii="Times New Roman" w:hAnsi="Times New Roman" w:cs="Times New Roman"/>
          <w:sz w:val="24"/>
          <w:szCs w:val="24"/>
          <w:lang w:bidi="he-IL"/>
        </w:rPr>
        <w:t xml:space="preserve">obsolete. </w:t>
      </w:r>
      <w:r w:rsidR="001438C2" w:rsidRPr="00C32D58">
        <w:rPr>
          <w:rFonts w:ascii="Times New Roman" w:hAnsi="Times New Roman" w:cs="Times New Roman"/>
          <w:sz w:val="24"/>
          <w:szCs w:val="24"/>
          <w:lang w:bidi="he-IL"/>
        </w:rPr>
        <w:t xml:space="preserve">We will too, at some point, if we have not already, reach a time when </w:t>
      </w:r>
      <w:r w:rsidR="00A1162D" w:rsidRPr="00C32D58">
        <w:rPr>
          <w:rFonts w:ascii="Times New Roman" w:hAnsi="Times New Roman" w:cs="Times New Roman"/>
          <w:sz w:val="24"/>
          <w:szCs w:val="24"/>
          <w:lang w:bidi="he-IL"/>
        </w:rPr>
        <w:t>the platform may surpass, or become, the incumbent.</w:t>
      </w:r>
      <w:r w:rsidR="00A1162D" w:rsidRPr="00C32D58">
        <w:rPr>
          <w:rStyle w:val="FootnoteReference"/>
          <w:rFonts w:ascii="Times New Roman" w:hAnsi="Times New Roman" w:cs="Times New Roman"/>
          <w:sz w:val="24"/>
          <w:szCs w:val="24"/>
          <w:lang w:bidi="he-IL"/>
        </w:rPr>
        <w:footnoteReference w:id="24"/>
      </w:r>
      <w:r w:rsidR="00A1162D" w:rsidRPr="00C32D58">
        <w:rPr>
          <w:rFonts w:ascii="Times New Roman" w:hAnsi="Times New Roman" w:cs="Times New Roman"/>
          <w:sz w:val="24"/>
          <w:szCs w:val="24"/>
          <w:lang w:bidi="he-IL"/>
        </w:rPr>
        <w:t xml:space="preserve"> </w:t>
      </w:r>
      <w:r w:rsidR="0059745E" w:rsidRPr="00C32D58">
        <w:rPr>
          <w:rFonts w:ascii="Times New Roman" w:hAnsi="Times New Roman" w:cs="Times New Roman"/>
          <w:sz w:val="24"/>
          <w:szCs w:val="24"/>
          <w:lang w:bidi="he-IL"/>
        </w:rPr>
        <w:t>The paradigmatic example for this is Uber’s dominance in the transportation market</w:t>
      </w:r>
      <w:r w:rsidR="003E6971">
        <w:rPr>
          <w:rFonts w:ascii="Times New Roman" w:hAnsi="Times New Roman" w:cs="Times New Roman"/>
          <w:sz w:val="24"/>
          <w:szCs w:val="24"/>
          <w:lang w:bidi="he-IL"/>
        </w:rPr>
        <w:t>,</w:t>
      </w:r>
      <w:r w:rsidR="0059745E" w:rsidRPr="00C32D58">
        <w:rPr>
          <w:rFonts w:ascii="Times New Roman" w:hAnsi="Times New Roman" w:cs="Times New Roman"/>
          <w:sz w:val="24"/>
          <w:szCs w:val="24"/>
          <w:lang w:bidi="he-IL"/>
        </w:rPr>
        <w:t xml:space="preserve"> which has made it difficult in some localities to demand either the private ordering of safety checks or the imposition of top down regulatory requirements. When the market is more competitive, such consumer protections are more likely to be adopted. </w:t>
      </w:r>
      <w:r w:rsidR="00A1162D" w:rsidRPr="00C32D58">
        <w:rPr>
          <w:rFonts w:ascii="Times New Roman" w:hAnsi="Times New Roman" w:cs="Times New Roman"/>
          <w:sz w:val="24"/>
          <w:szCs w:val="24"/>
          <w:lang w:bidi="he-IL"/>
        </w:rPr>
        <w:t>Thus we must lay the social groundwork for elimination of anti-competitive laws and set the stage for newcomers to find space in the market should they create a product sought by consumers now, as these issues first arise, so that we should have in place a means to deal with what will inevitably be a recurring problem of incumbent industries, whomever those incumbents should be, seeking to prohibit the entry of new competition into the marketplace.</w:t>
      </w:r>
      <w:r w:rsidR="00BD6A45" w:rsidRPr="00C32D58">
        <w:rPr>
          <w:rStyle w:val="FootnoteReference"/>
          <w:rFonts w:ascii="Times New Roman" w:hAnsi="Times New Roman" w:cs="Times New Roman"/>
          <w:sz w:val="24"/>
          <w:szCs w:val="24"/>
          <w:lang w:bidi="he-IL"/>
        </w:rPr>
        <w:footnoteReference w:id="25"/>
      </w:r>
      <w:r w:rsidR="00A1162D" w:rsidRPr="00C32D58">
        <w:rPr>
          <w:rFonts w:ascii="Times New Roman" w:hAnsi="Times New Roman" w:cs="Times New Roman"/>
          <w:sz w:val="24"/>
          <w:szCs w:val="24"/>
          <w:lang w:bidi="he-IL"/>
        </w:rPr>
        <w:t xml:space="preserve"> </w:t>
      </w:r>
      <w:r w:rsidRPr="00C32D58">
        <w:rPr>
          <w:rFonts w:ascii="Times New Roman" w:hAnsi="Times New Roman" w:cs="Times New Roman"/>
          <w:sz w:val="24"/>
          <w:szCs w:val="24"/>
          <w:lang w:bidi="he-IL"/>
        </w:rPr>
        <w:t xml:space="preserve">The </w:t>
      </w:r>
      <w:r w:rsidR="001B5230" w:rsidRPr="00C32D58">
        <w:rPr>
          <w:rFonts w:ascii="Times New Roman" w:hAnsi="Times New Roman" w:cs="Times New Roman"/>
          <w:sz w:val="24"/>
          <w:szCs w:val="24"/>
          <w:lang w:bidi="he-IL"/>
        </w:rPr>
        <w:t>mo</w:t>
      </w:r>
      <w:r w:rsidR="0059745E" w:rsidRPr="00C32D58">
        <w:rPr>
          <w:rFonts w:ascii="Times New Roman" w:hAnsi="Times New Roman" w:cs="Times New Roman"/>
          <w:sz w:val="24"/>
          <w:szCs w:val="24"/>
          <w:lang w:bidi="he-IL"/>
        </w:rPr>
        <w:t>st</w:t>
      </w:r>
      <w:r w:rsidR="001B5230" w:rsidRPr="00C32D58">
        <w:rPr>
          <w:rFonts w:ascii="Times New Roman" w:hAnsi="Times New Roman" w:cs="Times New Roman"/>
          <w:sz w:val="24"/>
          <w:szCs w:val="24"/>
          <w:lang w:bidi="he-IL"/>
        </w:rPr>
        <w:t xml:space="preserve"> difficult</w:t>
      </w:r>
      <w:r w:rsidRPr="00C32D58">
        <w:rPr>
          <w:rFonts w:ascii="Times New Roman" w:hAnsi="Times New Roman" w:cs="Times New Roman"/>
          <w:sz w:val="24"/>
          <w:szCs w:val="24"/>
          <w:lang w:bidi="he-IL"/>
        </w:rPr>
        <w:t xml:space="preserve"> cases </w:t>
      </w:r>
      <w:r w:rsidR="00910685" w:rsidRPr="00C32D58">
        <w:rPr>
          <w:rFonts w:ascii="Times New Roman" w:hAnsi="Times New Roman" w:cs="Times New Roman"/>
          <w:sz w:val="24"/>
          <w:szCs w:val="24"/>
          <w:lang w:bidi="he-IL"/>
        </w:rPr>
        <w:t xml:space="preserve">involve </w:t>
      </w:r>
      <w:r w:rsidRPr="00C32D58">
        <w:rPr>
          <w:rFonts w:ascii="Times New Roman" w:hAnsi="Times New Roman" w:cs="Times New Roman"/>
          <w:sz w:val="24"/>
          <w:szCs w:val="24"/>
          <w:lang w:bidi="he-IL"/>
        </w:rPr>
        <w:t>regulations</w:t>
      </w:r>
      <w:r w:rsidR="001B5230" w:rsidRPr="00C32D58">
        <w:rPr>
          <w:rFonts w:ascii="Times New Roman" w:hAnsi="Times New Roman" w:cs="Times New Roman"/>
          <w:sz w:val="24"/>
          <w:szCs w:val="24"/>
          <w:lang w:bidi="he-IL"/>
        </w:rPr>
        <w:t xml:space="preserve"> that promote a range of social values </w:t>
      </w:r>
      <w:r w:rsidR="00DF1473" w:rsidRPr="00C32D58">
        <w:rPr>
          <w:rFonts w:ascii="Times New Roman" w:hAnsi="Times New Roman" w:cs="Times New Roman"/>
          <w:sz w:val="24"/>
          <w:szCs w:val="24"/>
          <w:lang w:bidi="he-IL"/>
        </w:rPr>
        <w:t xml:space="preserve">requiring </w:t>
      </w:r>
      <w:r w:rsidR="001B5230" w:rsidRPr="00C32D58">
        <w:rPr>
          <w:rFonts w:ascii="Times New Roman" w:hAnsi="Times New Roman" w:cs="Times New Roman"/>
          <w:sz w:val="24"/>
          <w:szCs w:val="24"/>
          <w:lang w:bidi="he-IL"/>
        </w:rPr>
        <w:t xml:space="preserve">policymakers </w:t>
      </w:r>
      <w:r w:rsidR="00DF1473" w:rsidRPr="00C32D58">
        <w:rPr>
          <w:rFonts w:ascii="Times New Roman" w:hAnsi="Times New Roman" w:cs="Times New Roman"/>
          <w:sz w:val="24"/>
          <w:szCs w:val="24"/>
          <w:lang w:bidi="he-IL"/>
        </w:rPr>
        <w:t xml:space="preserve">to </w:t>
      </w:r>
      <w:r w:rsidR="001B5230" w:rsidRPr="00C32D58">
        <w:rPr>
          <w:rFonts w:ascii="Times New Roman" w:hAnsi="Times New Roman" w:cs="Times New Roman"/>
          <w:sz w:val="24"/>
          <w:szCs w:val="24"/>
          <w:lang w:bidi="he-IL"/>
        </w:rPr>
        <w:t>tread carefully in carrying over those goals into the platform.</w:t>
      </w:r>
      <w:r w:rsidRPr="00C32D58">
        <w:rPr>
          <w:rFonts w:ascii="Times New Roman" w:hAnsi="Times New Roman" w:cs="Times New Roman"/>
          <w:sz w:val="24"/>
          <w:szCs w:val="24"/>
          <w:lang w:bidi="he-IL"/>
        </w:rPr>
        <w:t xml:space="preserve"> </w:t>
      </w:r>
    </w:p>
    <w:p w14:paraId="105A7521" w14:textId="77777777" w:rsidR="000F59F3" w:rsidRDefault="00560ECF" w:rsidP="00C32D58">
      <w:pPr>
        <w:spacing w:after="0" w:line="240" w:lineRule="auto"/>
        <w:rPr>
          <w:rFonts w:ascii="Times New Roman" w:hAnsi="Times New Roman" w:cs="Times New Roman"/>
          <w:sz w:val="24"/>
          <w:szCs w:val="24"/>
        </w:rPr>
      </w:pPr>
      <w:r w:rsidRPr="00C32D58">
        <w:rPr>
          <w:rFonts w:ascii="Times New Roman" w:hAnsi="Times New Roman" w:cs="Times New Roman"/>
          <w:sz w:val="24"/>
          <w:szCs w:val="24"/>
        </w:rPr>
        <w:tab/>
      </w:r>
    </w:p>
    <w:p w14:paraId="47BC7D4B" w14:textId="5B671361" w:rsidR="00202043" w:rsidRPr="00C32D58" w:rsidRDefault="00561A7B" w:rsidP="00C32D58">
      <w:pPr>
        <w:spacing w:after="0" w:line="240" w:lineRule="auto"/>
        <w:ind w:firstLine="720"/>
        <w:rPr>
          <w:rFonts w:ascii="Times New Roman" w:eastAsia="Calibri" w:hAnsi="Times New Roman" w:cs="Times New Roman"/>
          <w:sz w:val="24"/>
          <w:szCs w:val="24"/>
        </w:rPr>
      </w:pPr>
      <w:r w:rsidRPr="00C32D58">
        <w:rPr>
          <w:rFonts w:ascii="Times New Roman" w:hAnsi="Times New Roman" w:cs="Times New Roman"/>
          <w:sz w:val="24"/>
          <w:szCs w:val="24"/>
        </w:rPr>
        <w:t>Innovation should</w:t>
      </w:r>
      <w:r w:rsidR="00B8456D" w:rsidRPr="00C32D58">
        <w:rPr>
          <w:rFonts w:ascii="Times New Roman" w:hAnsi="Times New Roman" w:cs="Times New Roman"/>
          <w:sz w:val="24"/>
          <w:szCs w:val="24"/>
        </w:rPr>
        <w:t xml:space="preserve"> also</w:t>
      </w:r>
      <w:r w:rsidRPr="00C32D58">
        <w:rPr>
          <w:rFonts w:ascii="Times New Roman" w:hAnsi="Times New Roman" w:cs="Times New Roman"/>
          <w:sz w:val="24"/>
          <w:szCs w:val="24"/>
        </w:rPr>
        <w:t xml:space="preserve"> be viewed as an opportunity to unpack, and rethink, traditional regulatory categories.</w:t>
      </w:r>
      <w:r w:rsidR="00202043" w:rsidRPr="00C32D58">
        <w:rPr>
          <w:rFonts w:ascii="Times New Roman" w:hAnsi="Times New Roman" w:cs="Times New Roman"/>
          <w:sz w:val="24"/>
          <w:szCs w:val="24"/>
        </w:rPr>
        <w:t xml:space="preserve"> </w:t>
      </w:r>
      <w:r w:rsidR="00202043" w:rsidRPr="00C32D58">
        <w:rPr>
          <w:rFonts w:ascii="Times New Roman" w:eastAsia="Calibri" w:hAnsi="Times New Roman" w:cs="Times New Roman"/>
          <w:sz w:val="24"/>
          <w:szCs w:val="24"/>
        </w:rPr>
        <w:t>The platform creates hybrid classes</w:t>
      </w:r>
      <w:r w:rsidR="00424449" w:rsidRPr="00C32D58">
        <w:rPr>
          <w:rFonts w:ascii="Times New Roman" w:eastAsia="Calibri" w:hAnsi="Times New Roman" w:cs="Times New Roman"/>
          <w:sz w:val="24"/>
          <w:szCs w:val="24"/>
        </w:rPr>
        <w:t>,</w:t>
      </w:r>
      <w:r w:rsidR="00202043" w:rsidRPr="00C32D58">
        <w:rPr>
          <w:rFonts w:ascii="Times New Roman" w:eastAsia="Calibri" w:hAnsi="Times New Roman" w:cs="Times New Roman"/>
          <w:sz w:val="24"/>
          <w:szCs w:val="24"/>
        </w:rPr>
        <w:t xml:space="preserve"> which mean</w:t>
      </w:r>
      <w:r w:rsidR="00424449" w:rsidRPr="00C32D58">
        <w:rPr>
          <w:rFonts w:ascii="Times New Roman" w:eastAsia="Calibri" w:hAnsi="Times New Roman" w:cs="Times New Roman"/>
          <w:sz w:val="24"/>
          <w:szCs w:val="24"/>
        </w:rPr>
        <w:t>s</w:t>
      </w:r>
      <w:r w:rsidR="00202043" w:rsidRPr="00C32D58">
        <w:rPr>
          <w:rFonts w:ascii="Times New Roman" w:eastAsia="Calibri" w:hAnsi="Times New Roman" w:cs="Times New Roman"/>
          <w:sz w:val="24"/>
          <w:szCs w:val="24"/>
        </w:rPr>
        <w:t xml:space="preserve"> that “off-on categories such as consumer/business; employee/freelancer; residential/commercial are in some instances no longer viable as organizing frameworks</w:t>
      </w:r>
      <w:r w:rsidR="00424449" w:rsidRPr="00C32D58">
        <w:rPr>
          <w:rFonts w:ascii="Times New Roman" w:eastAsia="Calibri" w:hAnsi="Times New Roman" w:cs="Times New Roman"/>
          <w:sz w:val="24"/>
          <w:szCs w:val="24"/>
        </w:rPr>
        <w:t>.</w:t>
      </w:r>
      <w:r w:rsidR="00202043" w:rsidRPr="00C32D58">
        <w:rPr>
          <w:rFonts w:ascii="Times New Roman" w:eastAsia="Calibri" w:hAnsi="Times New Roman" w:cs="Times New Roman"/>
          <w:sz w:val="24"/>
          <w:szCs w:val="24"/>
        </w:rPr>
        <w:t>”</w:t>
      </w:r>
      <w:r w:rsidR="00862B29" w:rsidRPr="00C32D58">
        <w:rPr>
          <w:rStyle w:val="FootnoteReference"/>
          <w:rFonts w:ascii="Times New Roman" w:eastAsia="Calibri" w:hAnsi="Times New Roman" w:cs="Times New Roman"/>
          <w:sz w:val="24"/>
          <w:szCs w:val="24"/>
        </w:rPr>
        <w:footnoteReference w:id="26"/>
      </w:r>
    </w:p>
    <w:p w14:paraId="0FE56926" w14:textId="77777777" w:rsidR="000F59F3" w:rsidRDefault="000F59F3" w:rsidP="00C32D58">
      <w:pPr>
        <w:spacing w:after="0" w:line="240" w:lineRule="auto"/>
        <w:ind w:left="720"/>
        <w:rPr>
          <w:rFonts w:ascii="Times New Roman" w:eastAsia="Calibri" w:hAnsi="Times New Roman" w:cs="Times New Roman"/>
          <w:sz w:val="24"/>
          <w:szCs w:val="24"/>
        </w:rPr>
      </w:pPr>
    </w:p>
    <w:p w14:paraId="251F85C8" w14:textId="1574BBBE" w:rsidR="00202043" w:rsidRDefault="00202043" w:rsidP="00C32D58">
      <w:pPr>
        <w:spacing w:after="0" w:line="240" w:lineRule="auto"/>
        <w:ind w:left="720"/>
        <w:rPr>
          <w:rFonts w:ascii="Times New Roman" w:hAnsi="Times New Roman" w:cs="Times New Roman"/>
          <w:sz w:val="24"/>
          <w:szCs w:val="24"/>
        </w:rPr>
      </w:pPr>
      <w:r w:rsidRPr="00C32D58">
        <w:rPr>
          <w:rFonts w:ascii="Times New Roman" w:eastAsia="Calibri" w:hAnsi="Times New Roman" w:cs="Times New Roman"/>
          <w:sz w:val="24"/>
          <w:szCs w:val="24"/>
        </w:rPr>
        <w:t xml:space="preserve">Unique fusions emerge as technology companies centralize some important aspects of the market transaction, for example, the methods of payment, search and review, and </w:t>
      </w:r>
      <w:r w:rsidRPr="00C32D58">
        <w:rPr>
          <w:rFonts w:ascii="Times New Roman" w:eastAsia="Calibri" w:hAnsi="Times New Roman" w:cs="Times New Roman"/>
          <w:sz w:val="24"/>
          <w:szCs w:val="24"/>
        </w:rPr>
        <w:lastRenderedPageBreak/>
        <w:t>information and trust. Simultaneously, these companies are decentralizing other fundamental aspects of the exchange, which are controlled by users, such as pricing on the lodging apps and work hours on the transportation and cleaning service apps, aspects which determined the supply infrastructure of the business. What this means for regulators is that rather than a unified single entity which has traditionally been the object of regulation, transactions are now shaped by multiple actors, with varying capacities, interests, and needs.</w:t>
      </w:r>
      <w:r w:rsidRPr="00C32D58">
        <w:rPr>
          <w:rStyle w:val="FootnoteReference"/>
          <w:rFonts w:ascii="Times New Roman" w:eastAsia="Calibri" w:hAnsi="Times New Roman" w:cs="Times New Roman"/>
          <w:sz w:val="24"/>
          <w:szCs w:val="24"/>
        </w:rPr>
        <w:footnoteReference w:id="27"/>
      </w:r>
      <w:r w:rsidRPr="00C32D58">
        <w:rPr>
          <w:rFonts w:ascii="Times New Roman" w:eastAsia="Calibri" w:hAnsi="Times New Roman" w:cs="Times New Roman"/>
          <w:sz w:val="24"/>
          <w:szCs w:val="24"/>
        </w:rPr>
        <w:t xml:space="preserve"> </w:t>
      </w:r>
      <w:r w:rsidR="00561A7B" w:rsidRPr="00C32D58">
        <w:rPr>
          <w:rFonts w:ascii="Times New Roman" w:hAnsi="Times New Roman" w:cs="Times New Roman"/>
          <w:sz w:val="24"/>
          <w:szCs w:val="24"/>
        </w:rPr>
        <w:t xml:space="preserve"> </w:t>
      </w:r>
    </w:p>
    <w:p w14:paraId="3A531535" w14:textId="77777777" w:rsidR="000F59F3" w:rsidRPr="00C32D58" w:rsidRDefault="000F59F3" w:rsidP="00C32D58">
      <w:pPr>
        <w:spacing w:after="0" w:line="240" w:lineRule="auto"/>
        <w:ind w:left="720"/>
        <w:rPr>
          <w:rFonts w:ascii="Times New Roman" w:hAnsi="Times New Roman" w:cs="Times New Roman"/>
          <w:sz w:val="24"/>
          <w:szCs w:val="24"/>
        </w:rPr>
      </w:pPr>
    </w:p>
    <w:p w14:paraId="455C13D6" w14:textId="19BDBB21" w:rsidR="00B71815" w:rsidRPr="00C32D58" w:rsidRDefault="00ED0622" w:rsidP="00C32D58">
      <w:pPr>
        <w:shd w:val="clear" w:color="auto" w:fill="FFFFFF"/>
        <w:spacing w:after="0" w:line="240" w:lineRule="auto"/>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With these new constellation and definitional hybrids, r</w:t>
      </w:r>
      <w:r w:rsidR="00AD476F" w:rsidRPr="00C32D58">
        <w:rPr>
          <w:rFonts w:ascii="Times New Roman" w:hAnsi="Times New Roman" w:cs="Times New Roman"/>
          <w:sz w:val="24"/>
          <w:szCs w:val="24"/>
          <w:lang w:bidi="he-IL"/>
        </w:rPr>
        <w:t xml:space="preserve">egulators should aim to track </w:t>
      </w:r>
      <w:r w:rsidRPr="00C32D58">
        <w:rPr>
          <w:rFonts w:ascii="Times New Roman" w:hAnsi="Times New Roman" w:cs="Times New Roman"/>
          <w:sz w:val="24"/>
          <w:szCs w:val="24"/>
          <w:lang w:bidi="he-IL"/>
        </w:rPr>
        <w:t>the economic substance of the transaction, consider the Coasean costs and logic of the deal, and then examine these realities against the policy goals of the legal field in question.</w:t>
      </w:r>
      <w:r w:rsidR="00AD476F" w:rsidRPr="00C32D58">
        <w:rPr>
          <w:rStyle w:val="FootnoteReference"/>
          <w:rFonts w:ascii="Times New Roman" w:hAnsi="Times New Roman" w:cs="Times New Roman"/>
          <w:sz w:val="24"/>
          <w:szCs w:val="24"/>
          <w:lang w:bidi="he-IL"/>
        </w:rPr>
        <w:footnoteReference w:id="28"/>
      </w:r>
      <w:r w:rsidR="00AD476F" w:rsidRPr="00C32D58">
        <w:rPr>
          <w:rFonts w:ascii="Times New Roman" w:hAnsi="Times New Roman" w:cs="Times New Roman"/>
          <w:sz w:val="24"/>
          <w:szCs w:val="24"/>
          <w:lang w:bidi="he-IL"/>
        </w:rPr>
        <w:t xml:space="preserve">  </w:t>
      </w:r>
    </w:p>
    <w:p w14:paraId="4103B2C1" w14:textId="77777777" w:rsidR="000F59F3" w:rsidRDefault="000F59F3" w:rsidP="00C32D58">
      <w:pPr>
        <w:spacing w:after="0" w:line="240" w:lineRule="auto"/>
        <w:ind w:firstLine="720"/>
        <w:jc w:val="both"/>
        <w:rPr>
          <w:rFonts w:ascii="Times New Roman" w:hAnsi="Times New Roman" w:cs="Times New Roman"/>
          <w:sz w:val="24"/>
          <w:szCs w:val="24"/>
        </w:rPr>
      </w:pPr>
    </w:p>
    <w:p w14:paraId="1AFAEC33" w14:textId="1183D218" w:rsidR="000F59F3" w:rsidRDefault="00B615CB" w:rsidP="00C32D58">
      <w:pPr>
        <w:spacing w:after="0" w:line="240" w:lineRule="auto"/>
        <w:ind w:firstLine="720"/>
        <w:jc w:val="both"/>
        <w:rPr>
          <w:rFonts w:ascii="Times New Roman" w:hAnsi="Times New Roman" w:cs="Times New Roman"/>
          <w:sz w:val="24"/>
          <w:szCs w:val="24"/>
        </w:rPr>
      </w:pPr>
      <w:r w:rsidRPr="00C32D58">
        <w:rPr>
          <w:rFonts w:ascii="Times New Roman" w:hAnsi="Times New Roman" w:cs="Times New Roman"/>
          <w:sz w:val="24"/>
          <w:szCs w:val="24"/>
        </w:rPr>
        <w:t xml:space="preserve">Consider the field of employment and labor law. </w:t>
      </w:r>
      <w:r w:rsidR="00D126A2" w:rsidRPr="00C32D58">
        <w:rPr>
          <w:rFonts w:ascii="Times New Roman" w:hAnsi="Times New Roman" w:cs="Times New Roman"/>
          <w:sz w:val="24"/>
          <w:szCs w:val="24"/>
        </w:rPr>
        <w:t xml:space="preserve">The platform is often linked to the </w:t>
      </w:r>
      <w:r w:rsidR="00A60A40" w:rsidRPr="00C32D58">
        <w:rPr>
          <w:rFonts w:ascii="Times New Roman" w:hAnsi="Times New Roman" w:cs="Times New Roman"/>
          <w:sz w:val="24"/>
          <w:szCs w:val="24"/>
        </w:rPr>
        <w:t xml:space="preserve">widespread </w:t>
      </w:r>
      <w:r w:rsidR="00D126A2" w:rsidRPr="00C32D58">
        <w:rPr>
          <w:rFonts w:ascii="Times New Roman" w:hAnsi="Times New Roman" w:cs="Times New Roman"/>
          <w:sz w:val="24"/>
          <w:szCs w:val="24"/>
        </w:rPr>
        <w:t xml:space="preserve">rise of the gig </w:t>
      </w:r>
      <w:r w:rsidR="001C4906" w:rsidRPr="00C32D58">
        <w:rPr>
          <w:rFonts w:ascii="Times New Roman" w:hAnsi="Times New Roman" w:cs="Times New Roman"/>
          <w:sz w:val="24"/>
          <w:szCs w:val="24"/>
        </w:rPr>
        <w:t>e</w:t>
      </w:r>
      <w:r w:rsidR="00D126A2" w:rsidRPr="00C32D58">
        <w:rPr>
          <w:rFonts w:ascii="Times New Roman" w:hAnsi="Times New Roman" w:cs="Times New Roman"/>
          <w:sz w:val="24"/>
          <w:szCs w:val="24"/>
        </w:rPr>
        <w:t xml:space="preserve">conomy </w:t>
      </w:r>
      <w:r w:rsidR="001C4906" w:rsidRPr="00C32D58">
        <w:rPr>
          <w:rFonts w:ascii="Times New Roman" w:hAnsi="Times New Roman" w:cs="Times New Roman"/>
          <w:sz w:val="24"/>
          <w:szCs w:val="24"/>
        </w:rPr>
        <w:t>– precarious work detached from a single</w:t>
      </w:r>
      <w:r w:rsidR="009B4014" w:rsidRPr="00C32D58">
        <w:rPr>
          <w:rFonts w:ascii="Times New Roman" w:hAnsi="Times New Roman" w:cs="Times New Roman"/>
          <w:sz w:val="24"/>
          <w:szCs w:val="24"/>
        </w:rPr>
        <w:t xml:space="preserve"> long-</w:t>
      </w:r>
      <w:r w:rsidR="00FD029E" w:rsidRPr="00C32D58">
        <w:rPr>
          <w:rFonts w:ascii="Times New Roman" w:hAnsi="Times New Roman" w:cs="Times New Roman"/>
          <w:sz w:val="24"/>
          <w:szCs w:val="24"/>
        </w:rPr>
        <w:t>term employer.</w:t>
      </w:r>
      <w:r w:rsidR="001C4906" w:rsidRPr="00C32D58">
        <w:rPr>
          <w:rFonts w:ascii="Times New Roman" w:hAnsi="Times New Roman" w:cs="Times New Roman"/>
          <w:sz w:val="24"/>
          <w:szCs w:val="24"/>
        </w:rPr>
        <w:t xml:space="preserve"> </w:t>
      </w:r>
      <w:r w:rsidR="00FD029E" w:rsidRPr="00C32D58">
        <w:rPr>
          <w:rFonts w:ascii="Times New Roman" w:hAnsi="Times New Roman" w:cs="Times New Roman"/>
          <w:sz w:val="24"/>
          <w:szCs w:val="24"/>
        </w:rPr>
        <w:t xml:space="preserve">Some </w:t>
      </w:r>
      <w:r w:rsidR="00E00739" w:rsidRPr="00C32D58">
        <w:rPr>
          <w:rFonts w:ascii="Times New Roman" w:hAnsi="Times New Roman" w:cs="Times New Roman"/>
          <w:sz w:val="24"/>
          <w:szCs w:val="24"/>
        </w:rPr>
        <w:t xml:space="preserve">representations </w:t>
      </w:r>
      <w:r w:rsidR="00FD029E" w:rsidRPr="00C32D58">
        <w:rPr>
          <w:rFonts w:ascii="Times New Roman" w:hAnsi="Times New Roman" w:cs="Times New Roman"/>
          <w:sz w:val="24"/>
          <w:szCs w:val="24"/>
        </w:rPr>
        <w:t>of work on the platform portray this framework as empowering workers by enabling</w:t>
      </w:r>
      <w:r w:rsidR="00D126A2" w:rsidRPr="00C32D58">
        <w:rPr>
          <w:rFonts w:ascii="Times New Roman" w:hAnsi="Times New Roman" w:cs="Times New Roman"/>
          <w:sz w:val="24"/>
          <w:szCs w:val="24"/>
        </w:rPr>
        <w:t xml:space="preserve"> peer-to</w:t>
      </w:r>
      <w:r w:rsidR="00FD029E" w:rsidRPr="00C32D58">
        <w:rPr>
          <w:rFonts w:ascii="Times New Roman" w:hAnsi="Times New Roman" w:cs="Times New Roman"/>
          <w:sz w:val="24"/>
          <w:szCs w:val="24"/>
        </w:rPr>
        <w:t>-peer exchanges without a corporation</w:t>
      </w:r>
      <w:r w:rsidR="00D126A2" w:rsidRPr="00C32D58">
        <w:rPr>
          <w:rFonts w:ascii="Times New Roman" w:hAnsi="Times New Roman" w:cs="Times New Roman"/>
          <w:sz w:val="24"/>
          <w:szCs w:val="24"/>
        </w:rPr>
        <w:t xml:space="preserve"> taking an unfair cut. </w:t>
      </w:r>
      <w:r w:rsidR="00FD029E" w:rsidRPr="00C32D58">
        <w:rPr>
          <w:rFonts w:ascii="Times New Roman" w:hAnsi="Times New Roman" w:cs="Times New Roman"/>
          <w:sz w:val="24"/>
          <w:szCs w:val="24"/>
        </w:rPr>
        <w:t xml:space="preserve">Under this view, workers on the platform enjoy </w:t>
      </w:r>
      <w:r w:rsidR="00D126A2" w:rsidRPr="00C32D58">
        <w:rPr>
          <w:rFonts w:ascii="Times New Roman" w:hAnsi="Times New Roman" w:cs="Times New Roman"/>
          <w:sz w:val="24"/>
          <w:szCs w:val="24"/>
        </w:rPr>
        <w:t xml:space="preserve">independence, choice, autonomy, and freedom to work </w:t>
      </w:r>
      <w:r w:rsidR="00FD029E" w:rsidRPr="00C32D58">
        <w:rPr>
          <w:rFonts w:ascii="Times New Roman" w:hAnsi="Times New Roman" w:cs="Times New Roman"/>
          <w:sz w:val="24"/>
          <w:szCs w:val="24"/>
        </w:rPr>
        <w:t>on</w:t>
      </w:r>
      <w:r w:rsidR="00D126A2" w:rsidRPr="00C32D58">
        <w:rPr>
          <w:rFonts w:ascii="Times New Roman" w:hAnsi="Times New Roman" w:cs="Times New Roman"/>
          <w:sz w:val="24"/>
          <w:szCs w:val="24"/>
        </w:rPr>
        <w:t xml:space="preserve"> their own </w:t>
      </w:r>
      <w:r w:rsidR="00FD029E" w:rsidRPr="00C32D58">
        <w:rPr>
          <w:rFonts w:ascii="Times New Roman" w:hAnsi="Times New Roman" w:cs="Times New Roman"/>
          <w:sz w:val="24"/>
          <w:szCs w:val="24"/>
        </w:rPr>
        <w:t xml:space="preserve">terms and </w:t>
      </w:r>
      <w:r w:rsidR="00D126A2" w:rsidRPr="00C32D58">
        <w:rPr>
          <w:rFonts w:ascii="Times New Roman" w:hAnsi="Times New Roman" w:cs="Times New Roman"/>
          <w:sz w:val="24"/>
          <w:szCs w:val="24"/>
        </w:rPr>
        <w:t>time</w:t>
      </w:r>
      <w:r w:rsidR="00FD029E" w:rsidRPr="00C32D58">
        <w:rPr>
          <w:rFonts w:ascii="Times New Roman" w:hAnsi="Times New Roman" w:cs="Times New Roman"/>
          <w:sz w:val="24"/>
          <w:szCs w:val="24"/>
        </w:rPr>
        <w:t>.</w:t>
      </w:r>
      <w:r w:rsidR="00D126A2" w:rsidRPr="00C32D58">
        <w:rPr>
          <w:rFonts w:ascii="Times New Roman" w:hAnsi="Times New Roman" w:cs="Times New Roman"/>
          <w:sz w:val="24"/>
          <w:szCs w:val="24"/>
        </w:rPr>
        <w:t xml:space="preserve"> </w:t>
      </w:r>
      <w:r w:rsidR="0008721B" w:rsidRPr="00C32D58">
        <w:rPr>
          <w:rFonts w:ascii="Times New Roman" w:hAnsi="Times New Roman" w:cs="Times New Roman"/>
          <w:sz w:val="24"/>
          <w:szCs w:val="24"/>
        </w:rPr>
        <w:t xml:space="preserve">People providing their services on the platform are described as embodying an </w:t>
      </w:r>
      <w:r w:rsidR="0008721B" w:rsidRPr="00C32D58">
        <w:rPr>
          <w:rFonts w:ascii="Times New Roman" w:hAnsi="Times New Roman" w:cs="Times New Roman"/>
          <w:sz w:val="24"/>
          <w:szCs w:val="24"/>
          <w:lang w:bidi="he-IL"/>
        </w:rPr>
        <w:t>entrepreneurial spirit.</w:t>
      </w:r>
      <w:r w:rsidR="0008721B" w:rsidRPr="00C32D58">
        <w:rPr>
          <w:rStyle w:val="FootnoteReference"/>
          <w:rFonts w:ascii="Times New Roman" w:hAnsi="Times New Roman" w:cs="Times New Roman"/>
          <w:sz w:val="24"/>
          <w:szCs w:val="24"/>
        </w:rPr>
        <w:footnoteReference w:id="29"/>
      </w:r>
      <w:r w:rsidR="0008721B" w:rsidRPr="00C32D58">
        <w:rPr>
          <w:rFonts w:ascii="Times New Roman" w:hAnsi="Times New Roman" w:cs="Times New Roman"/>
          <w:sz w:val="24"/>
          <w:szCs w:val="24"/>
        </w:rPr>
        <w:t xml:space="preserve"> </w:t>
      </w:r>
      <w:r w:rsidR="00E42ECC" w:rsidRPr="00C32D58">
        <w:rPr>
          <w:rFonts w:ascii="Times New Roman" w:hAnsi="Times New Roman" w:cs="Times New Roman"/>
          <w:sz w:val="24"/>
          <w:szCs w:val="24"/>
        </w:rPr>
        <w:t xml:space="preserve">These qualities </w:t>
      </w:r>
      <w:r w:rsidR="0026593D" w:rsidRPr="00C32D58">
        <w:rPr>
          <w:rFonts w:ascii="Times New Roman" w:hAnsi="Times New Roman" w:cs="Times New Roman"/>
          <w:sz w:val="24"/>
          <w:szCs w:val="24"/>
        </w:rPr>
        <w:t xml:space="preserve">are often associated with classifying the worker as an </w:t>
      </w:r>
      <w:r w:rsidR="000A2BAD" w:rsidRPr="00C32D58">
        <w:rPr>
          <w:rFonts w:ascii="Times New Roman" w:hAnsi="Times New Roman" w:cs="Times New Roman"/>
          <w:sz w:val="24"/>
          <w:szCs w:val="24"/>
        </w:rPr>
        <w:t>“</w:t>
      </w:r>
      <w:r w:rsidR="0026593D" w:rsidRPr="00C32D58">
        <w:rPr>
          <w:rFonts w:ascii="Times New Roman" w:hAnsi="Times New Roman" w:cs="Times New Roman"/>
          <w:sz w:val="24"/>
          <w:szCs w:val="24"/>
        </w:rPr>
        <w:t>independ</w:t>
      </w:r>
      <w:r w:rsidR="001140D5" w:rsidRPr="00C32D58">
        <w:rPr>
          <w:rFonts w:ascii="Times New Roman" w:hAnsi="Times New Roman" w:cs="Times New Roman"/>
          <w:sz w:val="24"/>
          <w:szCs w:val="24"/>
        </w:rPr>
        <w:t>ent contractor</w:t>
      </w:r>
      <w:r w:rsidR="000A2BAD" w:rsidRPr="00C32D58">
        <w:rPr>
          <w:rFonts w:ascii="Times New Roman" w:hAnsi="Times New Roman" w:cs="Times New Roman"/>
          <w:sz w:val="24"/>
          <w:szCs w:val="24"/>
        </w:rPr>
        <w:t>”</w:t>
      </w:r>
      <w:r w:rsidR="001140D5" w:rsidRPr="00C32D58">
        <w:rPr>
          <w:rFonts w:ascii="Times New Roman" w:hAnsi="Times New Roman" w:cs="Times New Roman"/>
          <w:sz w:val="24"/>
          <w:szCs w:val="24"/>
        </w:rPr>
        <w:t xml:space="preserve"> as opposed to the more </w:t>
      </w:r>
      <w:r w:rsidR="00AC2812" w:rsidRPr="00C32D58">
        <w:rPr>
          <w:rFonts w:ascii="Times New Roman" w:hAnsi="Times New Roman" w:cs="Times New Roman"/>
          <w:sz w:val="24"/>
          <w:szCs w:val="24"/>
        </w:rPr>
        <w:t xml:space="preserve">protected classification of </w:t>
      </w:r>
      <w:r w:rsidR="000A2BAD" w:rsidRPr="00C32D58">
        <w:rPr>
          <w:rFonts w:ascii="Times New Roman" w:hAnsi="Times New Roman" w:cs="Times New Roman"/>
          <w:sz w:val="24"/>
          <w:szCs w:val="24"/>
        </w:rPr>
        <w:t>“</w:t>
      </w:r>
      <w:r w:rsidR="0026593D" w:rsidRPr="00C32D58">
        <w:rPr>
          <w:rFonts w:ascii="Times New Roman" w:hAnsi="Times New Roman" w:cs="Times New Roman"/>
          <w:sz w:val="24"/>
          <w:szCs w:val="24"/>
        </w:rPr>
        <w:t>employee.</w:t>
      </w:r>
      <w:r w:rsidR="000A2BAD" w:rsidRPr="00C32D58">
        <w:rPr>
          <w:rFonts w:ascii="Times New Roman" w:hAnsi="Times New Roman" w:cs="Times New Roman"/>
          <w:sz w:val="24"/>
          <w:szCs w:val="24"/>
        </w:rPr>
        <w:t>”</w:t>
      </w:r>
      <w:r w:rsidR="0026593D" w:rsidRPr="00C32D58">
        <w:rPr>
          <w:rStyle w:val="FootnoteReference"/>
          <w:rFonts w:ascii="Times New Roman" w:hAnsi="Times New Roman" w:cs="Times New Roman"/>
          <w:sz w:val="24"/>
          <w:szCs w:val="24"/>
        </w:rPr>
        <w:footnoteReference w:id="30"/>
      </w:r>
      <w:r w:rsidR="002A5F5E" w:rsidRPr="00C32D58">
        <w:rPr>
          <w:rFonts w:ascii="Times New Roman" w:hAnsi="Times New Roman" w:cs="Times New Roman"/>
          <w:sz w:val="24"/>
          <w:szCs w:val="24"/>
        </w:rPr>
        <w:t xml:space="preserve"> </w:t>
      </w:r>
      <w:r w:rsidR="002028DE" w:rsidRPr="00C32D58">
        <w:rPr>
          <w:rFonts w:ascii="Times New Roman" w:hAnsi="Times New Roman" w:cs="Times New Roman"/>
          <w:sz w:val="24"/>
          <w:szCs w:val="24"/>
        </w:rPr>
        <w:t xml:space="preserve">Others critique the gig economy as bringing vast insecurity to the job market, </w:t>
      </w:r>
      <w:r w:rsidR="00DF344A" w:rsidRPr="00C32D58">
        <w:rPr>
          <w:rFonts w:ascii="Times New Roman" w:hAnsi="Times New Roman" w:cs="Times New Roman"/>
          <w:sz w:val="24"/>
          <w:szCs w:val="24"/>
        </w:rPr>
        <w:t xml:space="preserve">thereby </w:t>
      </w:r>
      <w:r w:rsidR="002028DE" w:rsidRPr="00C32D58">
        <w:rPr>
          <w:rFonts w:ascii="Times New Roman" w:hAnsi="Times New Roman" w:cs="Times New Roman"/>
          <w:sz w:val="24"/>
          <w:szCs w:val="24"/>
        </w:rPr>
        <w:t xml:space="preserve">eroding the web of </w:t>
      </w:r>
      <w:r w:rsidR="008C02B2" w:rsidRPr="00C32D58">
        <w:rPr>
          <w:rFonts w:ascii="Times New Roman" w:hAnsi="Times New Roman" w:cs="Times New Roman"/>
          <w:sz w:val="24"/>
          <w:szCs w:val="24"/>
        </w:rPr>
        <w:t xml:space="preserve">twentieth century </w:t>
      </w:r>
      <w:r w:rsidR="002028DE" w:rsidRPr="00C32D58">
        <w:rPr>
          <w:rFonts w:ascii="Times New Roman" w:hAnsi="Times New Roman" w:cs="Times New Roman"/>
          <w:sz w:val="24"/>
          <w:szCs w:val="24"/>
        </w:rPr>
        <w:t>employment and labor law.</w:t>
      </w:r>
      <w:r w:rsidR="002028DE" w:rsidRPr="00C32D58">
        <w:rPr>
          <w:rStyle w:val="FootnoteReference"/>
          <w:rFonts w:ascii="Times New Roman" w:eastAsia="Calibri" w:hAnsi="Times New Roman" w:cs="Times New Roman"/>
          <w:sz w:val="24"/>
          <w:szCs w:val="24"/>
        </w:rPr>
        <w:footnoteReference w:id="31"/>
      </w:r>
      <w:r w:rsidR="00247E2A" w:rsidRPr="00C32D58">
        <w:rPr>
          <w:rFonts w:ascii="Times New Roman" w:hAnsi="Times New Roman" w:cs="Times New Roman"/>
          <w:sz w:val="24"/>
          <w:szCs w:val="24"/>
        </w:rPr>
        <w:t xml:space="preserve"> Thus, the effort to classify </w:t>
      </w:r>
      <w:r w:rsidR="00F57D32" w:rsidRPr="00C32D58">
        <w:rPr>
          <w:rFonts w:ascii="Times New Roman" w:hAnsi="Times New Roman" w:cs="Times New Roman"/>
          <w:sz w:val="24"/>
          <w:szCs w:val="24"/>
        </w:rPr>
        <w:t xml:space="preserve">platform </w:t>
      </w:r>
      <w:r w:rsidR="00247E2A" w:rsidRPr="00C32D58">
        <w:rPr>
          <w:rFonts w:ascii="Times New Roman" w:hAnsi="Times New Roman" w:cs="Times New Roman"/>
          <w:sz w:val="24"/>
          <w:szCs w:val="24"/>
        </w:rPr>
        <w:t>work</w:t>
      </w:r>
      <w:r w:rsidR="00F57D32" w:rsidRPr="00C32D58">
        <w:rPr>
          <w:rFonts w:ascii="Times New Roman" w:hAnsi="Times New Roman" w:cs="Times New Roman"/>
          <w:sz w:val="24"/>
          <w:szCs w:val="24"/>
        </w:rPr>
        <w:t>ers</w:t>
      </w:r>
      <w:r w:rsidR="00247E2A" w:rsidRPr="00C32D58">
        <w:rPr>
          <w:rFonts w:ascii="Times New Roman" w:hAnsi="Times New Roman" w:cs="Times New Roman"/>
          <w:sz w:val="24"/>
          <w:szCs w:val="24"/>
        </w:rPr>
        <w:t xml:space="preserve"> as either employ</w:t>
      </w:r>
      <w:r w:rsidR="00F57D32" w:rsidRPr="00C32D58">
        <w:rPr>
          <w:rFonts w:ascii="Times New Roman" w:hAnsi="Times New Roman" w:cs="Times New Roman"/>
          <w:sz w:val="24"/>
          <w:szCs w:val="24"/>
        </w:rPr>
        <w:t>ees</w:t>
      </w:r>
      <w:r w:rsidR="00247E2A" w:rsidRPr="00C32D58">
        <w:rPr>
          <w:rFonts w:ascii="Times New Roman" w:hAnsi="Times New Roman" w:cs="Times New Roman"/>
          <w:sz w:val="24"/>
          <w:szCs w:val="24"/>
        </w:rPr>
        <w:t xml:space="preserve"> or independent contrac</w:t>
      </w:r>
      <w:r w:rsidR="00F57D32" w:rsidRPr="00C32D58">
        <w:rPr>
          <w:rFonts w:ascii="Times New Roman" w:hAnsi="Times New Roman" w:cs="Times New Roman"/>
          <w:sz w:val="24"/>
          <w:szCs w:val="24"/>
        </w:rPr>
        <w:t>tors</w:t>
      </w:r>
      <w:r w:rsidR="00247E2A" w:rsidRPr="00C32D58">
        <w:rPr>
          <w:rFonts w:ascii="Times New Roman" w:hAnsi="Times New Roman" w:cs="Times New Roman"/>
          <w:sz w:val="24"/>
          <w:szCs w:val="24"/>
        </w:rPr>
        <w:t xml:space="preserve"> is heated and fraught with clashing normative understandings of the </w:t>
      </w:r>
      <w:r w:rsidR="001C5563" w:rsidRPr="00C32D58">
        <w:rPr>
          <w:rFonts w:ascii="Times New Roman" w:hAnsi="Times New Roman" w:cs="Times New Roman"/>
          <w:sz w:val="24"/>
          <w:szCs w:val="24"/>
        </w:rPr>
        <w:t xml:space="preserve">relevant </w:t>
      </w:r>
      <w:r w:rsidR="00247E2A" w:rsidRPr="00C32D58">
        <w:rPr>
          <w:rFonts w:ascii="Times New Roman" w:hAnsi="Times New Roman" w:cs="Times New Roman"/>
          <w:sz w:val="24"/>
          <w:szCs w:val="24"/>
        </w:rPr>
        <w:t xml:space="preserve">regulatory goals. </w:t>
      </w:r>
      <w:r w:rsidR="009956B6" w:rsidRPr="00C32D58">
        <w:rPr>
          <w:rFonts w:ascii="Times New Roman" w:hAnsi="Times New Roman" w:cs="Times New Roman"/>
          <w:sz w:val="24"/>
          <w:szCs w:val="24"/>
          <w:shd w:val="clear" w:color="auto" w:fill="FFFFFF"/>
        </w:rPr>
        <w:t xml:space="preserve">In my recent article, </w:t>
      </w:r>
      <w:r w:rsidR="009956B6" w:rsidRPr="00C32D58">
        <w:rPr>
          <w:rFonts w:ascii="Times New Roman" w:hAnsi="Times New Roman" w:cs="Times New Roman"/>
          <w:i/>
          <w:sz w:val="24"/>
          <w:szCs w:val="24"/>
          <w:shd w:val="clear" w:color="auto" w:fill="FFFFFF"/>
        </w:rPr>
        <w:t>The Gig Economy and the Future of Employment and Labor Law</w:t>
      </w:r>
      <w:r w:rsidR="009956B6" w:rsidRPr="00C32D58">
        <w:rPr>
          <w:rFonts w:ascii="Times New Roman" w:hAnsi="Times New Roman" w:cs="Times New Roman"/>
          <w:sz w:val="24"/>
          <w:szCs w:val="24"/>
          <w:shd w:val="clear" w:color="auto" w:fill="FFFFFF"/>
        </w:rPr>
        <w:t>, I proposed four paths for reform: 1) clarify and simplify the notoriously malleable</w:t>
      </w:r>
      <w:r w:rsidR="000A5283" w:rsidRPr="00C32D58">
        <w:rPr>
          <w:rFonts w:ascii="Times New Roman" w:hAnsi="Times New Roman" w:cs="Times New Roman"/>
          <w:sz w:val="24"/>
          <w:szCs w:val="24"/>
          <w:shd w:val="clear" w:color="auto" w:fill="FFFFFF"/>
        </w:rPr>
        <w:t xml:space="preserve"> “employee”</w:t>
      </w:r>
      <w:r w:rsidR="009956B6" w:rsidRPr="00C32D58">
        <w:rPr>
          <w:rFonts w:ascii="Times New Roman" w:hAnsi="Times New Roman" w:cs="Times New Roman"/>
          <w:sz w:val="24"/>
          <w:szCs w:val="24"/>
          <w:shd w:val="clear" w:color="auto" w:fill="FFFFFF"/>
        </w:rPr>
        <w:t xml:space="preserve"> classification doctrine; 2) expand certain employment protections to all workers, regardless of classification, or in other words: altogether reject </w:t>
      </w:r>
      <w:r w:rsidR="000A5283" w:rsidRPr="00C32D58">
        <w:rPr>
          <w:rFonts w:ascii="Times New Roman" w:hAnsi="Times New Roman" w:cs="Times New Roman"/>
          <w:sz w:val="24"/>
          <w:szCs w:val="24"/>
          <w:shd w:val="clear" w:color="auto" w:fill="FFFFFF"/>
        </w:rPr>
        <w:t xml:space="preserve">worker </w:t>
      </w:r>
      <w:r w:rsidR="009956B6" w:rsidRPr="00C32D58">
        <w:rPr>
          <w:rFonts w:ascii="Times New Roman" w:hAnsi="Times New Roman" w:cs="Times New Roman"/>
          <w:sz w:val="24"/>
          <w:szCs w:val="24"/>
          <w:shd w:val="clear" w:color="auto" w:fill="FFFFFF"/>
        </w:rPr>
        <w:t xml:space="preserve">classification; 3) create special rules for intermediate categories; </w:t>
      </w:r>
      <w:r w:rsidR="001C5563" w:rsidRPr="00C32D58">
        <w:rPr>
          <w:rFonts w:ascii="Times New Roman" w:hAnsi="Times New Roman" w:cs="Times New Roman"/>
          <w:sz w:val="24"/>
          <w:szCs w:val="24"/>
          <w:shd w:val="clear" w:color="auto" w:fill="FFFFFF"/>
        </w:rPr>
        <w:t xml:space="preserve">and </w:t>
      </w:r>
      <w:r w:rsidR="009956B6" w:rsidRPr="00C32D58">
        <w:rPr>
          <w:rFonts w:ascii="Times New Roman" w:hAnsi="Times New Roman" w:cs="Times New Roman"/>
          <w:sz w:val="24"/>
          <w:szCs w:val="24"/>
          <w:shd w:val="clear" w:color="auto" w:fill="FFFFFF"/>
        </w:rPr>
        <w:t>4) disassociate certain social protections</w:t>
      </w:r>
      <w:r w:rsidR="000A5283" w:rsidRPr="00C32D58">
        <w:rPr>
          <w:rFonts w:ascii="Times New Roman" w:hAnsi="Times New Roman" w:cs="Times New Roman"/>
          <w:sz w:val="24"/>
          <w:szCs w:val="24"/>
          <w:shd w:val="clear" w:color="auto" w:fill="FFFFFF"/>
        </w:rPr>
        <w:t>, such as health care and retirement security,</w:t>
      </w:r>
      <w:r w:rsidR="009956B6" w:rsidRPr="00C32D58">
        <w:rPr>
          <w:rFonts w:ascii="Times New Roman" w:hAnsi="Times New Roman" w:cs="Times New Roman"/>
          <w:sz w:val="24"/>
          <w:szCs w:val="24"/>
          <w:shd w:val="clear" w:color="auto" w:fill="FFFFFF"/>
        </w:rPr>
        <w:t xml:space="preserve"> from work.</w:t>
      </w:r>
      <w:r w:rsidR="000A5283" w:rsidRPr="00C32D58">
        <w:rPr>
          <w:rStyle w:val="FootnoteReference"/>
          <w:rFonts w:ascii="Times New Roman" w:hAnsi="Times New Roman" w:cs="Times New Roman"/>
          <w:sz w:val="24"/>
          <w:szCs w:val="24"/>
          <w:shd w:val="clear" w:color="auto" w:fill="FFFFFF"/>
        </w:rPr>
        <w:footnoteReference w:id="32"/>
      </w:r>
    </w:p>
    <w:p w14:paraId="0B83BC0F" w14:textId="77777777" w:rsidR="000F59F3" w:rsidRPr="00C32D58" w:rsidRDefault="000F59F3" w:rsidP="00C32D58">
      <w:pPr>
        <w:spacing w:after="0" w:line="240" w:lineRule="auto"/>
        <w:ind w:firstLine="720"/>
        <w:jc w:val="both"/>
        <w:rPr>
          <w:rFonts w:ascii="Times New Roman" w:hAnsi="Times New Roman" w:cs="Times New Roman"/>
          <w:sz w:val="24"/>
          <w:szCs w:val="24"/>
        </w:rPr>
      </w:pPr>
    </w:p>
    <w:p w14:paraId="41342B46" w14:textId="585D2273" w:rsidR="00213B60" w:rsidRPr="00C32D58" w:rsidRDefault="000A5283" w:rsidP="00C32D58">
      <w:pPr>
        <w:spacing w:after="0" w:line="240" w:lineRule="auto"/>
        <w:ind w:firstLine="720"/>
        <w:jc w:val="both"/>
        <w:rPr>
          <w:rFonts w:ascii="Times New Roman" w:eastAsia="Times New Roman" w:hAnsi="Times New Roman" w:cs="Times New Roman"/>
          <w:sz w:val="24"/>
          <w:szCs w:val="24"/>
        </w:rPr>
      </w:pPr>
      <w:r w:rsidRPr="00C32D58">
        <w:rPr>
          <w:rFonts w:ascii="Times New Roman" w:hAnsi="Times New Roman" w:cs="Times New Roman"/>
          <w:sz w:val="24"/>
          <w:szCs w:val="24"/>
        </w:rPr>
        <w:t>On the employee classification front, platform markets expose</w:t>
      </w:r>
      <w:r w:rsidR="00247E2A" w:rsidRPr="00C32D58">
        <w:rPr>
          <w:rFonts w:ascii="Times New Roman" w:hAnsi="Times New Roman" w:cs="Times New Roman"/>
          <w:sz w:val="24"/>
          <w:szCs w:val="24"/>
        </w:rPr>
        <w:t xml:space="preserve"> the </w:t>
      </w:r>
      <w:r w:rsidR="001C5563" w:rsidRPr="00C32D58">
        <w:rPr>
          <w:rFonts w:ascii="Times New Roman" w:hAnsi="Times New Roman" w:cs="Times New Roman"/>
          <w:sz w:val="24"/>
          <w:szCs w:val="24"/>
        </w:rPr>
        <w:t xml:space="preserve">limitations </w:t>
      </w:r>
      <w:r w:rsidR="00247E2A" w:rsidRPr="00C32D58">
        <w:rPr>
          <w:rFonts w:ascii="Times New Roman" w:hAnsi="Times New Roman" w:cs="Times New Roman"/>
          <w:sz w:val="24"/>
          <w:szCs w:val="24"/>
        </w:rPr>
        <w:t>of century long lines that separated the two classes</w:t>
      </w:r>
      <w:r w:rsidRPr="00C32D58">
        <w:rPr>
          <w:rFonts w:ascii="Times New Roman" w:hAnsi="Times New Roman" w:cs="Times New Roman"/>
          <w:sz w:val="24"/>
          <w:szCs w:val="24"/>
        </w:rPr>
        <w:t>: employees and independent contractor</w:t>
      </w:r>
      <w:r w:rsidR="007A76A7" w:rsidRPr="00C32D58">
        <w:rPr>
          <w:rFonts w:ascii="Times New Roman" w:hAnsi="Times New Roman" w:cs="Times New Roman"/>
          <w:sz w:val="24"/>
          <w:szCs w:val="24"/>
        </w:rPr>
        <w:t>s</w:t>
      </w:r>
      <w:r w:rsidR="00247E2A" w:rsidRPr="00C32D58">
        <w:rPr>
          <w:rFonts w:ascii="Times New Roman" w:hAnsi="Times New Roman" w:cs="Times New Roman"/>
          <w:sz w:val="24"/>
          <w:szCs w:val="24"/>
        </w:rPr>
        <w:t xml:space="preserve">. </w:t>
      </w:r>
      <w:r w:rsidR="00B71815" w:rsidRPr="00C32D58">
        <w:rPr>
          <w:rFonts w:ascii="Times New Roman" w:hAnsi="Times New Roman" w:cs="Times New Roman"/>
          <w:sz w:val="24"/>
          <w:szCs w:val="24"/>
        </w:rPr>
        <w:t>As</w:t>
      </w:r>
      <w:r w:rsidR="00D126A2" w:rsidRPr="00C32D58">
        <w:rPr>
          <w:rFonts w:ascii="Times New Roman" w:hAnsi="Times New Roman" w:cs="Times New Roman"/>
          <w:sz w:val="24"/>
          <w:szCs w:val="24"/>
        </w:rPr>
        <w:t xml:space="preserve"> </w:t>
      </w:r>
      <w:r w:rsidR="00B71815" w:rsidRPr="00C32D58">
        <w:rPr>
          <w:rFonts w:ascii="Times New Roman" w:eastAsia="Times New Roman" w:hAnsi="Times New Roman" w:cs="Times New Roman"/>
          <w:sz w:val="24"/>
          <w:szCs w:val="24"/>
        </w:rPr>
        <w:t>Judge Chhabria</w:t>
      </w:r>
      <w:r w:rsidR="001C5563" w:rsidRPr="00C32D58">
        <w:rPr>
          <w:rFonts w:ascii="Times New Roman" w:eastAsia="Times New Roman" w:hAnsi="Times New Roman" w:cs="Times New Roman"/>
          <w:sz w:val="24"/>
          <w:szCs w:val="24"/>
        </w:rPr>
        <w:t>,</w:t>
      </w:r>
      <w:r w:rsidR="00B71815" w:rsidRPr="00C32D58">
        <w:rPr>
          <w:rFonts w:ascii="Times New Roman" w:eastAsia="Times New Roman" w:hAnsi="Times New Roman" w:cs="Times New Roman"/>
          <w:sz w:val="24"/>
          <w:szCs w:val="24"/>
        </w:rPr>
        <w:t xml:space="preserve"> considering the class action against Lyft regarding the classification of its drivers suggested, </w:t>
      </w:r>
      <w:r w:rsidRPr="00C32D58">
        <w:rPr>
          <w:rFonts w:ascii="Times New Roman" w:eastAsia="Times New Roman" w:hAnsi="Times New Roman" w:cs="Times New Roman"/>
          <w:sz w:val="24"/>
          <w:szCs w:val="24"/>
        </w:rPr>
        <w:t xml:space="preserve">the </w:t>
      </w:r>
      <w:r w:rsidR="00B71815" w:rsidRPr="00C32D58">
        <w:rPr>
          <w:rFonts w:ascii="Times New Roman" w:hAnsi="Times New Roman" w:cs="Times New Roman"/>
          <w:sz w:val="24"/>
          <w:szCs w:val="24"/>
        </w:rPr>
        <w:t>twentieth</w:t>
      </w:r>
      <w:r w:rsidR="001C5563" w:rsidRPr="00C32D58">
        <w:rPr>
          <w:rFonts w:ascii="Times New Roman" w:hAnsi="Times New Roman" w:cs="Times New Roman"/>
          <w:sz w:val="24"/>
          <w:szCs w:val="24"/>
        </w:rPr>
        <w:t>-</w:t>
      </w:r>
      <w:r w:rsidR="00B71815" w:rsidRPr="00C32D58">
        <w:rPr>
          <w:rFonts w:ascii="Times New Roman" w:hAnsi="Times New Roman" w:cs="Times New Roman"/>
          <w:sz w:val="24"/>
          <w:szCs w:val="24"/>
        </w:rPr>
        <w:t>century test to classify workers may not be appropriate to address twenty-first century issues.</w:t>
      </w:r>
      <w:r w:rsidR="00B71815" w:rsidRPr="00C32D58">
        <w:rPr>
          <w:rStyle w:val="FootnoteReference"/>
          <w:rFonts w:ascii="Times New Roman" w:hAnsi="Times New Roman" w:cs="Times New Roman"/>
          <w:sz w:val="24"/>
          <w:szCs w:val="24"/>
        </w:rPr>
        <w:footnoteReference w:id="33"/>
      </w:r>
      <w:r w:rsidRPr="00C32D58">
        <w:rPr>
          <w:rFonts w:ascii="Times New Roman" w:hAnsi="Times New Roman" w:cs="Times New Roman"/>
          <w:sz w:val="24"/>
          <w:szCs w:val="24"/>
        </w:rPr>
        <w:t xml:space="preserve"> Ironically, the test has never been without problems. It has occupied</w:t>
      </w:r>
      <w:r w:rsidR="00A256CB" w:rsidRPr="00C32D58">
        <w:rPr>
          <w:rFonts w:ascii="Times New Roman" w:hAnsi="Times New Roman" w:cs="Times New Roman"/>
          <w:sz w:val="24"/>
          <w:szCs w:val="24"/>
        </w:rPr>
        <w:t xml:space="preserve"> courts for over a century and the lines separating independent contractors and employees have continued to be blurry. More than that, drawing those lines </w:t>
      </w:r>
      <w:r w:rsidR="001C5563" w:rsidRPr="00C32D58">
        <w:rPr>
          <w:rFonts w:ascii="Times New Roman" w:hAnsi="Times New Roman" w:cs="Times New Roman"/>
          <w:sz w:val="24"/>
          <w:szCs w:val="24"/>
        </w:rPr>
        <w:t xml:space="preserve">has </w:t>
      </w:r>
      <w:r w:rsidR="00A256CB" w:rsidRPr="00C32D58">
        <w:rPr>
          <w:rFonts w:ascii="Times New Roman" w:hAnsi="Times New Roman" w:cs="Times New Roman"/>
          <w:sz w:val="24"/>
          <w:szCs w:val="24"/>
        </w:rPr>
        <w:t xml:space="preserve">only made sense for some regulatory </w:t>
      </w:r>
      <w:r w:rsidR="00A256CB" w:rsidRPr="00C32D58">
        <w:rPr>
          <w:rFonts w:ascii="Times New Roman" w:hAnsi="Times New Roman" w:cs="Times New Roman"/>
          <w:sz w:val="24"/>
          <w:szCs w:val="24"/>
        </w:rPr>
        <w:lastRenderedPageBreak/>
        <w:t xml:space="preserve">protections, for example overtime and leave laws but not for others, such as discrimination and whistleblowing laws. </w:t>
      </w:r>
      <w:r w:rsidR="00560ECF" w:rsidRPr="00C32D58">
        <w:rPr>
          <w:rFonts w:ascii="Times New Roman" w:hAnsi="Times New Roman" w:cs="Times New Roman"/>
          <w:i/>
          <w:sz w:val="24"/>
          <w:szCs w:val="24"/>
        </w:rPr>
        <w:t>O’Connor v. Uber Techs., Inc.</w:t>
      </w:r>
      <w:r w:rsidR="00560ECF" w:rsidRPr="00C32D58">
        <w:rPr>
          <w:rFonts w:ascii="Times New Roman" w:hAnsi="Times New Roman" w:cs="Times New Roman"/>
          <w:sz w:val="24"/>
          <w:szCs w:val="24"/>
        </w:rPr>
        <w:t>, a class action in California, contested Uber’s classification of workers as independent contractors rather than employees.</w:t>
      </w:r>
      <w:r w:rsidR="00560ECF" w:rsidRPr="00C32D58">
        <w:rPr>
          <w:rStyle w:val="FootnoteReference"/>
          <w:rFonts w:ascii="Times New Roman" w:hAnsi="Times New Roman" w:cs="Times New Roman"/>
          <w:bCs/>
          <w:sz w:val="24"/>
          <w:szCs w:val="24"/>
        </w:rPr>
        <w:footnoteReference w:id="34"/>
      </w:r>
      <w:r w:rsidR="00560ECF" w:rsidRPr="00C32D58">
        <w:rPr>
          <w:rFonts w:ascii="Times New Roman" w:hAnsi="Times New Roman" w:cs="Times New Roman"/>
          <w:sz w:val="24"/>
          <w:szCs w:val="24"/>
        </w:rPr>
        <w:t xml:space="preserve"> </w:t>
      </w:r>
      <w:r w:rsidR="00A256CB" w:rsidRPr="00C32D58">
        <w:rPr>
          <w:rFonts w:ascii="Times New Roman" w:hAnsi="Times New Roman" w:cs="Times New Roman"/>
          <w:sz w:val="24"/>
          <w:szCs w:val="24"/>
        </w:rPr>
        <w:t>Unsurprisingly, given the difficulty of a</w:t>
      </w:r>
      <w:r w:rsidR="00561A7B" w:rsidRPr="00C32D58">
        <w:rPr>
          <w:rFonts w:ascii="Times New Roman" w:hAnsi="Times New Roman" w:cs="Times New Roman"/>
          <w:sz w:val="24"/>
          <w:szCs w:val="24"/>
        </w:rPr>
        <w:t>pplying the age-old common law multifactor employee classification test, t</w:t>
      </w:r>
      <w:r w:rsidR="00560ECF" w:rsidRPr="00C32D58">
        <w:rPr>
          <w:rFonts w:ascii="Times New Roman" w:hAnsi="Times New Roman" w:cs="Times New Roman"/>
          <w:sz w:val="24"/>
          <w:szCs w:val="24"/>
        </w:rPr>
        <w:t xml:space="preserve">he court found there </w:t>
      </w:r>
      <w:r w:rsidR="00747F3F" w:rsidRPr="00C32D58">
        <w:rPr>
          <w:rFonts w:ascii="Times New Roman" w:hAnsi="Times New Roman" w:cs="Times New Roman"/>
          <w:sz w:val="24"/>
          <w:szCs w:val="24"/>
        </w:rPr>
        <w:t xml:space="preserve">was </w:t>
      </w:r>
      <w:r w:rsidR="00F05420" w:rsidRPr="00C32D58">
        <w:rPr>
          <w:rFonts w:ascii="Times New Roman" w:hAnsi="Times New Roman" w:cs="Times New Roman"/>
          <w:sz w:val="24"/>
          <w:szCs w:val="24"/>
        </w:rPr>
        <w:t xml:space="preserve">ample </w:t>
      </w:r>
      <w:r w:rsidR="00560ECF" w:rsidRPr="00C32D58">
        <w:rPr>
          <w:rFonts w:ascii="Times New Roman" w:hAnsi="Times New Roman" w:cs="Times New Roman"/>
          <w:sz w:val="24"/>
          <w:szCs w:val="24"/>
        </w:rPr>
        <w:t>evidence supporting both sides of the argument.</w:t>
      </w:r>
      <w:r w:rsidR="007C0A8D" w:rsidRPr="00C32D58">
        <w:rPr>
          <w:rStyle w:val="FootnoteReference"/>
          <w:rFonts w:ascii="Times New Roman" w:hAnsi="Times New Roman" w:cs="Times New Roman"/>
          <w:bCs/>
          <w:sz w:val="24"/>
          <w:szCs w:val="24"/>
        </w:rPr>
        <w:footnoteReference w:id="35"/>
      </w:r>
      <w:r w:rsidR="00560ECF" w:rsidRPr="00C32D58">
        <w:rPr>
          <w:rFonts w:ascii="Times New Roman" w:hAnsi="Times New Roman" w:cs="Times New Roman"/>
          <w:sz w:val="24"/>
          <w:szCs w:val="24"/>
        </w:rPr>
        <w:t xml:space="preserve"> Factors </w:t>
      </w:r>
      <w:r w:rsidR="00DE2CAD" w:rsidRPr="00C32D58">
        <w:rPr>
          <w:rFonts w:ascii="Times New Roman" w:hAnsi="Times New Roman" w:cs="Times New Roman"/>
          <w:sz w:val="24"/>
          <w:szCs w:val="24"/>
        </w:rPr>
        <w:t xml:space="preserve">such as </w:t>
      </w:r>
      <w:r w:rsidR="00E17B1F" w:rsidRPr="00C32D58">
        <w:rPr>
          <w:rFonts w:ascii="Times New Roman" w:hAnsi="Times New Roman" w:cs="Times New Roman"/>
          <w:sz w:val="24"/>
          <w:szCs w:val="24"/>
        </w:rPr>
        <w:t xml:space="preserve">classifying </w:t>
      </w:r>
      <w:r w:rsidR="00560ECF" w:rsidRPr="00C32D58">
        <w:rPr>
          <w:rFonts w:ascii="Times New Roman" w:hAnsi="Times New Roman" w:cs="Times New Roman"/>
          <w:sz w:val="24"/>
          <w:szCs w:val="24"/>
        </w:rPr>
        <w:t xml:space="preserve">driving </w:t>
      </w:r>
      <w:r w:rsidR="00E17B1F" w:rsidRPr="00C32D58">
        <w:rPr>
          <w:rFonts w:ascii="Times New Roman" w:hAnsi="Times New Roman" w:cs="Times New Roman"/>
          <w:sz w:val="24"/>
          <w:szCs w:val="24"/>
        </w:rPr>
        <w:t>as</w:t>
      </w:r>
      <w:r w:rsidR="00560ECF" w:rsidRPr="00C32D58">
        <w:rPr>
          <w:rFonts w:ascii="Times New Roman" w:hAnsi="Times New Roman" w:cs="Times New Roman"/>
          <w:sz w:val="24"/>
          <w:szCs w:val="24"/>
        </w:rPr>
        <w:t xml:space="preserve"> an occupation </w:t>
      </w:r>
      <w:r w:rsidR="00B63FE8" w:rsidRPr="00C32D58">
        <w:rPr>
          <w:rFonts w:ascii="Times New Roman" w:hAnsi="Times New Roman" w:cs="Times New Roman"/>
          <w:sz w:val="24"/>
          <w:szCs w:val="24"/>
        </w:rPr>
        <w:t xml:space="preserve">that </w:t>
      </w:r>
      <w:r w:rsidR="00560ECF" w:rsidRPr="00C32D58">
        <w:rPr>
          <w:rFonts w:ascii="Times New Roman" w:hAnsi="Times New Roman" w:cs="Times New Roman"/>
          <w:sz w:val="24"/>
          <w:szCs w:val="24"/>
        </w:rPr>
        <w:t xml:space="preserve">requires no supervision and no special skills and </w:t>
      </w:r>
      <w:r w:rsidR="00B63FE8" w:rsidRPr="00C32D58">
        <w:rPr>
          <w:rFonts w:ascii="Times New Roman" w:hAnsi="Times New Roman" w:cs="Times New Roman"/>
          <w:sz w:val="24"/>
          <w:szCs w:val="24"/>
        </w:rPr>
        <w:t xml:space="preserve">that </w:t>
      </w:r>
      <w:r w:rsidR="00560ECF" w:rsidRPr="00C32D58">
        <w:rPr>
          <w:rFonts w:ascii="Times New Roman" w:hAnsi="Times New Roman" w:cs="Times New Roman"/>
          <w:sz w:val="24"/>
          <w:szCs w:val="24"/>
        </w:rPr>
        <w:t xml:space="preserve">drivers </w:t>
      </w:r>
      <w:r w:rsidR="00B63FE8" w:rsidRPr="00C32D58">
        <w:rPr>
          <w:rFonts w:ascii="Times New Roman" w:hAnsi="Times New Roman" w:cs="Times New Roman"/>
          <w:sz w:val="24"/>
          <w:szCs w:val="24"/>
        </w:rPr>
        <w:t xml:space="preserve">provide </w:t>
      </w:r>
      <w:r w:rsidR="00560ECF" w:rsidRPr="00C32D58">
        <w:rPr>
          <w:rFonts w:ascii="Times New Roman" w:hAnsi="Times New Roman" w:cs="Times New Roman"/>
          <w:sz w:val="24"/>
          <w:szCs w:val="24"/>
        </w:rPr>
        <w:t>a service that is integral to Uber’s business, cut towards drivers having an employee status.</w:t>
      </w:r>
      <w:r w:rsidR="00DD29D5" w:rsidRPr="00C32D58">
        <w:rPr>
          <w:rStyle w:val="FootnoteReference"/>
          <w:rFonts w:ascii="Times New Roman" w:hAnsi="Times New Roman" w:cs="Times New Roman"/>
          <w:bCs/>
          <w:sz w:val="24"/>
          <w:szCs w:val="24"/>
        </w:rPr>
        <w:footnoteReference w:id="36"/>
      </w:r>
      <w:r w:rsidR="00560ECF" w:rsidRPr="00C32D58">
        <w:rPr>
          <w:rFonts w:ascii="Times New Roman" w:hAnsi="Times New Roman" w:cs="Times New Roman"/>
          <w:sz w:val="24"/>
          <w:szCs w:val="24"/>
        </w:rPr>
        <w:t xml:space="preserve"> </w:t>
      </w:r>
      <w:r w:rsidR="00561A7B" w:rsidRPr="00C32D58">
        <w:rPr>
          <w:rFonts w:ascii="Times New Roman" w:hAnsi="Times New Roman" w:cs="Times New Roman"/>
          <w:sz w:val="24"/>
          <w:szCs w:val="24"/>
        </w:rPr>
        <w:t>F</w:t>
      </w:r>
      <w:r w:rsidR="00560ECF" w:rsidRPr="00C32D58">
        <w:rPr>
          <w:rFonts w:ascii="Times New Roman" w:hAnsi="Times New Roman" w:cs="Times New Roman"/>
          <w:sz w:val="24"/>
          <w:szCs w:val="24"/>
        </w:rPr>
        <w:t>actors supporting the status of drivers as independent contractors include the use of the driver’s own vehicle,</w:t>
      </w:r>
      <w:r w:rsidR="003603B8" w:rsidRPr="00C32D58">
        <w:rPr>
          <w:rFonts w:ascii="Times New Roman" w:hAnsi="Times New Roman" w:cs="Times New Roman"/>
          <w:sz w:val="24"/>
          <w:szCs w:val="24"/>
        </w:rPr>
        <w:t xml:space="preserve"> the driver’s ability to be employed by a different third-party transpor</w:t>
      </w:r>
      <w:r w:rsidR="00F73540" w:rsidRPr="00C32D58">
        <w:rPr>
          <w:rFonts w:ascii="Times New Roman" w:hAnsi="Times New Roman" w:cs="Times New Roman"/>
          <w:sz w:val="24"/>
          <w:szCs w:val="24"/>
        </w:rPr>
        <w:t>t</w:t>
      </w:r>
      <w:r w:rsidR="003603B8" w:rsidRPr="00C32D58">
        <w:rPr>
          <w:rFonts w:ascii="Times New Roman" w:hAnsi="Times New Roman" w:cs="Times New Roman"/>
          <w:sz w:val="24"/>
          <w:szCs w:val="24"/>
        </w:rPr>
        <w:t>ation company (one other than Uber)</w:t>
      </w:r>
      <w:r w:rsidR="00C32D58">
        <w:rPr>
          <w:rFonts w:ascii="Times New Roman" w:hAnsi="Times New Roman" w:cs="Times New Roman"/>
          <w:sz w:val="24"/>
          <w:szCs w:val="24"/>
        </w:rPr>
        <w:t xml:space="preserve">, </w:t>
      </w:r>
      <w:r w:rsidR="00560ECF" w:rsidRPr="00C32D58">
        <w:rPr>
          <w:rFonts w:ascii="Times New Roman" w:hAnsi="Times New Roman" w:cs="Times New Roman"/>
          <w:sz w:val="24"/>
          <w:szCs w:val="24"/>
        </w:rPr>
        <w:t>and contract</w:t>
      </w:r>
      <w:r w:rsidR="008A086F" w:rsidRPr="00C32D58">
        <w:rPr>
          <w:rFonts w:ascii="Times New Roman" w:hAnsi="Times New Roman" w:cs="Times New Roman"/>
          <w:sz w:val="24"/>
          <w:szCs w:val="24"/>
        </w:rPr>
        <w:t>s</w:t>
      </w:r>
      <w:r w:rsidR="00560ECF" w:rsidRPr="00C32D58">
        <w:rPr>
          <w:rFonts w:ascii="Times New Roman" w:hAnsi="Times New Roman" w:cs="Times New Roman"/>
          <w:sz w:val="24"/>
          <w:szCs w:val="24"/>
        </w:rPr>
        <w:t xml:space="preserve"> </w:t>
      </w:r>
      <w:r w:rsidR="008A086F" w:rsidRPr="00C32D58">
        <w:rPr>
          <w:rFonts w:ascii="Times New Roman" w:hAnsi="Times New Roman" w:cs="Times New Roman"/>
          <w:sz w:val="24"/>
          <w:szCs w:val="24"/>
        </w:rPr>
        <w:t xml:space="preserve">declaring </w:t>
      </w:r>
      <w:r w:rsidR="00560ECF" w:rsidRPr="00C32D58">
        <w:rPr>
          <w:rFonts w:ascii="Times New Roman" w:hAnsi="Times New Roman" w:cs="Times New Roman"/>
          <w:sz w:val="24"/>
          <w:szCs w:val="24"/>
        </w:rPr>
        <w:t xml:space="preserve">no employment status </w:t>
      </w:r>
      <w:r w:rsidR="001F77E3" w:rsidRPr="00C32D58">
        <w:rPr>
          <w:rFonts w:ascii="Times New Roman" w:hAnsi="Times New Roman" w:cs="Times New Roman"/>
          <w:sz w:val="24"/>
          <w:szCs w:val="24"/>
        </w:rPr>
        <w:t xml:space="preserve">had been </w:t>
      </w:r>
      <w:r w:rsidR="00560ECF" w:rsidRPr="00C32D58">
        <w:rPr>
          <w:rFonts w:ascii="Times New Roman" w:hAnsi="Times New Roman" w:cs="Times New Roman"/>
          <w:sz w:val="24"/>
          <w:szCs w:val="24"/>
        </w:rPr>
        <w:t>created between the driver and Uber.</w:t>
      </w:r>
      <w:r w:rsidR="00DD29D5" w:rsidRPr="00C32D58">
        <w:rPr>
          <w:rStyle w:val="FootnoteReference"/>
          <w:rFonts w:ascii="Times New Roman" w:hAnsi="Times New Roman" w:cs="Times New Roman"/>
          <w:bCs/>
          <w:sz w:val="24"/>
          <w:szCs w:val="24"/>
        </w:rPr>
        <w:footnoteReference w:id="37"/>
      </w:r>
      <w:r w:rsidR="00022B8E" w:rsidRPr="00C32D58">
        <w:rPr>
          <w:rFonts w:ascii="Times New Roman" w:hAnsi="Times New Roman" w:cs="Times New Roman"/>
          <w:sz w:val="24"/>
          <w:szCs w:val="24"/>
        </w:rPr>
        <w:t xml:space="preserve"> </w:t>
      </w:r>
      <w:r w:rsidRPr="00C32D58">
        <w:rPr>
          <w:rFonts w:ascii="Times New Roman" w:hAnsi="Times New Roman" w:cs="Times New Roman"/>
          <w:sz w:val="24"/>
          <w:szCs w:val="24"/>
        </w:rPr>
        <w:t>Uber markets to potential drivers by spewing slogans such as “be your own boss and earn extra cash.”</w:t>
      </w:r>
      <w:r w:rsidRPr="00C32D58">
        <w:rPr>
          <w:rStyle w:val="FootnoteReference"/>
          <w:rFonts w:ascii="Times New Roman" w:hAnsi="Times New Roman" w:cs="Times New Roman"/>
          <w:bCs/>
          <w:sz w:val="24"/>
          <w:szCs w:val="24"/>
        </w:rPr>
        <w:footnoteReference w:id="38"/>
      </w:r>
      <w:r w:rsidRPr="00C32D58">
        <w:rPr>
          <w:rFonts w:ascii="Times New Roman" w:hAnsi="Times New Roman" w:cs="Times New Roman"/>
          <w:sz w:val="24"/>
          <w:szCs w:val="24"/>
        </w:rPr>
        <w:t xml:space="preserve"> The company makes it clear in its terms of service that workers are not employed by Uber.</w:t>
      </w:r>
      <w:r w:rsidRPr="00C32D58">
        <w:rPr>
          <w:rStyle w:val="FootnoteReference"/>
          <w:rFonts w:ascii="Times New Roman" w:hAnsi="Times New Roman" w:cs="Times New Roman"/>
          <w:bCs/>
          <w:sz w:val="24"/>
          <w:szCs w:val="24"/>
        </w:rPr>
        <w:footnoteReference w:id="39"/>
      </w:r>
      <w:r w:rsidRPr="00C32D58">
        <w:rPr>
          <w:rFonts w:ascii="Times New Roman" w:hAnsi="Times New Roman" w:cs="Times New Roman"/>
          <w:sz w:val="24"/>
          <w:szCs w:val="24"/>
        </w:rPr>
        <w:t xml:space="preserve"> Yet, the question of whether Uber has appropriately classified its workers as independent contractors and not employees is far from simple. </w:t>
      </w:r>
      <w:r w:rsidR="004B3A73" w:rsidRPr="00C32D58">
        <w:rPr>
          <w:rFonts w:ascii="Times New Roman" w:eastAsia="Times New Roman" w:hAnsi="Times New Roman" w:cs="Times New Roman"/>
          <w:sz w:val="24"/>
          <w:szCs w:val="24"/>
        </w:rPr>
        <w:t>The question depends on context and the specific goals of the protective laws that command classification.</w:t>
      </w:r>
      <w:r w:rsidR="00022B8E" w:rsidRPr="00C32D58">
        <w:rPr>
          <w:rFonts w:ascii="Times New Roman" w:eastAsia="Times New Roman" w:hAnsi="Times New Roman" w:cs="Times New Roman"/>
          <w:sz w:val="24"/>
          <w:szCs w:val="24"/>
        </w:rPr>
        <w:t xml:space="preserve"> </w:t>
      </w:r>
      <w:r w:rsidR="004B3A73" w:rsidRPr="00C32D58">
        <w:rPr>
          <w:rFonts w:ascii="Times New Roman" w:eastAsia="Times New Roman" w:hAnsi="Times New Roman" w:cs="Times New Roman"/>
          <w:sz w:val="24"/>
          <w:szCs w:val="24"/>
        </w:rPr>
        <w:t>In the Uber case, the sides</w:t>
      </w:r>
      <w:r w:rsidR="00022B8E" w:rsidRPr="00C32D58">
        <w:rPr>
          <w:rFonts w:ascii="Times New Roman" w:eastAsia="Times New Roman" w:hAnsi="Times New Roman" w:cs="Times New Roman"/>
          <w:sz w:val="24"/>
          <w:szCs w:val="24"/>
        </w:rPr>
        <w:t xml:space="preserve"> settled for a</w:t>
      </w:r>
      <w:r w:rsidR="008E263B" w:rsidRPr="00C32D58">
        <w:rPr>
          <w:rFonts w:ascii="Times New Roman" w:eastAsia="Times New Roman" w:hAnsi="Times New Roman" w:cs="Times New Roman"/>
          <w:sz w:val="24"/>
          <w:szCs w:val="24"/>
        </w:rPr>
        <w:t xml:space="preserve"> proposed $100 million</w:t>
      </w:r>
      <w:r w:rsidR="00022B8E" w:rsidRPr="00C32D58">
        <w:rPr>
          <w:rFonts w:ascii="Times New Roman" w:eastAsia="Times New Roman" w:hAnsi="Times New Roman" w:cs="Times New Roman"/>
          <w:sz w:val="24"/>
          <w:szCs w:val="24"/>
        </w:rPr>
        <w:t>, rendering no binding precedent.</w:t>
      </w:r>
      <w:r w:rsidR="00022B8E" w:rsidRPr="00C32D58">
        <w:rPr>
          <w:rStyle w:val="FootnoteReference"/>
          <w:rFonts w:ascii="Times New Roman" w:eastAsia="Times New Roman" w:hAnsi="Times New Roman" w:cs="Times New Roman"/>
          <w:bCs/>
          <w:sz w:val="24"/>
          <w:szCs w:val="24"/>
        </w:rPr>
        <w:footnoteReference w:id="40"/>
      </w:r>
      <w:r w:rsidR="006047A2" w:rsidRPr="00C32D58">
        <w:rPr>
          <w:rFonts w:ascii="Times New Roman" w:eastAsia="Times New Roman" w:hAnsi="Times New Roman" w:cs="Times New Roman"/>
          <w:sz w:val="24"/>
          <w:szCs w:val="24"/>
        </w:rPr>
        <w:t xml:space="preserve"> </w:t>
      </w:r>
      <w:r w:rsidR="004B3A73" w:rsidRPr="00C32D58">
        <w:rPr>
          <w:rFonts w:ascii="Times New Roman" w:eastAsia="Times New Roman" w:hAnsi="Times New Roman" w:cs="Times New Roman"/>
          <w:sz w:val="24"/>
          <w:szCs w:val="24"/>
        </w:rPr>
        <w:t>The</w:t>
      </w:r>
      <w:r w:rsidR="00217E08" w:rsidRPr="00C32D58">
        <w:rPr>
          <w:rFonts w:ascii="Times New Roman" w:eastAsia="Times New Roman" w:hAnsi="Times New Roman" w:cs="Times New Roman"/>
          <w:sz w:val="24"/>
          <w:szCs w:val="24"/>
        </w:rPr>
        <w:t xml:space="preserve"> </w:t>
      </w:r>
      <w:r w:rsidR="004B3A73" w:rsidRPr="00C32D58">
        <w:rPr>
          <w:rFonts w:ascii="Times New Roman" w:eastAsia="Times New Roman" w:hAnsi="Times New Roman" w:cs="Times New Roman"/>
          <w:sz w:val="24"/>
          <w:szCs w:val="24"/>
        </w:rPr>
        <w:t>court noted that</w:t>
      </w:r>
      <w:r w:rsidR="005C5FA0" w:rsidRPr="00C32D58">
        <w:rPr>
          <w:rFonts w:ascii="Times New Roman" w:eastAsia="Times New Roman" w:hAnsi="Times New Roman" w:cs="Times New Roman"/>
          <w:sz w:val="24"/>
          <w:szCs w:val="24"/>
        </w:rPr>
        <w:t xml:space="preserve"> the </w:t>
      </w:r>
      <w:r w:rsidR="00217E08" w:rsidRPr="00C32D58">
        <w:rPr>
          <w:rFonts w:ascii="Times New Roman" w:eastAsia="Times New Roman" w:hAnsi="Times New Roman" w:cs="Times New Roman"/>
          <w:sz w:val="24"/>
          <w:szCs w:val="24"/>
        </w:rPr>
        <w:t>traditional common law test determining</w:t>
      </w:r>
      <w:r w:rsidR="005C5FA0" w:rsidRPr="00C32D58">
        <w:rPr>
          <w:rFonts w:ascii="Times New Roman" w:eastAsia="Times New Roman" w:hAnsi="Times New Roman" w:cs="Times New Roman"/>
          <w:sz w:val="24"/>
          <w:szCs w:val="24"/>
        </w:rPr>
        <w:t xml:space="preserve"> employment status </w:t>
      </w:r>
      <w:r w:rsidR="00CF72CB" w:rsidRPr="00C32D58">
        <w:rPr>
          <w:rFonts w:ascii="Times New Roman" w:eastAsia="Times New Roman" w:hAnsi="Times New Roman" w:cs="Times New Roman"/>
          <w:sz w:val="24"/>
          <w:szCs w:val="24"/>
        </w:rPr>
        <w:t xml:space="preserve">“evolved under an economic model very different from the new </w:t>
      </w:r>
      <w:r w:rsidR="008E263B" w:rsidRPr="00C32D58">
        <w:rPr>
          <w:rFonts w:ascii="Times New Roman" w:eastAsia="Times New Roman" w:hAnsi="Times New Roman" w:cs="Times New Roman"/>
          <w:sz w:val="24"/>
          <w:szCs w:val="24"/>
        </w:rPr>
        <w:t>‘sharing economy.</w:t>
      </w:r>
      <w:r w:rsidR="00CF72CB" w:rsidRPr="00C32D58">
        <w:rPr>
          <w:rFonts w:ascii="Times New Roman" w:eastAsia="Times New Roman" w:hAnsi="Times New Roman" w:cs="Times New Roman"/>
          <w:sz w:val="24"/>
          <w:szCs w:val="24"/>
        </w:rPr>
        <w:t>”</w:t>
      </w:r>
      <w:r w:rsidR="003D0BF2" w:rsidRPr="00C32D58">
        <w:rPr>
          <w:rStyle w:val="FootnoteReference"/>
          <w:rFonts w:ascii="Times New Roman" w:eastAsia="Times New Roman" w:hAnsi="Times New Roman" w:cs="Times New Roman"/>
          <w:bCs/>
          <w:sz w:val="24"/>
          <w:szCs w:val="24"/>
        </w:rPr>
        <w:footnoteReference w:id="41"/>
      </w:r>
      <w:r w:rsidR="00CF72CB" w:rsidRPr="00C32D58">
        <w:rPr>
          <w:rFonts w:ascii="Times New Roman" w:eastAsia="Times New Roman" w:hAnsi="Times New Roman" w:cs="Times New Roman"/>
          <w:sz w:val="24"/>
          <w:szCs w:val="24"/>
        </w:rPr>
        <w:t xml:space="preserve"> </w:t>
      </w:r>
    </w:p>
    <w:p w14:paraId="7C3D533A" w14:textId="77777777" w:rsidR="000F59F3" w:rsidRDefault="00CF72CB" w:rsidP="00C32D58">
      <w:pPr>
        <w:spacing w:after="0" w:line="240" w:lineRule="auto"/>
        <w:ind w:firstLine="720"/>
        <w:rPr>
          <w:rFonts w:ascii="Times New Roman" w:eastAsia="Times New Roman" w:hAnsi="Times New Roman" w:cs="Times New Roman"/>
          <w:sz w:val="24"/>
          <w:szCs w:val="24"/>
        </w:rPr>
      </w:pPr>
      <w:r w:rsidRPr="00C32D58">
        <w:rPr>
          <w:rFonts w:ascii="Times New Roman" w:eastAsia="Times New Roman" w:hAnsi="Times New Roman" w:cs="Times New Roman"/>
          <w:sz w:val="24"/>
          <w:szCs w:val="24"/>
        </w:rPr>
        <w:t xml:space="preserve"> </w:t>
      </w:r>
    </w:p>
    <w:p w14:paraId="5A718CCA" w14:textId="1E395811" w:rsidR="00213B60" w:rsidRPr="00C32D58" w:rsidRDefault="00535E81" w:rsidP="00C32D58">
      <w:pPr>
        <w:spacing w:after="0" w:line="240" w:lineRule="auto"/>
        <w:ind w:firstLine="720"/>
        <w:rPr>
          <w:rFonts w:ascii="Times New Roman" w:hAnsi="Times New Roman" w:cs="Times New Roman"/>
          <w:sz w:val="24"/>
          <w:szCs w:val="24"/>
        </w:rPr>
      </w:pPr>
      <w:r w:rsidRPr="00C32D58">
        <w:rPr>
          <w:rFonts w:ascii="Times New Roman" w:eastAsia="Times New Roman" w:hAnsi="Times New Roman" w:cs="Times New Roman"/>
          <w:sz w:val="24"/>
          <w:szCs w:val="24"/>
        </w:rPr>
        <w:t xml:space="preserve">In </w:t>
      </w:r>
      <w:r w:rsidR="004B3A73" w:rsidRPr="00C32D58">
        <w:rPr>
          <w:rFonts w:ascii="Times New Roman" w:eastAsia="Times New Roman" w:hAnsi="Times New Roman" w:cs="Times New Roman"/>
          <w:sz w:val="24"/>
          <w:szCs w:val="24"/>
        </w:rPr>
        <w:t xml:space="preserve">the parallel case against Lyft, </w:t>
      </w:r>
      <w:r w:rsidRPr="00C32D58">
        <w:rPr>
          <w:rFonts w:ascii="Times New Roman" w:eastAsia="Times New Roman" w:hAnsi="Times New Roman" w:cs="Times New Roman"/>
          <w:sz w:val="24"/>
          <w:szCs w:val="24"/>
        </w:rPr>
        <w:t xml:space="preserve">Judge Chhabria </w:t>
      </w:r>
      <w:r w:rsidR="006047A2" w:rsidRPr="00C32D58">
        <w:rPr>
          <w:rFonts w:ascii="Times New Roman" w:eastAsia="Times New Roman" w:hAnsi="Times New Roman" w:cs="Times New Roman"/>
          <w:sz w:val="24"/>
          <w:szCs w:val="24"/>
        </w:rPr>
        <w:t>was tasked</w:t>
      </w:r>
      <w:r w:rsidR="004B3A73" w:rsidRPr="00C32D58">
        <w:rPr>
          <w:rFonts w:ascii="Times New Roman" w:eastAsia="Times New Roman" w:hAnsi="Times New Roman" w:cs="Times New Roman"/>
          <w:sz w:val="24"/>
          <w:szCs w:val="24"/>
        </w:rPr>
        <w:t xml:space="preserve"> with deciding the same issue.</w:t>
      </w:r>
      <w:r w:rsidR="004B3A73" w:rsidRPr="00C32D58">
        <w:rPr>
          <w:rStyle w:val="FootnoteReference"/>
          <w:rFonts w:ascii="Times New Roman" w:hAnsi="Times New Roman" w:cs="Times New Roman"/>
          <w:bCs/>
          <w:sz w:val="24"/>
          <w:szCs w:val="24"/>
        </w:rPr>
        <w:footnoteReference w:id="42"/>
      </w:r>
      <w:r w:rsidR="004B3A73" w:rsidRPr="00C32D58">
        <w:rPr>
          <w:rFonts w:ascii="Times New Roman" w:hAnsi="Times New Roman" w:cs="Times New Roman"/>
          <w:sz w:val="24"/>
          <w:szCs w:val="24"/>
        </w:rPr>
        <w:t xml:space="preserve"> </w:t>
      </w:r>
      <w:r w:rsidR="004B3A73" w:rsidRPr="00C32D58">
        <w:rPr>
          <w:rFonts w:ascii="Times New Roman" w:eastAsia="Times New Roman" w:hAnsi="Times New Roman" w:cs="Times New Roman"/>
          <w:sz w:val="24"/>
          <w:szCs w:val="24"/>
        </w:rPr>
        <w:t xml:space="preserve">Judge Chhabria questioned whether </w:t>
      </w:r>
      <w:r w:rsidR="006047A2" w:rsidRPr="00C32D58">
        <w:rPr>
          <w:rFonts w:ascii="Times New Roman" w:hAnsi="Times New Roman" w:cs="Times New Roman"/>
          <w:sz w:val="24"/>
          <w:szCs w:val="24"/>
        </w:rPr>
        <w:t xml:space="preserve">California’s test to classify workers </w:t>
      </w:r>
      <w:r w:rsidR="004B3A73" w:rsidRPr="00C32D58">
        <w:rPr>
          <w:rFonts w:ascii="Times New Roman" w:hAnsi="Times New Roman" w:cs="Times New Roman"/>
          <w:sz w:val="24"/>
          <w:szCs w:val="24"/>
        </w:rPr>
        <w:t>was</w:t>
      </w:r>
      <w:r w:rsidR="006047A2" w:rsidRPr="00C32D58">
        <w:rPr>
          <w:rFonts w:ascii="Times New Roman" w:hAnsi="Times New Roman" w:cs="Times New Roman"/>
          <w:sz w:val="24"/>
          <w:szCs w:val="24"/>
        </w:rPr>
        <w:t xml:space="preserve"> </w:t>
      </w:r>
      <w:r w:rsidR="003603B8" w:rsidRPr="00C32D58">
        <w:rPr>
          <w:rFonts w:ascii="Times New Roman" w:hAnsi="Times New Roman" w:cs="Times New Roman"/>
          <w:sz w:val="24"/>
          <w:szCs w:val="24"/>
        </w:rPr>
        <w:t>outdated</w:t>
      </w:r>
      <w:r w:rsidR="002302E0" w:rsidRPr="00C32D58">
        <w:rPr>
          <w:rFonts w:ascii="Times New Roman" w:hAnsi="Times New Roman" w:cs="Times New Roman"/>
          <w:sz w:val="24"/>
          <w:szCs w:val="24"/>
        </w:rPr>
        <w:t>,</w:t>
      </w:r>
      <w:r w:rsidR="006047A2" w:rsidRPr="00C32D58">
        <w:rPr>
          <w:rFonts w:ascii="Times New Roman" w:hAnsi="Times New Roman" w:cs="Times New Roman"/>
          <w:sz w:val="24"/>
          <w:szCs w:val="24"/>
        </w:rPr>
        <w:t xml:space="preserve"> and </w:t>
      </w:r>
      <w:r w:rsidR="004B3A73" w:rsidRPr="00C32D58">
        <w:rPr>
          <w:rFonts w:ascii="Times New Roman" w:hAnsi="Times New Roman" w:cs="Times New Roman"/>
          <w:sz w:val="24"/>
          <w:szCs w:val="24"/>
        </w:rPr>
        <w:t xml:space="preserve">reasoned </w:t>
      </w:r>
      <w:r w:rsidR="006047A2" w:rsidRPr="00C32D58">
        <w:rPr>
          <w:rFonts w:ascii="Times New Roman" w:hAnsi="Times New Roman" w:cs="Times New Roman"/>
          <w:sz w:val="24"/>
          <w:szCs w:val="24"/>
        </w:rPr>
        <w:t>that a reasonable jury could decide the case either way.</w:t>
      </w:r>
      <w:r w:rsidR="006047A2" w:rsidRPr="00C32D58">
        <w:rPr>
          <w:rStyle w:val="FootnoteReference"/>
          <w:rFonts w:ascii="Times New Roman" w:hAnsi="Times New Roman" w:cs="Times New Roman"/>
          <w:bCs/>
          <w:sz w:val="24"/>
          <w:szCs w:val="24"/>
        </w:rPr>
        <w:footnoteReference w:id="43"/>
      </w:r>
      <w:r w:rsidR="006047A2" w:rsidRPr="00C32D58">
        <w:rPr>
          <w:rFonts w:ascii="Times New Roman" w:hAnsi="Times New Roman" w:cs="Times New Roman"/>
          <w:sz w:val="24"/>
          <w:szCs w:val="24"/>
        </w:rPr>
        <w:t xml:space="preserve">  In his opinion</w:t>
      </w:r>
      <w:r w:rsidR="002302E0" w:rsidRPr="00C32D58">
        <w:rPr>
          <w:rFonts w:ascii="Times New Roman" w:hAnsi="Times New Roman" w:cs="Times New Roman"/>
          <w:sz w:val="24"/>
          <w:szCs w:val="24"/>
        </w:rPr>
        <w:t>,</w:t>
      </w:r>
      <w:r w:rsidR="006047A2" w:rsidRPr="00C32D58">
        <w:rPr>
          <w:rFonts w:ascii="Times New Roman" w:hAnsi="Times New Roman" w:cs="Times New Roman"/>
          <w:sz w:val="24"/>
          <w:szCs w:val="24"/>
        </w:rPr>
        <w:t xml:space="preserve"> Judge Chhabria remarked that absent legislative intervention to create a new test for modern times, cases like this will go to juries in the future and be plagued with such ambiguity that their results will never render a remotely clear answer</w:t>
      </w:r>
      <w:r w:rsidR="00627B12" w:rsidRPr="00C32D58">
        <w:rPr>
          <w:rFonts w:ascii="Times New Roman" w:hAnsi="Times New Roman" w:cs="Times New Roman"/>
          <w:sz w:val="24"/>
          <w:szCs w:val="24"/>
        </w:rPr>
        <w:t xml:space="preserve"> as different juries in different jurisdictions could easily reach incompatible outcomes</w:t>
      </w:r>
      <w:r w:rsidR="002302E0" w:rsidRPr="00C32D58">
        <w:rPr>
          <w:rFonts w:ascii="Times New Roman" w:hAnsi="Times New Roman" w:cs="Times New Roman"/>
          <w:sz w:val="24"/>
          <w:szCs w:val="24"/>
        </w:rPr>
        <w:t>.</w:t>
      </w:r>
      <w:r w:rsidR="006047A2" w:rsidRPr="00C32D58">
        <w:rPr>
          <w:rStyle w:val="FootnoteReference"/>
          <w:rFonts w:ascii="Times New Roman" w:hAnsi="Times New Roman" w:cs="Times New Roman"/>
          <w:bCs/>
          <w:sz w:val="24"/>
          <w:szCs w:val="24"/>
        </w:rPr>
        <w:footnoteReference w:id="44"/>
      </w:r>
      <w:r w:rsidR="006047A2" w:rsidRPr="00C32D58">
        <w:rPr>
          <w:rFonts w:ascii="Times New Roman" w:hAnsi="Times New Roman" w:cs="Times New Roman"/>
          <w:sz w:val="24"/>
          <w:szCs w:val="24"/>
        </w:rPr>
        <w:t xml:space="preserve"> </w:t>
      </w:r>
      <w:r w:rsidR="004B3A73" w:rsidRPr="00C32D58">
        <w:rPr>
          <w:rFonts w:ascii="Times New Roman" w:hAnsi="Times New Roman" w:cs="Times New Roman"/>
          <w:sz w:val="24"/>
          <w:szCs w:val="24"/>
        </w:rPr>
        <w:t xml:space="preserve">The Lyft </w:t>
      </w:r>
      <w:r w:rsidR="006047A2" w:rsidRPr="00C32D58">
        <w:rPr>
          <w:rFonts w:ascii="Times New Roman" w:hAnsi="Times New Roman" w:cs="Times New Roman"/>
          <w:sz w:val="24"/>
          <w:szCs w:val="24"/>
        </w:rPr>
        <w:t>case also settled before reaching a final determination</w:t>
      </w:r>
      <w:r w:rsidR="005906FD" w:rsidRPr="00C32D58">
        <w:rPr>
          <w:rFonts w:ascii="Times New Roman" w:hAnsi="Times New Roman" w:cs="Times New Roman"/>
          <w:sz w:val="24"/>
          <w:szCs w:val="24"/>
        </w:rPr>
        <w:t>.</w:t>
      </w:r>
      <w:r w:rsidR="006047A2" w:rsidRPr="00C32D58">
        <w:rPr>
          <w:rStyle w:val="FootnoteReference"/>
          <w:rFonts w:ascii="Times New Roman" w:hAnsi="Times New Roman" w:cs="Times New Roman"/>
          <w:bCs/>
          <w:sz w:val="24"/>
          <w:szCs w:val="24"/>
        </w:rPr>
        <w:footnoteReference w:id="45"/>
      </w:r>
      <w:r w:rsidR="006047A2" w:rsidRPr="00C32D58">
        <w:rPr>
          <w:rFonts w:ascii="Times New Roman" w:hAnsi="Times New Roman" w:cs="Times New Roman"/>
          <w:sz w:val="24"/>
          <w:szCs w:val="24"/>
        </w:rPr>
        <w:t xml:space="preserve"> </w:t>
      </w:r>
    </w:p>
    <w:p w14:paraId="2341EB4C" w14:textId="77777777" w:rsidR="000F59F3" w:rsidRDefault="000F59F3" w:rsidP="00C32D58">
      <w:pPr>
        <w:spacing w:after="0" w:line="240" w:lineRule="auto"/>
        <w:ind w:firstLine="720"/>
        <w:rPr>
          <w:rFonts w:ascii="Times New Roman" w:hAnsi="Times New Roman" w:cs="Times New Roman"/>
          <w:sz w:val="24"/>
          <w:szCs w:val="24"/>
        </w:rPr>
      </w:pPr>
    </w:p>
    <w:p w14:paraId="3313097C" w14:textId="28C7CCC2" w:rsidR="00CE575C" w:rsidRPr="00C32D58" w:rsidRDefault="004B3A73" w:rsidP="00C32D58">
      <w:pPr>
        <w:spacing w:after="0" w:line="240" w:lineRule="auto"/>
        <w:ind w:firstLine="720"/>
        <w:rPr>
          <w:rFonts w:ascii="Times New Roman" w:hAnsi="Times New Roman" w:cs="Times New Roman"/>
          <w:sz w:val="24"/>
          <w:szCs w:val="24"/>
        </w:rPr>
      </w:pPr>
      <w:r w:rsidRPr="00C32D58">
        <w:rPr>
          <w:rFonts w:ascii="Times New Roman" w:hAnsi="Times New Roman" w:cs="Times New Roman"/>
          <w:sz w:val="24"/>
          <w:szCs w:val="24"/>
        </w:rPr>
        <w:lastRenderedPageBreak/>
        <w:t xml:space="preserve">The employment classification example reveals the importance of context in </w:t>
      </w:r>
      <w:r w:rsidR="008B5C32">
        <w:rPr>
          <w:rFonts w:ascii="Times New Roman" w:hAnsi="Times New Roman" w:cs="Times New Roman"/>
          <w:sz w:val="24"/>
          <w:szCs w:val="24"/>
        </w:rPr>
        <w:t>deciding how to regulate new</w:t>
      </w:r>
      <w:r w:rsidRPr="00C32D58">
        <w:rPr>
          <w:rFonts w:ascii="Times New Roman" w:hAnsi="Times New Roman" w:cs="Times New Roman"/>
          <w:sz w:val="24"/>
          <w:szCs w:val="24"/>
        </w:rPr>
        <w:t xml:space="preserve"> economic models</w:t>
      </w:r>
      <w:r w:rsidR="000B21EC" w:rsidRPr="00C32D58">
        <w:rPr>
          <w:rFonts w:ascii="Times New Roman" w:hAnsi="Times New Roman" w:cs="Times New Roman"/>
          <w:sz w:val="24"/>
          <w:szCs w:val="24"/>
        </w:rPr>
        <w:t>.</w:t>
      </w:r>
      <w:r w:rsidR="00310328" w:rsidRPr="00C32D58">
        <w:rPr>
          <w:rFonts w:ascii="Times New Roman" w:hAnsi="Times New Roman" w:cs="Times New Roman"/>
          <w:sz w:val="24"/>
          <w:szCs w:val="24"/>
        </w:rPr>
        <w:t xml:space="preserve"> One cannot view employment classification in strict isolation. </w:t>
      </w:r>
      <w:r w:rsidR="00984E64" w:rsidRPr="00C32D58">
        <w:rPr>
          <w:rFonts w:ascii="Times New Roman" w:hAnsi="Times New Roman" w:cs="Times New Roman"/>
          <w:sz w:val="24"/>
          <w:szCs w:val="24"/>
        </w:rPr>
        <w:t xml:space="preserve">Rather, the reason for asking the question is key to answering it. In other words, classification must be purposive: why are we inquiring about employee status – for what statutory protection, right or duty are we posing the question? </w:t>
      </w:r>
      <w:r w:rsidR="00496DD9" w:rsidRPr="00C32D58">
        <w:rPr>
          <w:rFonts w:ascii="Times New Roman" w:hAnsi="Times New Roman" w:cs="Times New Roman"/>
          <w:sz w:val="24"/>
          <w:szCs w:val="24"/>
        </w:rPr>
        <w:t>When it comes to social</w:t>
      </w:r>
      <w:r w:rsidR="002B6B3D" w:rsidRPr="00C32D58">
        <w:rPr>
          <w:rFonts w:ascii="Times New Roman" w:hAnsi="Times New Roman" w:cs="Times New Roman"/>
          <w:sz w:val="24"/>
          <w:szCs w:val="24"/>
        </w:rPr>
        <w:t xml:space="preserve"> polic</w:t>
      </w:r>
      <w:r w:rsidR="00496DD9" w:rsidRPr="00C32D58">
        <w:rPr>
          <w:rFonts w:ascii="Times New Roman" w:hAnsi="Times New Roman" w:cs="Times New Roman"/>
          <w:sz w:val="24"/>
          <w:szCs w:val="24"/>
        </w:rPr>
        <w:t xml:space="preserve">ies such as wage and hour protections, health and benefits, </w:t>
      </w:r>
      <w:r w:rsidR="00D75B5E" w:rsidRPr="00C32D58">
        <w:rPr>
          <w:rFonts w:ascii="Times New Roman" w:hAnsi="Times New Roman" w:cs="Times New Roman"/>
          <w:sz w:val="24"/>
          <w:szCs w:val="24"/>
        </w:rPr>
        <w:t>it is time for a change. T</w:t>
      </w:r>
      <w:r w:rsidR="00496DD9" w:rsidRPr="00C32D58">
        <w:rPr>
          <w:rFonts w:ascii="Times New Roman" w:hAnsi="Times New Roman" w:cs="Times New Roman"/>
          <w:sz w:val="24"/>
          <w:szCs w:val="24"/>
        </w:rPr>
        <w:t>hese may benefit from</w:t>
      </w:r>
      <w:r w:rsidR="00D75B5E" w:rsidRPr="00C32D58">
        <w:rPr>
          <w:rFonts w:ascii="Times New Roman" w:hAnsi="Times New Roman" w:cs="Times New Roman"/>
          <w:sz w:val="24"/>
          <w:szCs w:val="24"/>
        </w:rPr>
        <w:t xml:space="preserve"> </w:t>
      </w:r>
      <w:r w:rsidR="00496DD9" w:rsidRPr="00C32D58">
        <w:rPr>
          <w:rFonts w:ascii="Times New Roman" w:hAnsi="Times New Roman" w:cs="Times New Roman"/>
          <w:sz w:val="24"/>
          <w:szCs w:val="24"/>
        </w:rPr>
        <w:t>being de-linked from the single employer model that pervaded the 20</w:t>
      </w:r>
      <w:r w:rsidR="00496DD9" w:rsidRPr="00C32D58">
        <w:rPr>
          <w:rFonts w:ascii="Times New Roman" w:hAnsi="Times New Roman" w:cs="Times New Roman"/>
          <w:sz w:val="24"/>
          <w:szCs w:val="24"/>
          <w:vertAlign w:val="superscript"/>
        </w:rPr>
        <w:t>th</w:t>
      </w:r>
      <w:r w:rsidR="00496DD9" w:rsidRPr="00C32D58">
        <w:rPr>
          <w:rFonts w:ascii="Times New Roman" w:hAnsi="Times New Roman" w:cs="Times New Roman"/>
          <w:sz w:val="24"/>
          <w:szCs w:val="24"/>
        </w:rPr>
        <w:t xml:space="preserve"> century. </w:t>
      </w:r>
      <w:r w:rsidR="00310328" w:rsidRPr="00C32D58">
        <w:rPr>
          <w:rFonts w:ascii="Times New Roman" w:hAnsi="Times New Roman" w:cs="Times New Roman"/>
          <w:sz w:val="24"/>
          <w:szCs w:val="24"/>
        </w:rPr>
        <w:t>However some</w:t>
      </w:r>
      <w:r w:rsidR="00496DD9" w:rsidRPr="00C32D58">
        <w:rPr>
          <w:rFonts w:ascii="Times New Roman" w:hAnsi="Times New Roman" w:cs="Times New Roman"/>
          <w:sz w:val="24"/>
          <w:szCs w:val="24"/>
        </w:rPr>
        <w:t xml:space="preserve"> policies </w:t>
      </w:r>
      <w:r w:rsidR="002079BE" w:rsidRPr="00C32D58">
        <w:rPr>
          <w:rFonts w:ascii="Times New Roman" w:hAnsi="Times New Roman" w:cs="Times New Roman"/>
          <w:sz w:val="24"/>
          <w:szCs w:val="24"/>
        </w:rPr>
        <w:t>should continue to be imposed on workplaces, and should be extended to all those who provid</w:t>
      </w:r>
      <w:r w:rsidR="008B5C32">
        <w:rPr>
          <w:rFonts w:ascii="Times New Roman" w:hAnsi="Times New Roman" w:cs="Times New Roman"/>
          <w:sz w:val="24"/>
          <w:szCs w:val="24"/>
        </w:rPr>
        <w:t>e</w:t>
      </w:r>
      <w:r w:rsidR="002079BE" w:rsidRPr="00C32D58">
        <w:rPr>
          <w:rFonts w:ascii="Times New Roman" w:hAnsi="Times New Roman" w:cs="Times New Roman"/>
          <w:sz w:val="24"/>
          <w:szCs w:val="24"/>
        </w:rPr>
        <w:t xml:space="preserve"> their labor, whether employees or independent contractors</w:t>
      </w:r>
      <w:r w:rsidR="00D75B5E" w:rsidRPr="00C32D58">
        <w:rPr>
          <w:rFonts w:ascii="Times New Roman" w:hAnsi="Times New Roman" w:cs="Times New Roman"/>
          <w:sz w:val="24"/>
          <w:szCs w:val="24"/>
        </w:rPr>
        <w:t>. For example,</w:t>
      </w:r>
      <w:r w:rsidR="00496DD9" w:rsidRPr="00C32D58">
        <w:rPr>
          <w:rFonts w:ascii="Times New Roman" w:hAnsi="Times New Roman" w:cs="Times New Roman"/>
          <w:sz w:val="24"/>
          <w:szCs w:val="24"/>
        </w:rPr>
        <w:t xml:space="preserve"> anti-discrimination laws should continue to be imposed on market models regardless of the classification of the worker. Yet other areas of law, such as risk regulation, safety, and privacy, depend on democratic solutions to ensure balance between competing social goals. </w:t>
      </w:r>
      <w:r w:rsidR="004B0D9D" w:rsidRPr="00C32D58">
        <w:rPr>
          <w:rFonts w:ascii="Times New Roman" w:hAnsi="Times New Roman" w:cs="Times New Roman"/>
          <w:sz w:val="24"/>
          <w:szCs w:val="24"/>
        </w:rPr>
        <w:t xml:space="preserve">As Nestor Davidson and John Infranca so amply have argued, many of the regulatory battles concerning the platform are happening at the local urban level. </w:t>
      </w:r>
      <w:r w:rsidR="004B0D9D" w:rsidRPr="00C32D58">
        <w:rPr>
          <w:rFonts w:ascii="Times New Roman" w:hAnsi="Times New Roman" w:cs="Times New Roman"/>
          <w:sz w:val="24"/>
          <w:szCs w:val="24"/>
          <w:shd w:val="clear" w:color="auto" w:fill="FFFFFF"/>
        </w:rPr>
        <w:t>They show how the interactions between platforms and local governments help to restore balance between the efficiencies of digital innovations and the ongoing need to secure public goals. Excitingly, these interactions also require policymakers to become more open and rational about the policy goals underlying a myriad of regulations. Currently, initiatives around the world exist to better unify the local rules for operating platforms</w:t>
      </w:r>
      <w:r w:rsidRPr="00C32D58">
        <w:rPr>
          <w:rFonts w:ascii="Times New Roman" w:hAnsi="Times New Roman" w:cs="Times New Roman"/>
          <w:sz w:val="24"/>
          <w:szCs w:val="24"/>
        </w:rPr>
        <w:t>.</w:t>
      </w:r>
      <w:r w:rsidRPr="00C32D58">
        <w:rPr>
          <w:rStyle w:val="FootnoteReference"/>
          <w:rFonts w:ascii="Times New Roman" w:hAnsi="Times New Roman" w:cs="Times New Roman"/>
          <w:sz w:val="24"/>
          <w:szCs w:val="24"/>
        </w:rPr>
        <w:footnoteReference w:id="46"/>
      </w:r>
      <w:r w:rsidRPr="00C32D58">
        <w:rPr>
          <w:rFonts w:ascii="Times New Roman" w:hAnsi="Times New Roman" w:cs="Times New Roman"/>
          <w:sz w:val="24"/>
          <w:szCs w:val="24"/>
        </w:rPr>
        <w:t xml:space="preserve"> </w:t>
      </w:r>
      <w:r w:rsidR="004B0D9D" w:rsidRPr="00C32D58">
        <w:rPr>
          <w:rFonts w:ascii="Times New Roman" w:hAnsi="Times New Roman" w:cs="Times New Roman"/>
          <w:sz w:val="24"/>
          <w:szCs w:val="24"/>
        </w:rPr>
        <w:t xml:space="preserve">At the same time, as </w:t>
      </w:r>
      <w:r w:rsidR="008B5C32">
        <w:rPr>
          <w:rFonts w:ascii="Times New Roman" w:hAnsi="Times New Roman" w:cs="Times New Roman"/>
          <w:sz w:val="24"/>
          <w:szCs w:val="24"/>
        </w:rPr>
        <w:t>Davidson</w:t>
      </w:r>
      <w:r w:rsidR="004B0D9D" w:rsidRPr="00C32D58">
        <w:rPr>
          <w:rFonts w:ascii="Times New Roman" w:hAnsi="Times New Roman" w:cs="Times New Roman"/>
          <w:sz w:val="24"/>
          <w:szCs w:val="24"/>
        </w:rPr>
        <w:t xml:space="preserve"> and Infranca illuminate, an important characteristic</w:t>
      </w:r>
      <w:r w:rsidRPr="00C32D58">
        <w:rPr>
          <w:rFonts w:ascii="Times New Roman" w:hAnsi="Times New Roman" w:cs="Times New Roman"/>
          <w:sz w:val="24"/>
          <w:szCs w:val="24"/>
        </w:rPr>
        <w:t xml:space="preserve"> of the platform is its local variety</w:t>
      </w:r>
      <w:r w:rsidR="004B0D9D" w:rsidRPr="00C32D58">
        <w:rPr>
          <w:rFonts w:ascii="Times New Roman" w:hAnsi="Times New Roman" w:cs="Times New Roman"/>
          <w:sz w:val="24"/>
          <w:szCs w:val="24"/>
        </w:rPr>
        <w:t xml:space="preserve"> and experimental quality</w:t>
      </w:r>
      <w:r w:rsidRPr="00C32D58">
        <w:rPr>
          <w:rFonts w:ascii="Times New Roman" w:hAnsi="Times New Roman" w:cs="Times New Roman"/>
          <w:sz w:val="24"/>
          <w:szCs w:val="24"/>
        </w:rPr>
        <w:t xml:space="preserve">. </w:t>
      </w:r>
      <w:r w:rsidR="004B0D9D" w:rsidRPr="00C32D58">
        <w:rPr>
          <w:rFonts w:ascii="Times New Roman" w:hAnsi="Times New Roman" w:cs="Times New Roman"/>
          <w:sz w:val="24"/>
          <w:szCs w:val="24"/>
        </w:rPr>
        <w:t>Too much uniformity imposed on its evolving forms can stifle innovation.</w:t>
      </w:r>
      <w:r w:rsidR="002079BE" w:rsidRPr="00C32D58">
        <w:rPr>
          <w:rFonts w:ascii="Times New Roman" w:hAnsi="Times New Roman" w:cs="Times New Roman"/>
          <w:sz w:val="24"/>
          <w:szCs w:val="24"/>
        </w:rPr>
        <w:t xml:space="preserve"> Too much uniformity also hurts that ability to digitally tailor the deal and decrease transaction costs in all three stages: it prevents experimentation with systems that allow better search and information pre-deal; more tailored and precise negotiation of the deal the parties are interested in; and a greater variety of interactive online forums that allow post deal monitoring and trust.</w:t>
      </w:r>
    </w:p>
    <w:p w14:paraId="218A9E98" w14:textId="66738CE1" w:rsidR="0006097D" w:rsidRPr="00C32D58" w:rsidRDefault="0006097D" w:rsidP="00C32D58">
      <w:pPr>
        <w:spacing w:after="0" w:line="240" w:lineRule="auto"/>
        <w:ind w:firstLine="720"/>
        <w:rPr>
          <w:rFonts w:ascii="Times New Roman" w:hAnsi="Times New Roman" w:cs="Times New Roman"/>
          <w:sz w:val="24"/>
          <w:szCs w:val="24"/>
        </w:rPr>
      </w:pPr>
    </w:p>
    <w:p w14:paraId="5B00EA31" w14:textId="6C94AD00" w:rsidR="00213B60" w:rsidRPr="00C32D58" w:rsidRDefault="00CE575C" w:rsidP="00C32D58">
      <w:pPr>
        <w:spacing w:after="0" w:line="240" w:lineRule="auto"/>
        <w:rPr>
          <w:rFonts w:ascii="Times New Roman" w:hAnsi="Times New Roman" w:cs="Times New Roman"/>
          <w:b/>
          <w:sz w:val="24"/>
          <w:szCs w:val="24"/>
        </w:rPr>
      </w:pPr>
      <w:r w:rsidRPr="00C32D58">
        <w:rPr>
          <w:rFonts w:ascii="Times New Roman" w:hAnsi="Times New Roman" w:cs="Times New Roman"/>
          <w:b/>
          <w:sz w:val="24"/>
          <w:szCs w:val="24"/>
        </w:rPr>
        <w:t xml:space="preserve">3. </w:t>
      </w:r>
      <w:r w:rsidR="002F1BD2" w:rsidRPr="00C32D58">
        <w:rPr>
          <w:rFonts w:ascii="Times New Roman" w:hAnsi="Times New Roman" w:cs="Times New Roman"/>
          <w:b/>
          <w:sz w:val="24"/>
          <w:szCs w:val="24"/>
        </w:rPr>
        <w:t>Regulators, Meet Ratings</w:t>
      </w:r>
      <w:r w:rsidR="00352A20" w:rsidRPr="00C32D58">
        <w:rPr>
          <w:rFonts w:ascii="Times New Roman" w:hAnsi="Times New Roman" w:cs="Times New Roman"/>
          <w:b/>
          <w:sz w:val="24"/>
          <w:szCs w:val="24"/>
        </w:rPr>
        <w:t xml:space="preserve"> </w:t>
      </w:r>
    </w:p>
    <w:p w14:paraId="0B6E9564" w14:textId="77777777" w:rsidR="000F59F3" w:rsidRDefault="000F59F3" w:rsidP="00C32D58">
      <w:pPr>
        <w:pStyle w:val="NormalWeb"/>
        <w:spacing w:before="0" w:beforeAutospacing="0" w:after="0" w:afterAutospacing="0"/>
        <w:ind w:firstLine="720"/>
      </w:pPr>
    </w:p>
    <w:p w14:paraId="5DE60FDD" w14:textId="6235BEC7" w:rsidR="002B6B3D" w:rsidRPr="000F59F3" w:rsidRDefault="002B6B3D" w:rsidP="00C32D58">
      <w:pPr>
        <w:pStyle w:val="NormalWeb"/>
        <w:spacing w:before="0" w:beforeAutospacing="0" w:after="0" w:afterAutospacing="0"/>
        <w:ind w:firstLine="720"/>
      </w:pPr>
      <w:r w:rsidRPr="000F59F3">
        <w:t>The current era of the digital platform is moving to</w:t>
      </w:r>
      <w:r w:rsidR="00B32957" w:rsidRPr="000F59F3">
        <w:t>wards</w:t>
      </w:r>
      <w:r w:rsidRPr="000F59F3">
        <w:t xml:space="preserve"> </w:t>
      </w:r>
      <w:r w:rsidR="00DC493D" w:rsidRPr="000F59F3">
        <w:t xml:space="preserve">lower </w:t>
      </w:r>
      <w:r w:rsidRPr="000F59F3">
        <w:t>transaction costs by cutting out excessive bargaining time.</w:t>
      </w:r>
      <w:r w:rsidR="000330A3" w:rsidRPr="000F59F3">
        <w:rPr>
          <w:rStyle w:val="FootnoteReference"/>
        </w:rPr>
        <w:footnoteReference w:id="47"/>
      </w:r>
      <w:r w:rsidRPr="000F59F3">
        <w:t xml:space="preserve"> While transaction costs still exist in these platforms, </w:t>
      </w:r>
      <w:r w:rsidR="008B5C32">
        <w:t>as</w:t>
      </w:r>
      <w:r w:rsidR="00C04090" w:rsidRPr="000F59F3">
        <w:t xml:space="preserve"> the number of</w:t>
      </w:r>
      <w:r w:rsidRPr="000F59F3">
        <w:t xml:space="preserve"> transactions increase, so does efficiency. As efficiencies increase, transaction costs become smaller, and society begins to move closer to the marketplace Coase once envisioned. In his article, Coase states:  </w:t>
      </w:r>
    </w:p>
    <w:p w14:paraId="07D3B487" w14:textId="77777777" w:rsidR="000F59F3" w:rsidRDefault="000F59F3" w:rsidP="00C32D58">
      <w:pPr>
        <w:pStyle w:val="NormalWeb"/>
        <w:spacing w:before="0" w:beforeAutospacing="0" w:after="0" w:afterAutospacing="0"/>
        <w:ind w:left="720" w:right="720"/>
      </w:pPr>
    </w:p>
    <w:p w14:paraId="5DFB78E9" w14:textId="3EB4427D" w:rsidR="002B6B3D" w:rsidRDefault="002B6B3D" w:rsidP="00C32D58">
      <w:pPr>
        <w:pStyle w:val="NormalWeb"/>
        <w:spacing w:before="0" w:beforeAutospacing="0" w:after="0" w:afterAutospacing="0"/>
        <w:ind w:left="720" w:right="720"/>
      </w:pPr>
      <w:r w:rsidRPr="00C32D58">
        <w:t>In order to carry out a market transaction it is necessary to discover who it is that one wishes to deal with, to inform people that one wishes to deal and on what terms, to conduct negotiations leading up to a bargain, to draw up the contract, to under-take the inspection needed to make sure that the terms of the contract are being observed, and so on.</w:t>
      </w:r>
      <w:r w:rsidRPr="00C32D58">
        <w:rPr>
          <w:rStyle w:val="FootnoteReference"/>
        </w:rPr>
        <w:footnoteReference w:id="48"/>
      </w:r>
    </w:p>
    <w:p w14:paraId="24679B17" w14:textId="77777777" w:rsidR="000F59F3" w:rsidRPr="000F59F3" w:rsidRDefault="000F59F3" w:rsidP="00C32D58">
      <w:pPr>
        <w:pStyle w:val="NormalWeb"/>
        <w:spacing w:before="0" w:beforeAutospacing="0" w:after="0" w:afterAutospacing="0"/>
        <w:ind w:left="720" w:right="720"/>
      </w:pPr>
    </w:p>
    <w:p w14:paraId="39ED1D7F" w14:textId="4DC7A548" w:rsidR="005F15F9" w:rsidRPr="00C32D58" w:rsidRDefault="005F15F9" w:rsidP="00C32D58">
      <w:pPr>
        <w:spacing w:after="0" w:line="240" w:lineRule="auto"/>
        <w:jc w:val="both"/>
        <w:rPr>
          <w:rFonts w:ascii="Times New Roman" w:hAnsi="Times New Roman" w:cs="Times New Roman"/>
          <w:sz w:val="24"/>
          <w:szCs w:val="24"/>
        </w:rPr>
      </w:pPr>
      <w:r w:rsidRPr="00C32D58">
        <w:rPr>
          <w:rFonts w:ascii="Times New Roman" w:hAnsi="Times New Roman" w:cs="Times New Roman"/>
          <w:sz w:val="24"/>
          <w:szCs w:val="24"/>
        </w:rPr>
        <w:t>To reach such efficiencies in drawing the terms of the deal, one also needs confidence and assurances about the enforcement of the deal. As Dahlman explains in expanding on Coase’s analysis, “</w:t>
      </w:r>
      <w:r w:rsidRPr="000F59F3">
        <w:rPr>
          <w:rFonts w:ascii="Times New Roman" w:hAnsi="Times New Roman" w:cs="Times New Roman"/>
          <w:sz w:val="24"/>
          <w:szCs w:val="24"/>
        </w:rPr>
        <w:t>after the trade has been decided on, there will be the costs of policing and monitoring the other party to see that his obligations are carried out as determined by the terms of the contract, and of enforcing the agreement reached.”</w:t>
      </w:r>
      <w:r w:rsidRPr="00C32D58">
        <w:rPr>
          <w:rStyle w:val="FootnoteReference"/>
          <w:rFonts w:ascii="Times New Roman" w:hAnsi="Times New Roman" w:cs="Times New Roman"/>
          <w:sz w:val="24"/>
          <w:szCs w:val="24"/>
        </w:rPr>
        <w:footnoteReference w:id="49"/>
      </w:r>
    </w:p>
    <w:p w14:paraId="44979293" w14:textId="77777777" w:rsidR="000F59F3" w:rsidRDefault="005F15F9" w:rsidP="00C32D58">
      <w:pPr>
        <w:spacing w:after="0" w:line="240" w:lineRule="auto"/>
        <w:ind w:firstLine="720"/>
        <w:rPr>
          <w:rFonts w:ascii="Times New Roman" w:hAnsi="Times New Roman" w:cs="Times New Roman"/>
          <w:sz w:val="24"/>
          <w:szCs w:val="24"/>
        </w:rPr>
      </w:pPr>
      <w:r w:rsidRPr="00C32D58">
        <w:rPr>
          <w:rFonts w:ascii="Times New Roman" w:hAnsi="Times New Roman" w:cs="Times New Roman"/>
          <w:sz w:val="24"/>
          <w:szCs w:val="24"/>
        </w:rPr>
        <w:t xml:space="preserve"> </w:t>
      </w:r>
    </w:p>
    <w:p w14:paraId="03399830" w14:textId="129F4BC4" w:rsidR="00862B29" w:rsidRPr="00C32D58" w:rsidRDefault="005F15F9" w:rsidP="00C32D58">
      <w:pPr>
        <w:spacing w:after="0" w:line="240" w:lineRule="auto"/>
        <w:ind w:firstLine="720"/>
        <w:rPr>
          <w:rFonts w:ascii="Times New Roman" w:hAnsi="Times New Roman" w:cs="Times New Roman"/>
          <w:sz w:val="24"/>
          <w:szCs w:val="24"/>
          <w:lang w:bidi="he-IL"/>
        </w:rPr>
      </w:pPr>
      <w:r w:rsidRPr="00C32D58">
        <w:rPr>
          <w:rFonts w:ascii="Times New Roman" w:hAnsi="Times New Roman" w:cs="Times New Roman"/>
          <w:sz w:val="24"/>
          <w:szCs w:val="24"/>
        </w:rPr>
        <w:t>Monitoring</w:t>
      </w:r>
      <w:r w:rsidR="00CE5F77" w:rsidRPr="00C32D58">
        <w:rPr>
          <w:rFonts w:ascii="Times New Roman" w:hAnsi="Times New Roman" w:cs="Times New Roman"/>
          <w:sz w:val="24"/>
          <w:szCs w:val="24"/>
        </w:rPr>
        <w:t xml:space="preserve"> transactions</w:t>
      </w:r>
      <w:r w:rsidRPr="00C32D58">
        <w:rPr>
          <w:rFonts w:ascii="Times New Roman" w:hAnsi="Times New Roman" w:cs="Times New Roman"/>
          <w:sz w:val="24"/>
          <w:szCs w:val="24"/>
        </w:rPr>
        <w:t xml:space="preserve"> has become part of the experience of the platform, and has given a sense of control to those using the platform. Incentivizing or mandating the review of one</w:t>
      </w:r>
      <w:r w:rsidR="00D6747F" w:rsidRPr="00C32D58">
        <w:rPr>
          <w:rFonts w:ascii="Times New Roman" w:hAnsi="Times New Roman" w:cs="Times New Roman"/>
          <w:sz w:val="24"/>
          <w:szCs w:val="24"/>
        </w:rPr>
        <w:t>’</w:t>
      </w:r>
      <w:r w:rsidRPr="00C32D58">
        <w:rPr>
          <w:rFonts w:ascii="Times New Roman" w:hAnsi="Times New Roman" w:cs="Times New Roman"/>
          <w:sz w:val="24"/>
          <w:szCs w:val="24"/>
        </w:rPr>
        <w:t>s most recent experience with a platform company has begun to create a relatively self-regulating system which customers can rely on</w:t>
      </w:r>
      <w:r w:rsidR="007A6A78" w:rsidRPr="00C32D58">
        <w:rPr>
          <w:rFonts w:ascii="Times New Roman" w:hAnsi="Times New Roman" w:cs="Times New Roman"/>
          <w:sz w:val="24"/>
          <w:szCs w:val="24"/>
        </w:rPr>
        <w:t>, one that provides a level of accountability that could potentially replace regulatory oversight</w:t>
      </w:r>
      <w:r w:rsidRPr="00C32D58">
        <w:rPr>
          <w:rFonts w:ascii="Times New Roman" w:hAnsi="Times New Roman" w:cs="Times New Roman"/>
          <w:sz w:val="24"/>
          <w:szCs w:val="24"/>
        </w:rPr>
        <w:t>.</w:t>
      </w:r>
      <w:r w:rsidR="00C54A2F" w:rsidRPr="00C32D58">
        <w:rPr>
          <w:rFonts w:ascii="Times New Roman" w:hAnsi="Times New Roman" w:cs="Times New Roman"/>
          <w:sz w:val="24"/>
          <w:szCs w:val="24"/>
        </w:rPr>
        <w:t xml:space="preserve"> An Uber driver, for example, </w:t>
      </w:r>
      <w:r w:rsidR="00D6747F" w:rsidRPr="00C32D58">
        <w:rPr>
          <w:rFonts w:ascii="Times New Roman" w:hAnsi="Times New Roman" w:cs="Times New Roman"/>
          <w:sz w:val="24"/>
          <w:szCs w:val="24"/>
        </w:rPr>
        <w:t>who</w:t>
      </w:r>
      <w:r w:rsidR="00C54A2F" w:rsidRPr="00C32D58">
        <w:rPr>
          <w:rFonts w:ascii="Times New Roman" w:hAnsi="Times New Roman" w:cs="Times New Roman"/>
          <w:sz w:val="24"/>
          <w:szCs w:val="24"/>
        </w:rPr>
        <w:t xml:space="preserve"> knows he or she is necessarily going to be rated and reviewed upon completion of an upcoming ride</w:t>
      </w:r>
      <w:r w:rsidR="00D6747F" w:rsidRPr="00C32D58">
        <w:rPr>
          <w:rFonts w:ascii="Times New Roman" w:hAnsi="Times New Roman" w:cs="Times New Roman"/>
          <w:sz w:val="24"/>
          <w:szCs w:val="24"/>
        </w:rPr>
        <w:t>,</w:t>
      </w:r>
      <w:r w:rsidR="00C54A2F" w:rsidRPr="00C32D58">
        <w:rPr>
          <w:rFonts w:ascii="Times New Roman" w:hAnsi="Times New Roman" w:cs="Times New Roman"/>
          <w:sz w:val="24"/>
          <w:szCs w:val="24"/>
        </w:rPr>
        <w:t xml:space="preserve"> is given an incentive to be timely, efficient, and safe that cannot be imposed nor paralleled by </w:t>
      </w:r>
      <w:r w:rsidR="00D6747F" w:rsidRPr="00C32D58">
        <w:rPr>
          <w:rFonts w:ascii="Times New Roman" w:hAnsi="Times New Roman" w:cs="Times New Roman"/>
          <w:sz w:val="24"/>
          <w:szCs w:val="24"/>
        </w:rPr>
        <w:t>less salient</w:t>
      </w:r>
      <w:r w:rsidR="00C54A2F" w:rsidRPr="00C32D58">
        <w:rPr>
          <w:rFonts w:ascii="Times New Roman" w:hAnsi="Times New Roman" w:cs="Times New Roman"/>
          <w:sz w:val="24"/>
          <w:szCs w:val="24"/>
        </w:rPr>
        <w:t xml:space="preserve"> statutory regulations.</w:t>
      </w:r>
      <w:r w:rsidR="002A27F6" w:rsidRPr="00C32D58">
        <w:rPr>
          <w:rFonts w:ascii="Times New Roman" w:hAnsi="Times New Roman" w:cs="Times New Roman"/>
          <w:sz w:val="24"/>
          <w:szCs w:val="24"/>
        </w:rPr>
        <w:t xml:space="preserve"> </w:t>
      </w:r>
      <w:r w:rsidR="00984E64" w:rsidRPr="00C32D58">
        <w:rPr>
          <w:rFonts w:ascii="Times New Roman" w:hAnsi="Times New Roman" w:cs="Times New Roman"/>
          <w:sz w:val="24"/>
          <w:szCs w:val="24"/>
        </w:rPr>
        <w:t>This also why Coase’s three stages of the deal are inevitably interrelated: ex-post reviews aid not only for ex-ante trust and monitoring</w:t>
      </w:r>
      <w:r w:rsidR="00C32D58" w:rsidRPr="00C32D58">
        <w:rPr>
          <w:rFonts w:ascii="Times New Roman" w:hAnsi="Times New Roman" w:cs="Times New Roman"/>
          <w:sz w:val="24"/>
          <w:szCs w:val="24"/>
        </w:rPr>
        <w:t>,</w:t>
      </w:r>
      <w:r w:rsidR="00984E64" w:rsidRPr="00C32D58">
        <w:rPr>
          <w:rFonts w:ascii="Times New Roman" w:hAnsi="Times New Roman" w:cs="Times New Roman"/>
          <w:sz w:val="24"/>
          <w:szCs w:val="24"/>
        </w:rPr>
        <w:t xml:space="preserve"> but also help provide future deals with information that aids search. </w:t>
      </w:r>
      <w:r w:rsidR="002A27F6" w:rsidRPr="00C32D58">
        <w:rPr>
          <w:rFonts w:ascii="Times New Roman" w:hAnsi="Times New Roman" w:cs="Times New Roman"/>
          <w:sz w:val="24"/>
          <w:szCs w:val="24"/>
          <w:lang w:bidi="he-IL"/>
        </w:rPr>
        <w:t>Digital ratings and reviews, along with digital platform</w:t>
      </w:r>
      <w:r w:rsidR="00D6747F" w:rsidRPr="00C32D58">
        <w:rPr>
          <w:rFonts w:ascii="Times New Roman" w:hAnsi="Times New Roman" w:cs="Times New Roman"/>
          <w:sz w:val="24"/>
          <w:szCs w:val="24"/>
          <w:lang w:bidi="he-IL"/>
        </w:rPr>
        <w:t>s</w:t>
      </w:r>
      <w:r w:rsidR="002A27F6" w:rsidRPr="00C32D58">
        <w:rPr>
          <w:rFonts w:ascii="Times New Roman" w:hAnsi="Times New Roman" w:cs="Times New Roman"/>
          <w:sz w:val="24"/>
          <w:szCs w:val="24"/>
          <w:lang w:bidi="he-IL"/>
        </w:rPr>
        <w:t>’ internal dispute resolution systems,</w:t>
      </w:r>
      <w:r w:rsidR="00927475" w:rsidRPr="00C32D58">
        <w:rPr>
          <w:rFonts w:ascii="Times New Roman" w:hAnsi="Times New Roman" w:cs="Times New Roman"/>
          <w:sz w:val="24"/>
          <w:szCs w:val="24"/>
        </w:rPr>
        <w:t xml:space="preserve"> </w:t>
      </w:r>
      <w:r w:rsidR="001B5230" w:rsidRPr="00C32D58">
        <w:rPr>
          <w:rFonts w:ascii="Times New Roman" w:hAnsi="Times New Roman" w:cs="Times New Roman"/>
          <w:sz w:val="24"/>
          <w:szCs w:val="24"/>
        </w:rPr>
        <w:t xml:space="preserve">can </w:t>
      </w:r>
      <w:r w:rsidR="00606E5B" w:rsidRPr="00C32D58">
        <w:rPr>
          <w:rFonts w:ascii="Times New Roman" w:hAnsi="Times New Roman" w:cs="Times New Roman"/>
          <w:sz w:val="24"/>
          <w:szCs w:val="24"/>
        </w:rPr>
        <w:t>disincentivize</w:t>
      </w:r>
      <w:r w:rsidR="00927475" w:rsidRPr="00C32D58">
        <w:rPr>
          <w:rFonts w:ascii="Times New Roman" w:hAnsi="Times New Roman" w:cs="Times New Roman"/>
          <w:sz w:val="24"/>
          <w:szCs w:val="24"/>
        </w:rPr>
        <w:t xml:space="preserve"> and w</w:t>
      </w:r>
      <w:r w:rsidR="001B5230" w:rsidRPr="00C32D58">
        <w:rPr>
          <w:rFonts w:ascii="Times New Roman" w:hAnsi="Times New Roman" w:cs="Times New Roman"/>
          <w:sz w:val="24"/>
          <w:szCs w:val="24"/>
        </w:rPr>
        <w:t>eed</w:t>
      </w:r>
      <w:r w:rsidR="00927475" w:rsidRPr="00C32D58">
        <w:rPr>
          <w:rFonts w:ascii="Times New Roman" w:hAnsi="Times New Roman" w:cs="Times New Roman"/>
          <w:sz w:val="24"/>
          <w:szCs w:val="24"/>
        </w:rPr>
        <w:t xml:space="preserve"> out fraudu</w:t>
      </w:r>
      <w:r w:rsidR="002A27F6" w:rsidRPr="00C32D58">
        <w:rPr>
          <w:rFonts w:ascii="Times New Roman" w:hAnsi="Times New Roman" w:cs="Times New Roman"/>
          <w:sz w:val="24"/>
          <w:szCs w:val="24"/>
        </w:rPr>
        <w:t>lent or irresponsible users</w:t>
      </w:r>
      <w:r w:rsidR="008672FE" w:rsidRPr="00C32D58">
        <w:rPr>
          <w:rFonts w:ascii="Times New Roman" w:hAnsi="Times New Roman" w:cs="Times New Roman"/>
          <w:sz w:val="24"/>
          <w:szCs w:val="24"/>
        </w:rPr>
        <w:t xml:space="preserve">, thus providing users </w:t>
      </w:r>
      <w:r w:rsidR="00D6747F" w:rsidRPr="00C32D58">
        <w:rPr>
          <w:rFonts w:ascii="Times New Roman" w:hAnsi="Times New Roman" w:cs="Times New Roman"/>
          <w:sz w:val="24"/>
          <w:szCs w:val="24"/>
        </w:rPr>
        <w:t xml:space="preserve">with greater </w:t>
      </w:r>
      <w:r w:rsidR="008672FE" w:rsidRPr="00C32D58">
        <w:rPr>
          <w:rFonts w:ascii="Times New Roman" w:hAnsi="Times New Roman" w:cs="Times New Roman"/>
          <w:sz w:val="24"/>
          <w:szCs w:val="24"/>
        </w:rPr>
        <w:t>confidence in who they are contracting with – a necessary element to the carrying out of a market transaction in the Coasean view</w:t>
      </w:r>
      <w:r w:rsidR="001B5230" w:rsidRPr="00C32D58">
        <w:rPr>
          <w:rFonts w:ascii="Times New Roman" w:hAnsi="Times New Roman" w:cs="Times New Roman"/>
          <w:sz w:val="24"/>
          <w:szCs w:val="24"/>
        </w:rPr>
        <w:t xml:space="preserve">. </w:t>
      </w:r>
      <w:bookmarkStart w:id="12" w:name="OLE_LINK612"/>
      <w:bookmarkStart w:id="13" w:name="OLE_LINK613"/>
      <w:r w:rsidR="001B5230" w:rsidRPr="00C32D58">
        <w:rPr>
          <w:rFonts w:ascii="Times New Roman" w:hAnsi="Times New Roman" w:cs="Times New Roman"/>
          <w:sz w:val="24"/>
          <w:szCs w:val="24"/>
        </w:rPr>
        <w:t xml:space="preserve">As </w:t>
      </w:r>
      <w:r w:rsidR="001B5230" w:rsidRPr="00C32D58">
        <w:rPr>
          <w:rFonts w:ascii="Times New Roman" w:hAnsi="Times New Roman" w:cs="Times New Roman"/>
          <w:sz w:val="24"/>
          <w:szCs w:val="24"/>
          <w:lang w:bidi="he-IL"/>
        </w:rPr>
        <w:t>John Hawksworth, chief economist at PwC, put it, “modern digital communications allow sharing to happen across a global village of consumers and providers, with trust established through electronic peer reviews</w:t>
      </w:r>
      <w:bookmarkEnd w:id="12"/>
      <w:bookmarkEnd w:id="13"/>
      <w:r w:rsidR="00862B29" w:rsidRPr="00C32D58">
        <w:rPr>
          <w:rFonts w:ascii="Times New Roman" w:hAnsi="Times New Roman" w:cs="Times New Roman"/>
          <w:sz w:val="24"/>
          <w:szCs w:val="24"/>
          <w:lang w:bidi="he-IL"/>
        </w:rPr>
        <w:t>.”</w:t>
      </w:r>
      <w:r w:rsidR="001B5230" w:rsidRPr="00C32D58">
        <w:rPr>
          <w:rStyle w:val="FootnoteReference"/>
          <w:rFonts w:ascii="Times New Roman" w:hAnsi="Times New Roman" w:cs="Times New Roman"/>
          <w:sz w:val="24"/>
          <w:szCs w:val="24"/>
          <w:lang w:bidi="he-IL"/>
        </w:rPr>
        <w:footnoteReference w:id="50"/>
      </w:r>
      <w:r w:rsidR="009D3097" w:rsidRPr="00C32D58">
        <w:rPr>
          <w:rFonts w:ascii="Times New Roman" w:eastAsia="Calibri" w:hAnsi="Times New Roman" w:cs="Times New Roman"/>
          <w:sz w:val="24"/>
          <w:szCs w:val="24"/>
        </w:rPr>
        <w:t xml:space="preserve"> </w:t>
      </w:r>
      <w:r w:rsidR="00B8456D" w:rsidRPr="00C32D58">
        <w:rPr>
          <w:rFonts w:ascii="Times New Roman" w:eastAsia="Calibri" w:hAnsi="Times New Roman" w:cs="Times New Roman"/>
          <w:sz w:val="24"/>
          <w:szCs w:val="24"/>
        </w:rPr>
        <w:t>On the platform, services, providers</w:t>
      </w:r>
      <w:r w:rsidR="00ED536C" w:rsidRPr="00C32D58">
        <w:rPr>
          <w:rFonts w:ascii="Times New Roman" w:eastAsia="Calibri" w:hAnsi="Times New Roman" w:cs="Times New Roman"/>
          <w:sz w:val="24"/>
          <w:szCs w:val="24"/>
        </w:rPr>
        <w:t>,</w:t>
      </w:r>
      <w:r w:rsidR="00B8456D" w:rsidRPr="00C32D58">
        <w:rPr>
          <w:rFonts w:ascii="Times New Roman" w:eastAsia="Calibri" w:hAnsi="Times New Roman" w:cs="Times New Roman"/>
          <w:sz w:val="24"/>
          <w:szCs w:val="24"/>
        </w:rPr>
        <w:t xml:space="preserve"> and users all track and review</w:t>
      </w:r>
      <w:r w:rsidR="00FA3151" w:rsidRPr="00C32D58">
        <w:rPr>
          <w:rFonts w:ascii="Times New Roman" w:eastAsia="Calibri" w:hAnsi="Times New Roman" w:cs="Times New Roman"/>
          <w:sz w:val="24"/>
          <w:szCs w:val="24"/>
        </w:rPr>
        <w:t xml:space="preserve"> each other</w:t>
      </w:r>
      <w:r w:rsidR="00B8456D" w:rsidRPr="00C32D58">
        <w:rPr>
          <w:rFonts w:ascii="Times New Roman" w:eastAsia="Calibri" w:hAnsi="Times New Roman" w:cs="Times New Roman"/>
          <w:sz w:val="24"/>
          <w:szCs w:val="24"/>
        </w:rPr>
        <w:t xml:space="preserve">, creating a utopian (or some might say dystopian) </w:t>
      </w:r>
      <w:r w:rsidR="00B8456D" w:rsidRPr="00C32D58">
        <w:rPr>
          <w:rFonts w:ascii="Times New Roman" w:eastAsia="Calibri" w:hAnsi="Times New Roman" w:cs="Times New Roman"/>
          <w:sz w:val="24"/>
          <w:szCs w:val="24"/>
          <w:lang w:bidi="he-IL"/>
        </w:rPr>
        <w:t xml:space="preserve">Foucauldian panopticon. </w:t>
      </w:r>
      <w:r w:rsidR="00862B29" w:rsidRPr="00C32D58">
        <w:rPr>
          <w:rFonts w:ascii="Times New Roman" w:hAnsi="Times New Roman" w:cs="Times New Roman"/>
          <w:sz w:val="24"/>
          <w:szCs w:val="24"/>
          <w:lang w:bidi="he-IL"/>
        </w:rPr>
        <w:t>Eric Goldman has referred to</w:t>
      </w:r>
      <w:r w:rsidR="00B8456D" w:rsidRPr="00C32D58">
        <w:rPr>
          <w:rFonts w:ascii="Times New Roman" w:hAnsi="Times New Roman" w:cs="Times New Roman"/>
          <w:sz w:val="24"/>
          <w:szCs w:val="24"/>
          <w:lang w:bidi="he-IL"/>
        </w:rPr>
        <w:t xml:space="preserve"> this feature of online ratings</w:t>
      </w:r>
      <w:r w:rsidR="00862B29" w:rsidRPr="00C32D58">
        <w:rPr>
          <w:rFonts w:ascii="Times New Roman" w:hAnsi="Times New Roman" w:cs="Times New Roman"/>
          <w:sz w:val="24"/>
          <w:szCs w:val="24"/>
          <w:lang w:bidi="he-IL"/>
        </w:rPr>
        <w:t xml:space="preserve"> as the “secondary invisible hand”: </w:t>
      </w:r>
    </w:p>
    <w:p w14:paraId="70273856" w14:textId="77777777" w:rsidR="000F59F3" w:rsidRDefault="000F59F3" w:rsidP="00C32D58">
      <w:pPr>
        <w:spacing w:after="0" w:line="240" w:lineRule="auto"/>
        <w:ind w:left="720"/>
        <w:jc w:val="both"/>
        <w:rPr>
          <w:rFonts w:ascii="Times New Roman" w:hAnsi="Times New Roman" w:cs="Times New Roman"/>
          <w:sz w:val="24"/>
          <w:szCs w:val="24"/>
          <w:lang w:bidi="he-IL"/>
        </w:rPr>
      </w:pPr>
      <w:bookmarkStart w:id="14" w:name="OLE_LINK652"/>
      <w:bookmarkStart w:id="15" w:name="OLE_LINK653"/>
    </w:p>
    <w:p w14:paraId="53900C47" w14:textId="633F0797" w:rsidR="00862B29" w:rsidRDefault="00862B29" w:rsidP="00C32D58">
      <w:pPr>
        <w:spacing w:after="0" w:line="240" w:lineRule="auto"/>
        <w:ind w:left="720"/>
        <w:jc w:val="both"/>
        <w:rPr>
          <w:rFonts w:ascii="Times New Roman" w:hAnsi="Times New Roman" w:cs="Times New Roman"/>
          <w:sz w:val="24"/>
          <w:szCs w:val="24"/>
          <w:lang w:bidi="he-IL"/>
        </w:rPr>
      </w:pPr>
      <w:r w:rsidRPr="00C32D58">
        <w:rPr>
          <w:rFonts w:ascii="Times New Roman" w:hAnsi="Times New Roman" w:cs="Times New Roman"/>
          <w:sz w:val="24"/>
          <w:szCs w:val="24"/>
          <w:lang w:bidi="he-IL"/>
        </w:rPr>
        <w:t>When information is costly, reputational information can improve the operation of the invisible hand by helping consumers make better decisions about vendors. In this sense, reputational information acts like an invisible hand guiding the invisible hand…because reputational information can guide consumers to make marketplace choices that, in aggregate, effectuate the invisible hand</w:t>
      </w:r>
      <w:bookmarkEnd w:id="14"/>
      <w:bookmarkEnd w:id="15"/>
      <w:r w:rsidRPr="00C32D58">
        <w:rPr>
          <w:rFonts w:ascii="Times New Roman" w:hAnsi="Times New Roman" w:cs="Times New Roman"/>
          <w:sz w:val="24"/>
          <w:szCs w:val="24"/>
          <w:lang w:bidi="he-IL"/>
        </w:rPr>
        <w:t>.</w:t>
      </w:r>
      <w:r w:rsidRPr="00C32D58">
        <w:rPr>
          <w:rFonts w:ascii="Times New Roman" w:hAnsi="Times New Roman" w:cs="Times New Roman"/>
          <w:sz w:val="24"/>
          <w:szCs w:val="24"/>
          <w:vertAlign w:val="superscript"/>
          <w:lang w:bidi="he-IL"/>
        </w:rPr>
        <w:footnoteReference w:id="51"/>
      </w:r>
      <w:r w:rsidRPr="00C32D58">
        <w:rPr>
          <w:rFonts w:ascii="Times New Roman" w:hAnsi="Times New Roman" w:cs="Times New Roman"/>
          <w:sz w:val="24"/>
          <w:szCs w:val="24"/>
          <w:lang w:bidi="he-IL"/>
        </w:rPr>
        <w:t xml:space="preserve"> </w:t>
      </w:r>
    </w:p>
    <w:p w14:paraId="04130C71" w14:textId="77777777" w:rsidR="000F59F3" w:rsidRPr="00C32D58" w:rsidRDefault="000F59F3" w:rsidP="00C32D58">
      <w:pPr>
        <w:spacing w:after="0" w:line="240" w:lineRule="auto"/>
        <w:ind w:left="720"/>
        <w:jc w:val="both"/>
        <w:rPr>
          <w:rFonts w:ascii="Times New Roman" w:hAnsi="Times New Roman" w:cs="Times New Roman"/>
          <w:sz w:val="24"/>
          <w:szCs w:val="24"/>
          <w:lang w:bidi="he-IL"/>
        </w:rPr>
      </w:pPr>
    </w:p>
    <w:p w14:paraId="29DF1C55" w14:textId="46DA3B9F" w:rsidR="00DC493D" w:rsidRPr="00C32D58" w:rsidRDefault="002A27F6" w:rsidP="00C32D58">
      <w:pPr>
        <w:spacing w:after="0" w:line="240" w:lineRule="auto"/>
        <w:ind w:firstLine="720"/>
        <w:jc w:val="both"/>
        <w:rPr>
          <w:rFonts w:ascii="Times New Roman" w:hAnsi="Times New Roman" w:cs="Times New Roman"/>
          <w:sz w:val="24"/>
          <w:szCs w:val="24"/>
        </w:rPr>
      </w:pPr>
      <w:r w:rsidRPr="00C32D58">
        <w:rPr>
          <w:rFonts w:ascii="Times New Roman" w:hAnsi="Times New Roman" w:cs="Times New Roman"/>
          <w:sz w:val="24"/>
          <w:szCs w:val="24"/>
          <w:lang w:bidi="he-IL"/>
        </w:rPr>
        <w:t>Reliance on</w:t>
      </w:r>
      <w:r w:rsidR="00B8456D" w:rsidRPr="00C32D58">
        <w:rPr>
          <w:rFonts w:ascii="Times New Roman" w:hAnsi="Times New Roman" w:cs="Times New Roman"/>
          <w:sz w:val="24"/>
          <w:szCs w:val="24"/>
          <w:lang w:bidi="he-IL"/>
        </w:rPr>
        <w:t xml:space="preserve"> vast, dynamic information</w:t>
      </w:r>
      <w:r w:rsidR="00872DF5" w:rsidRPr="00C32D58">
        <w:rPr>
          <w:rFonts w:ascii="Times New Roman" w:hAnsi="Times New Roman" w:cs="Times New Roman"/>
          <w:sz w:val="24"/>
          <w:szCs w:val="24"/>
          <w:lang w:bidi="he-IL"/>
        </w:rPr>
        <w:t xml:space="preserve"> </w:t>
      </w:r>
      <w:r w:rsidRPr="00C32D58">
        <w:rPr>
          <w:rFonts w:ascii="Times New Roman" w:hAnsi="Times New Roman" w:cs="Times New Roman"/>
          <w:sz w:val="24"/>
          <w:szCs w:val="24"/>
          <w:lang w:bidi="he-IL"/>
        </w:rPr>
        <w:t>for</w:t>
      </w:r>
      <w:r w:rsidR="00872DF5" w:rsidRPr="00C32D58">
        <w:rPr>
          <w:rFonts w:ascii="Times New Roman" w:hAnsi="Times New Roman" w:cs="Times New Roman"/>
          <w:sz w:val="24"/>
          <w:szCs w:val="24"/>
          <w:lang w:bidi="he-IL"/>
        </w:rPr>
        <w:t xml:space="preserve"> each transaction</w:t>
      </w:r>
      <w:r w:rsidR="00B8456D" w:rsidRPr="00C32D58">
        <w:rPr>
          <w:rFonts w:ascii="Times New Roman" w:hAnsi="Times New Roman" w:cs="Times New Roman"/>
          <w:sz w:val="24"/>
          <w:szCs w:val="24"/>
          <w:lang w:bidi="he-IL"/>
        </w:rPr>
        <w:t xml:space="preserve"> may well be more efficient than one</w:t>
      </w:r>
      <w:r w:rsidR="00624055" w:rsidRPr="00C32D58">
        <w:rPr>
          <w:rFonts w:ascii="Times New Roman" w:hAnsi="Times New Roman" w:cs="Times New Roman"/>
          <w:sz w:val="24"/>
          <w:szCs w:val="24"/>
          <w:lang w:bidi="he-IL"/>
        </w:rPr>
        <w:t>-</w:t>
      </w:r>
      <w:r w:rsidR="00B8456D" w:rsidRPr="00C32D58">
        <w:rPr>
          <w:rFonts w:ascii="Times New Roman" w:hAnsi="Times New Roman" w:cs="Times New Roman"/>
          <w:sz w:val="24"/>
          <w:szCs w:val="24"/>
          <w:lang w:bidi="he-IL"/>
        </w:rPr>
        <w:t xml:space="preserve">shot regulatory screenings, such </w:t>
      </w:r>
      <w:r w:rsidR="001D70F6" w:rsidRPr="00C32D58">
        <w:rPr>
          <w:rFonts w:ascii="Times New Roman" w:hAnsi="Times New Roman" w:cs="Times New Roman"/>
          <w:sz w:val="24"/>
          <w:szCs w:val="24"/>
          <w:lang w:bidi="he-IL"/>
        </w:rPr>
        <w:t xml:space="preserve">as </w:t>
      </w:r>
      <w:r w:rsidR="00B8456D" w:rsidRPr="00C32D58">
        <w:rPr>
          <w:rFonts w:ascii="Times New Roman" w:hAnsi="Times New Roman" w:cs="Times New Roman"/>
          <w:sz w:val="24"/>
          <w:szCs w:val="24"/>
          <w:lang w:bidi="he-IL"/>
        </w:rPr>
        <w:t>licensing or quality control requirements.</w:t>
      </w:r>
      <w:r w:rsidR="001F3035" w:rsidRPr="00C32D58">
        <w:rPr>
          <w:rStyle w:val="FootnoteReference"/>
          <w:rFonts w:ascii="Times New Roman" w:hAnsi="Times New Roman" w:cs="Times New Roman"/>
          <w:sz w:val="24"/>
          <w:szCs w:val="24"/>
        </w:rPr>
        <w:footnoteReference w:id="52"/>
      </w:r>
      <w:r w:rsidR="001F3035" w:rsidRPr="00C32D58">
        <w:rPr>
          <w:rFonts w:ascii="Times New Roman" w:hAnsi="Times New Roman" w:cs="Times New Roman"/>
          <w:sz w:val="24"/>
          <w:szCs w:val="24"/>
        </w:rPr>
        <w:t xml:space="preserve"> </w:t>
      </w:r>
      <w:r w:rsidRPr="00C32D58">
        <w:rPr>
          <w:rFonts w:ascii="Times New Roman" w:hAnsi="Times New Roman" w:cs="Times New Roman"/>
          <w:sz w:val="24"/>
          <w:szCs w:val="24"/>
        </w:rPr>
        <w:t>The design of these systems, as</w:t>
      </w:r>
      <w:r w:rsidR="001F3035" w:rsidRPr="00C32D58">
        <w:rPr>
          <w:rFonts w:ascii="Times New Roman" w:hAnsi="Times New Roman" w:cs="Times New Roman"/>
          <w:sz w:val="24"/>
          <w:szCs w:val="24"/>
        </w:rPr>
        <w:t xml:space="preserve"> two-way </w:t>
      </w:r>
      <w:r w:rsidRPr="00C32D58">
        <w:rPr>
          <w:rFonts w:ascii="Times New Roman" w:hAnsi="Times New Roman" w:cs="Times New Roman"/>
          <w:sz w:val="24"/>
          <w:szCs w:val="24"/>
        </w:rPr>
        <w:t>reciprocal assessments,</w:t>
      </w:r>
      <w:r w:rsidR="001F3035" w:rsidRPr="00C32D58">
        <w:rPr>
          <w:rFonts w:ascii="Times New Roman" w:hAnsi="Times New Roman" w:cs="Times New Roman"/>
          <w:sz w:val="24"/>
          <w:szCs w:val="24"/>
        </w:rPr>
        <w:t xml:space="preserve"> allows buyers and</w:t>
      </w:r>
      <w:r w:rsidRPr="00C32D58">
        <w:rPr>
          <w:rFonts w:ascii="Times New Roman" w:hAnsi="Times New Roman" w:cs="Times New Roman"/>
          <w:sz w:val="24"/>
          <w:szCs w:val="24"/>
        </w:rPr>
        <w:t xml:space="preserve"> sellers to rate each other.</w:t>
      </w:r>
      <w:r w:rsidR="001F3035" w:rsidRPr="00C32D58">
        <w:rPr>
          <w:rFonts w:ascii="Times New Roman" w:hAnsi="Times New Roman" w:cs="Times New Roman"/>
          <w:sz w:val="24"/>
          <w:szCs w:val="24"/>
        </w:rPr>
        <w:t xml:space="preserve"> </w:t>
      </w:r>
      <w:r w:rsidRPr="00C32D58">
        <w:rPr>
          <w:rFonts w:ascii="Times New Roman" w:hAnsi="Times New Roman" w:cs="Times New Roman"/>
          <w:sz w:val="24"/>
          <w:szCs w:val="24"/>
        </w:rPr>
        <w:t>At the same time</w:t>
      </w:r>
      <w:r w:rsidR="001F3035" w:rsidRPr="00C32D58">
        <w:rPr>
          <w:rFonts w:ascii="Times New Roman" w:hAnsi="Times New Roman" w:cs="Times New Roman"/>
          <w:sz w:val="24"/>
          <w:szCs w:val="24"/>
        </w:rPr>
        <w:t xml:space="preserve">, it </w:t>
      </w:r>
      <w:r w:rsidR="009806F9" w:rsidRPr="00C32D58">
        <w:rPr>
          <w:rFonts w:ascii="Times New Roman" w:hAnsi="Times New Roman" w:cs="Times New Roman"/>
          <w:sz w:val="24"/>
          <w:szCs w:val="24"/>
        </w:rPr>
        <w:t>is</w:t>
      </w:r>
      <w:r w:rsidRPr="00C32D58">
        <w:rPr>
          <w:rFonts w:ascii="Times New Roman" w:hAnsi="Times New Roman" w:cs="Times New Roman"/>
          <w:sz w:val="24"/>
          <w:szCs w:val="24"/>
        </w:rPr>
        <w:t xml:space="preserve"> far from</w:t>
      </w:r>
      <w:r w:rsidR="001F3035" w:rsidRPr="00C32D58">
        <w:rPr>
          <w:rFonts w:ascii="Times New Roman" w:hAnsi="Times New Roman" w:cs="Times New Roman"/>
          <w:sz w:val="24"/>
          <w:szCs w:val="24"/>
        </w:rPr>
        <w:t xml:space="preserve"> a perfect system</w:t>
      </w:r>
      <w:r w:rsidRPr="00C32D58">
        <w:rPr>
          <w:rFonts w:ascii="Times New Roman" w:hAnsi="Times New Roman" w:cs="Times New Roman"/>
          <w:sz w:val="24"/>
          <w:szCs w:val="24"/>
        </w:rPr>
        <w:t>. In general,</w:t>
      </w:r>
      <w:r w:rsidR="001F3035" w:rsidRPr="00C32D58">
        <w:rPr>
          <w:rFonts w:ascii="Times New Roman" w:hAnsi="Times New Roman" w:cs="Times New Roman"/>
          <w:sz w:val="24"/>
          <w:szCs w:val="24"/>
        </w:rPr>
        <w:t xml:space="preserve"> there is no control over who leaves a rating or if that rating is </w:t>
      </w:r>
      <w:r w:rsidR="00614E9F" w:rsidRPr="00C32D58">
        <w:rPr>
          <w:rFonts w:ascii="Times New Roman" w:hAnsi="Times New Roman" w:cs="Times New Roman"/>
          <w:sz w:val="24"/>
          <w:szCs w:val="24"/>
        </w:rPr>
        <w:t xml:space="preserve">even </w:t>
      </w:r>
      <w:r w:rsidRPr="00C32D58">
        <w:rPr>
          <w:rFonts w:ascii="Times New Roman" w:hAnsi="Times New Roman" w:cs="Times New Roman"/>
          <w:sz w:val="24"/>
          <w:szCs w:val="24"/>
        </w:rPr>
        <w:t>true</w:t>
      </w:r>
      <w:r w:rsidR="001F3035" w:rsidRPr="00C32D58">
        <w:rPr>
          <w:rFonts w:ascii="Times New Roman" w:hAnsi="Times New Roman" w:cs="Times New Roman"/>
          <w:sz w:val="24"/>
          <w:szCs w:val="24"/>
        </w:rPr>
        <w:t xml:space="preserve">. Research has shown ratings may be biased toward positive reviews because only </w:t>
      </w:r>
      <w:r w:rsidR="00490174" w:rsidRPr="00C32D58">
        <w:rPr>
          <w:rFonts w:ascii="Times New Roman" w:hAnsi="Times New Roman" w:cs="Times New Roman"/>
          <w:sz w:val="24"/>
          <w:szCs w:val="24"/>
        </w:rPr>
        <w:t>satisfied</w:t>
      </w:r>
      <w:r w:rsidR="001F3035" w:rsidRPr="00C32D58">
        <w:rPr>
          <w:rFonts w:ascii="Times New Roman" w:hAnsi="Times New Roman" w:cs="Times New Roman"/>
          <w:sz w:val="24"/>
          <w:szCs w:val="24"/>
        </w:rPr>
        <w:t xml:space="preserve"> customers bother to leave one.</w:t>
      </w:r>
      <w:r w:rsidR="001F3035" w:rsidRPr="00C32D58">
        <w:rPr>
          <w:rStyle w:val="FootnoteReference"/>
          <w:rFonts w:ascii="Times New Roman" w:hAnsi="Times New Roman" w:cs="Times New Roman"/>
          <w:sz w:val="24"/>
          <w:szCs w:val="24"/>
        </w:rPr>
        <w:footnoteReference w:id="53"/>
      </w:r>
      <w:r w:rsidR="001F3035" w:rsidRPr="00C32D58">
        <w:rPr>
          <w:rFonts w:ascii="Times New Roman" w:hAnsi="Times New Roman" w:cs="Times New Roman"/>
          <w:sz w:val="24"/>
          <w:szCs w:val="24"/>
        </w:rPr>
        <w:t xml:space="preserve"> Some</w:t>
      </w:r>
      <w:r w:rsidR="00F92F2B" w:rsidRPr="00C32D58">
        <w:rPr>
          <w:rFonts w:ascii="Times New Roman" w:hAnsi="Times New Roman" w:cs="Times New Roman"/>
          <w:sz w:val="24"/>
          <w:szCs w:val="24"/>
        </w:rPr>
        <w:t xml:space="preserve"> have</w:t>
      </w:r>
      <w:r w:rsidR="001F3035" w:rsidRPr="00C32D58">
        <w:rPr>
          <w:rFonts w:ascii="Times New Roman" w:hAnsi="Times New Roman" w:cs="Times New Roman"/>
          <w:sz w:val="24"/>
          <w:szCs w:val="24"/>
        </w:rPr>
        <w:t xml:space="preserve"> suggested </w:t>
      </w:r>
      <w:r w:rsidR="00F92F2B" w:rsidRPr="00C32D58">
        <w:rPr>
          <w:rFonts w:ascii="Times New Roman" w:hAnsi="Times New Roman" w:cs="Times New Roman"/>
          <w:sz w:val="24"/>
          <w:szCs w:val="24"/>
        </w:rPr>
        <w:t>directions</w:t>
      </w:r>
      <w:r w:rsidR="001F3035" w:rsidRPr="00C32D58">
        <w:rPr>
          <w:rFonts w:ascii="Times New Roman" w:hAnsi="Times New Roman" w:cs="Times New Roman"/>
          <w:sz w:val="24"/>
          <w:szCs w:val="24"/>
        </w:rPr>
        <w:t xml:space="preserve"> to increase transparency about the ratings system include showing the user’s percentile ranking along with her aggregate score, reporting the number of completed transactions compared to the number of reviews, and weighing more recent transactions heavier than older ones.</w:t>
      </w:r>
      <w:r w:rsidR="001F3035" w:rsidRPr="00C32D58">
        <w:rPr>
          <w:rStyle w:val="FootnoteReference"/>
          <w:rFonts w:ascii="Times New Roman" w:hAnsi="Times New Roman" w:cs="Times New Roman"/>
          <w:sz w:val="24"/>
          <w:szCs w:val="24"/>
        </w:rPr>
        <w:footnoteReference w:id="54"/>
      </w:r>
      <w:r w:rsidR="009F4439" w:rsidRPr="00C32D58">
        <w:rPr>
          <w:rFonts w:ascii="Times New Roman" w:hAnsi="Times New Roman" w:cs="Times New Roman"/>
          <w:sz w:val="24"/>
          <w:szCs w:val="24"/>
        </w:rPr>
        <w:t xml:space="preserve"> </w:t>
      </w:r>
      <w:r w:rsidR="001F3035" w:rsidRPr="00C32D58">
        <w:rPr>
          <w:rFonts w:ascii="Times New Roman" w:hAnsi="Times New Roman" w:cs="Times New Roman"/>
          <w:sz w:val="24"/>
          <w:szCs w:val="24"/>
        </w:rPr>
        <w:t xml:space="preserve">Others </w:t>
      </w:r>
      <w:r w:rsidR="00F92F2B" w:rsidRPr="00C32D58">
        <w:rPr>
          <w:rFonts w:ascii="Times New Roman" w:hAnsi="Times New Roman" w:cs="Times New Roman"/>
          <w:sz w:val="24"/>
          <w:szCs w:val="24"/>
        </w:rPr>
        <w:t>suggest that platforms should take a more active role in</w:t>
      </w:r>
      <w:r w:rsidR="00F4078E" w:rsidRPr="00C32D58">
        <w:rPr>
          <w:rFonts w:ascii="Times New Roman" w:hAnsi="Times New Roman" w:cs="Times New Roman"/>
          <w:sz w:val="24"/>
          <w:szCs w:val="24"/>
        </w:rPr>
        <w:t xml:space="preserve"> </w:t>
      </w:r>
      <w:r w:rsidR="00F92F2B" w:rsidRPr="00C32D58">
        <w:rPr>
          <w:rFonts w:ascii="Times New Roman" w:hAnsi="Times New Roman" w:cs="Times New Roman"/>
          <w:sz w:val="24"/>
          <w:szCs w:val="24"/>
        </w:rPr>
        <w:t>conducting</w:t>
      </w:r>
      <w:r w:rsidR="001F3035" w:rsidRPr="00C32D58">
        <w:rPr>
          <w:rFonts w:ascii="Times New Roman" w:hAnsi="Times New Roman" w:cs="Times New Roman"/>
          <w:sz w:val="24"/>
          <w:szCs w:val="24"/>
        </w:rPr>
        <w:t xml:space="preserve"> background checks of suppliers</w:t>
      </w:r>
      <w:r w:rsidR="00F4078E" w:rsidRPr="00C32D58">
        <w:rPr>
          <w:rFonts w:ascii="Times New Roman" w:hAnsi="Times New Roman" w:cs="Times New Roman"/>
          <w:sz w:val="24"/>
          <w:szCs w:val="24"/>
        </w:rPr>
        <w:t>/users</w:t>
      </w:r>
      <w:r w:rsidR="00F92F2B" w:rsidRPr="00C32D58">
        <w:rPr>
          <w:rFonts w:ascii="Times New Roman" w:hAnsi="Times New Roman" w:cs="Times New Roman"/>
          <w:sz w:val="24"/>
          <w:szCs w:val="24"/>
        </w:rPr>
        <w:t xml:space="preserve"> </w:t>
      </w:r>
      <w:r w:rsidR="001F3035" w:rsidRPr="00C32D58">
        <w:rPr>
          <w:rFonts w:ascii="Times New Roman" w:hAnsi="Times New Roman" w:cs="Times New Roman"/>
          <w:sz w:val="24"/>
          <w:szCs w:val="24"/>
        </w:rPr>
        <w:t>and offering refunds or insurance to consumers</w:t>
      </w:r>
      <w:r w:rsidR="00F92F2B" w:rsidRPr="00C32D58">
        <w:rPr>
          <w:rFonts w:ascii="Times New Roman" w:hAnsi="Times New Roman" w:cs="Times New Roman"/>
          <w:sz w:val="24"/>
          <w:szCs w:val="24"/>
        </w:rPr>
        <w:t>. What is important in these systems is that the longer they exist and the more users on the platform, the great</w:t>
      </w:r>
      <w:r w:rsidR="001D5956" w:rsidRPr="00C32D58">
        <w:rPr>
          <w:rFonts w:ascii="Times New Roman" w:hAnsi="Times New Roman" w:cs="Times New Roman"/>
          <w:sz w:val="24"/>
          <w:szCs w:val="24"/>
        </w:rPr>
        <w:t>er</w:t>
      </w:r>
      <w:r w:rsidR="00F92F2B" w:rsidRPr="00C32D58">
        <w:rPr>
          <w:rFonts w:ascii="Times New Roman" w:hAnsi="Times New Roman" w:cs="Times New Roman"/>
          <w:sz w:val="24"/>
          <w:szCs w:val="24"/>
        </w:rPr>
        <w:t xml:space="preserve"> confidence users have in the ratings. Again, this promises an effective, and nearly costless, private mechanism of quality control. </w:t>
      </w:r>
    </w:p>
    <w:p w14:paraId="67A54097" w14:textId="77777777" w:rsidR="000F59F3" w:rsidRDefault="000F59F3" w:rsidP="00C32D58">
      <w:pPr>
        <w:spacing w:after="0" w:line="240" w:lineRule="auto"/>
        <w:ind w:firstLine="720"/>
        <w:jc w:val="both"/>
        <w:rPr>
          <w:rFonts w:ascii="Times New Roman" w:hAnsi="Times New Roman" w:cs="Times New Roman"/>
          <w:sz w:val="24"/>
          <w:szCs w:val="24"/>
        </w:rPr>
      </w:pPr>
    </w:p>
    <w:p w14:paraId="10F244EF" w14:textId="77777777" w:rsidR="00D6747F" w:rsidRDefault="00F92F2B" w:rsidP="00C32D58">
      <w:pPr>
        <w:spacing w:after="0" w:line="240" w:lineRule="auto"/>
        <w:ind w:firstLine="720"/>
        <w:jc w:val="both"/>
        <w:rPr>
          <w:rFonts w:ascii="Times New Roman" w:hAnsi="Times New Roman" w:cs="Times New Roman"/>
          <w:sz w:val="24"/>
          <w:szCs w:val="24"/>
        </w:rPr>
      </w:pPr>
      <w:r w:rsidRPr="00C32D58">
        <w:rPr>
          <w:rFonts w:ascii="Times New Roman" w:hAnsi="Times New Roman" w:cs="Times New Roman"/>
          <w:sz w:val="24"/>
          <w:szCs w:val="24"/>
        </w:rPr>
        <w:t xml:space="preserve">At the same time, it again raises the question about platform market power, as dominant </w:t>
      </w:r>
      <w:r w:rsidR="00433A20" w:rsidRPr="00C32D58">
        <w:rPr>
          <w:rFonts w:ascii="Times New Roman" w:eastAsia="Times New Roman" w:hAnsi="Times New Roman" w:cs="Times New Roman"/>
          <w:sz w:val="24"/>
          <w:szCs w:val="24"/>
        </w:rPr>
        <w:t>platforms will have the advantage of size and age of their network, making</w:t>
      </w:r>
      <w:r w:rsidR="00433A20" w:rsidRPr="00C32D58">
        <w:rPr>
          <w:rFonts w:ascii="Times New Roman" w:hAnsi="Times New Roman" w:cs="Times New Roman"/>
          <w:sz w:val="24"/>
          <w:szCs w:val="24"/>
        </w:rPr>
        <w:t xml:space="preserve"> customers more inclined to stay with the service rather than switch to a new competitor. Moreover, a</w:t>
      </w:r>
      <w:r w:rsidR="009F4439" w:rsidRPr="00C32D58">
        <w:rPr>
          <w:rFonts w:ascii="Times New Roman" w:eastAsia="Times New Roman" w:hAnsi="Times New Roman" w:cs="Times New Roman"/>
          <w:sz w:val="24"/>
          <w:szCs w:val="24"/>
        </w:rPr>
        <w:t>t the same time that big data and the use of vast information to monitor transactions creates efficiencies, it also raises new risks</w:t>
      </w:r>
      <w:r w:rsidR="00433A20" w:rsidRPr="00C32D58">
        <w:rPr>
          <w:rFonts w:ascii="Times New Roman" w:eastAsia="Times New Roman" w:hAnsi="Times New Roman" w:cs="Times New Roman"/>
          <w:sz w:val="24"/>
          <w:szCs w:val="24"/>
        </w:rPr>
        <w:t xml:space="preserve"> concerning privacy</w:t>
      </w:r>
      <w:r w:rsidR="009F4439" w:rsidRPr="00C32D58">
        <w:rPr>
          <w:rFonts w:ascii="Times New Roman" w:eastAsia="Times New Roman" w:hAnsi="Times New Roman" w:cs="Times New Roman"/>
          <w:sz w:val="24"/>
          <w:szCs w:val="24"/>
        </w:rPr>
        <w:t xml:space="preserve">. Kenneth Bamberger and I have raised the question of whether </w:t>
      </w:r>
      <w:r w:rsidR="00433A20" w:rsidRPr="00C32D58">
        <w:rPr>
          <w:rFonts w:ascii="Times New Roman" w:eastAsia="Times New Roman" w:hAnsi="Times New Roman" w:cs="Times New Roman"/>
          <w:sz w:val="24"/>
          <w:szCs w:val="24"/>
        </w:rPr>
        <w:t xml:space="preserve">dominant </w:t>
      </w:r>
      <w:r w:rsidR="009F4439" w:rsidRPr="00C32D58">
        <w:rPr>
          <w:rFonts w:ascii="Times New Roman" w:hAnsi="Times New Roman" w:cs="Times New Roman"/>
          <w:sz w:val="24"/>
          <w:szCs w:val="24"/>
        </w:rPr>
        <w:t xml:space="preserve">platforms </w:t>
      </w:r>
      <w:r w:rsidR="00433A20" w:rsidRPr="00C32D58">
        <w:rPr>
          <w:rFonts w:ascii="Times New Roman" w:hAnsi="Times New Roman" w:cs="Times New Roman"/>
          <w:sz w:val="24"/>
          <w:szCs w:val="24"/>
        </w:rPr>
        <w:t>will be able</w:t>
      </w:r>
      <w:r w:rsidR="009F4439" w:rsidRPr="00C32D58">
        <w:rPr>
          <w:rFonts w:ascii="Times New Roman" w:hAnsi="Times New Roman" w:cs="Times New Roman"/>
          <w:sz w:val="24"/>
          <w:szCs w:val="24"/>
        </w:rPr>
        <w:t xml:space="preserve"> exploit market power to unfairly limit consumer choice regarding privacy protections. For example, Uber is emerging as a data-driven company, leading analysts to predict that “we are going to see the transformation of Uber into a big data company cut from the same cloth as Google, Facebook and Visa - using the wealth of information they know about me and you to deliver new services and generate revenue by selling this data to others.”</w:t>
      </w:r>
      <w:r w:rsidR="009F4439" w:rsidRPr="00C32D58">
        <w:rPr>
          <w:rStyle w:val="FootnoteReference"/>
          <w:rFonts w:ascii="Times New Roman" w:hAnsi="Times New Roman" w:cs="Times New Roman"/>
          <w:sz w:val="24"/>
          <w:szCs w:val="24"/>
        </w:rPr>
        <w:footnoteReference w:id="55"/>
      </w:r>
      <w:r w:rsidR="009F4439" w:rsidRPr="00C32D58">
        <w:rPr>
          <w:rFonts w:ascii="Times New Roman" w:hAnsi="Times New Roman" w:cs="Times New Roman"/>
          <w:sz w:val="24"/>
          <w:szCs w:val="24"/>
        </w:rPr>
        <w:t xml:space="preserve"> </w:t>
      </w:r>
      <w:r w:rsidR="009F4439" w:rsidRPr="00C32D58">
        <w:rPr>
          <w:rFonts w:ascii="Times New Roman" w:eastAsia="Times New Roman" w:hAnsi="Times New Roman" w:cs="Times New Roman"/>
          <w:sz w:val="24"/>
          <w:szCs w:val="24"/>
        </w:rPr>
        <w:t xml:space="preserve">Julie Cohen urges us to pay more attention to the ways </w:t>
      </w:r>
      <w:r w:rsidR="009F4439" w:rsidRPr="00C32D58">
        <w:rPr>
          <w:rFonts w:ascii="Times New Roman" w:hAnsi="Times New Roman" w:cs="Times New Roman"/>
          <w:sz w:val="24"/>
          <w:szCs w:val="24"/>
        </w:rPr>
        <w:t>platform businesses are reshaping the landscape of legal entitlements and obligations, for example, ownership of data, privacy rights, and the immunities provided to digital intermediaries.</w:t>
      </w:r>
      <w:r w:rsidR="009F4439" w:rsidRPr="00C32D58">
        <w:rPr>
          <w:rStyle w:val="FootnoteReference"/>
          <w:rFonts w:ascii="Times New Roman" w:hAnsi="Times New Roman" w:cs="Times New Roman"/>
          <w:sz w:val="24"/>
          <w:szCs w:val="24"/>
        </w:rPr>
        <w:footnoteReference w:id="56"/>
      </w:r>
      <w:r w:rsidR="009F4439" w:rsidRPr="00C32D58">
        <w:rPr>
          <w:rFonts w:ascii="Times New Roman" w:hAnsi="Times New Roman" w:cs="Times New Roman"/>
          <w:sz w:val="24"/>
          <w:szCs w:val="24"/>
        </w:rPr>
        <w:t xml:space="preserve"> As Cohen insightfully describes, “the uncoordinated patterns of self-interested, strategic intervention by platform firms are producing new legal-institutional formations optimized to their various projects and goals.”</w:t>
      </w:r>
      <w:r w:rsidR="00BB3CFA" w:rsidRPr="00C32D58">
        <w:rPr>
          <w:rStyle w:val="FootnoteReference"/>
          <w:rFonts w:ascii="Times New Roman" w:hAnsi="Times New Roman" w:cs="Times New Roman"/>
          <w:sz w:val="24"/>
          <w:szCs w:val="24"/>
        </w:rPr>
        <w:footnoteReference w:id="57"/>
      </w:r>
      <w:r w:rsidR="00433A20" w:rsidRPr="00C32D58">
        <w:rPr>
          <w:rFonts w:ascii="Times New Roman" w:hAnsi="Times New Roman" w:cs="Times New Roman"/>
          <w:sz w:val="24"/>
          <w:szCs w:val="24"/>
        </w:rPr>
        <w:t xml:space="preserve"> </w:t>
      </w:r>
    </w:p>
    <w:p w14:paraId="16067BC9" w14:textId="77777777" w:rsidR="00D6747F" w:rsidRDefault="00D6747F" w:rsidP="00D6747F">
      <w:pPr>
        <w:spacing w:after="0" w:line="240" w:lineRule="auto"/>
        <w:ind w:firstLine="720"/>
        <w:jc w:val="both"/>
        <w:rPr>
          <w:rFonts w:ascii="Times New Roman" w:hAnsi="Times New Roman" w:cs="Times New Roman"/>
          <w:sz w:val="24"/>
          <w:szCs w:val="24"/>
        </w:rPr>
      </w:pPr>
    </w:p>
    <w:p w14:paraId="1A98E33D" w14:textId="7A56AE4E" w:rsidR="009F4439" w:rsidRPr="00C32D58" w:rsidRDefault="00433A20" w:rsidP="00D6747F">
      <w:pPr>
        <w:spacing w:after="0" w:line="240" w:lineRule="auto"/>
        <w:ind w:firstLine="720"/>
        <w:jc w:val="both"/>
        <w:rPr>
          <w:rFonts w:ascii="Times New Roman" w:eastAsia="Times New Roman" w:hAnsi="Times New Roman" w:cs="Times New Roman"/>
          <w:sz w:val="24"/>
          <w:szCs w:val="24"/>
        </w:rPr>
      </w:pPr>
      <w:r w:rsidRPr="00C32D58">
        <w:rPr>
          <w:rFonts w:ascii="Times New Roman" w:hAnsi="Times New Roman" w:cs="Times New Roman"/>
          <w:sz w:val="24"/>
          <w:szCs w:val="24"/>
        </w:rPr>
        <w:t xml:space="preserve">Regulators thus have a new task of examining the ways data offers immense potential to replace </w:t>
      </w:r>
      <w:r w:rsidR="00D04779" w:rsidRPr="00C32D58">
        <w:rPr>
          <w:rFonts w:ascii="Times New Roman" w:hAnsi="Times New Roman" w:cs="Times New Roman"/>
          <w:sz w:val="24"/>
          <w:szCs w:val="24"/>
        </w:rPr>
        <w:t xml:space="preserve">traditional regulatory and enforcement mechanisms but can also create new perils and new forms of market abuse and inequities. </w:t>
      </w:r>
      <w:r w:rsidR="004F570D" w:rsidRPr="00C32D58">
        <w:rPr>
          <w:rFonts w:ascii="Times New Roman" w:hAnsi="Times New Roman" w:cs="Times New Roman"/>
          <w:sz w:val="24"/>
          <w:szCs w:val="24"/>
        </w:rPr>
        <w:t xml:space="preserve">The decision to be made, then, lies in </w:t>
      </w:r>
      <w:r w:rsidR="006B5A54" w:rsidRPr="00C32D58">
        <w:rPr>
          <w:rFonts w:ascii="Times New Roman" w:hAnsi="Times New Roman" w:cs="Times New Roman"/>
          <w:sz w:val="24"/>
          <w:szCs w:val="24"/>
        </w:rPr>
        <w:t xml:space="preserve">whether policymakers and we as a society are willing to trade efficiency for privacy. In short, we must ask, determine, and decide, if the ability of the platform to keep transaction costs down with the implementation of technology that, more or less, allows for self-policing, is worth more than </w:t>
      </w:r>
      <w:r w:rsidR="00D6747F">
        <w:rPr>
          <w:rFonts w:ascii="Times New Roman" w:hAnsi="Times New Roman" w:cs="Times New Roman"/>
          <w:sz w:val="24"/>
          <w:szCs w:val="24"/>
        </w:rPr>
        <w:t xml:space="preserve">the sharing of </w:t>
      </w:r>
      <w:r w:rsidR="006B5A54" w:rsidRPr="00C32D58">
        <w:rPr>
          <w:rFonts w:ascii="Times New Roman" w:hAnsi="Times New Roman" w:cs="Times New Roman"/>
          <w:sz w:val="24"/>
          <w:szCs w:val="24"/>
        </w:rPr>
        <w:t xml:space="preserve">information from, and about, us. </w:t>
      </w:r>
      <w:r w:rsidR="00002F32" w:rsidRPr="00C32D58">
        <w:rPr>
          <w:rFonts w:ascii="Times New Roman" w:hAnsi="Times New Roman" w:cs="Times New Roman"/>
          <w:sz w:val="24"/>
          <w:szCs w:val="24"/>
        </w:rPr>
        <w:t xml:space="preserve">Some may find the trade-off of their email address being sold to generate revenue a small inconvenience, at best, when compared to the ability to hail a ride anywhere, at a moment’s notice, while others may find this too </w:t>
      </w:r>
      <w:r w:rsidR="009B1EC2" w:rsidRPr="00C32D58">
        <w:rPr>
          <w:rFonts w:ascii="Times New Roman" w:hAnsi="Times New Roman" w:cs="Times New Roman"/>
          <w:sz w:val="24"/>
          <w:szCs w:val="24"/>
        </w:rPr>
        <w:t>intrusive</w:t>
      </w:r>
      <w:r w:rsidR="00002F32" w:rsidRPr="00C32D58">
        <w:rPr>
          <w:rFonts w:ascii="Times New Roman" w:hAnsi="Times New Roman" w:cs="Times New Roman"/>
          <w:sz w:val="24"/>
          <w:szCs w:val="24"/>
        </w:rPr>
        <w:t xml:space="preserve">. Those that find release of an email address worthwhile may find the sale of information as to when, where, and how frequently they visit certain locations to cross the line, while still others may find this a fair trade. Thus, in </w:t>
      </w:r>
      <w:r w:rsidR="00D6747F">
        <w:rPr>
          <w:rFonts w:ascii="Times New Roman" w:hAnsi="Times New Roman" w:cs="Times New Roman"/>
          <w:sz w:val="24"/>
          <w:szCs w:val="24"/>
        </w:rPr>
        <w:t>deciding</w:t>
      </w:r>
      <w:r w:rsidR="00002F32" w:rsidRPr="00C32D58">
        <w:rPr>
          <w:rFonts w:ascii="Times New Roman" w:hAnsi="Times New Roman" w:cs="Times New Roman"/>
          <w:sz w:val="24"/>
          <w:szCs w:val="24"/>
        </w:rPr>
        <w:t xml:space="preserve"> whether deals made between users of the platform and creators of it are “worth it” in Cosean terms, policymakers must take into account the fact that the price on privacy, unlike so many costs on the platform, is not a flat rate. </w:t>
      </w:r>
    </w:p>
    <w:p w14:paraId="5ADA45E0" w14:textId="77777777" w:rsidR="00C477F7" w:rsidRPr="00C32D58" w:rsidRDefault="00C477F7" w:rsidP="00C32D58">
      <w:pPr>
        <w:spacing w:after="0" w:line="240" w:lineRule="auto"/>
        <w:rPr>
          <w:rFonts w:ascii="Times New Roman" w:hAnsi="Times New Roman" w:cs="Times New Roman"/>
          <w:sz w:val="24"/>
          <w:szCs w:val="24"/>
          <w:lang w:bidi="he-IL"/>
        </w:rPr>
      </w:pPr>
    </w:p>
    <w:p w14:paraId="23D45A8B" w14:textId="7C6A861E" w:rsidR="000F59F3" w:rsidRPr="00C32D58" w:rsidRDefault="00C477F7" w:rsidP="00C32D58">
      <w:pPr>
        <w:spacing w:after="0"/>
        <w:rPr>
          <w:rFonts w:ascii="Times New Roman" w:hAnsi="Times New Roman" w:cs="Times New Roman"/>
          <w:sz w:val="24"/>
          <w:szCs w:val="24"/>
          <w:u w:val="single"/>
        </w:rPr>
      </w:pPr>
      <w:r w:rsidRPr="00C32D58">
        <w:rPr>
          <w:rFonts w:ascii="Times New Roman" w:hAnsi="Times New Roman" w:cs="Times New Roman"/>
          <w:b/>
          <w:i/>
          <w:sz w:val="24"/>
          <w:szCs w:val="24"/>
          <w:lang w:bidi="he-IL"/>
        </w:rPr>
        <w:t>Conclusion</w:t>
      </w:r>
    </w:p>
    <w:p w14:paraId="04EA4A9F" w14:textId="77777777" w:rsidR="000F59F3" w:rsidRDefault="000F59F3" w:rsidP="00C32D58">
      <w:pPr>
        <w:pStyle w:val="NormalWeb"/>
        <w:spacing w:before="0" w:beforeAutospacing="0" w:after="0" w:afterAutospacing="0"/>
      </w:pPr>
    </w:p>
    <w:p w14:paraId="360E39EA" w14:textId="3DA5144D" w:rsidR="00AC0282" w:rsidRPr="000F59F3" w:rsidRDefault="00AC0282" w:rsidP="00C32D58">
      <w:pPr>
        <w:pStyle w:val="NormalWeb"/>
        <w:spacing w:before="0" w:beforeAutospacing="0" w:after="0" w:afterAutospacing="0"/>
        <w:ind w:firstLine="720"/>
      </w:pPr>
      <w:r w:rsidRPr="000F59F3">
        <w:t xml:space="preserve">In </w:t>
      </w:r>
      <w:r w:rsidRPr="000F59F3">
        <w:rPr>
          <w:i/>
        </w:rPr>
        <w:t>The Problem of Social Cost</w:t>
      </w:r>
      <w:r w:rsidRPr="000F59F3">
        <w:t xml:space="preserve">, Ronald Coase explains that if we </w:t>
      </w:r>
      <w:r w:rsidR="009B1EC2" w:rsidRPr="000F59F3">
        <w:t>reduce</w:t>
      </w:r>
      <w:r w:rsidRPr="000F59F3">
        <w:t xml:space="preserve"> transaction costs throughout all stages of the deal, we will </w:t>
      </w:r>
      <w:r w:rsidR="009B1EC2" w:rsidRPr="000F59F3">
        <w:t xml:space="preserve"> move to more</w:t>
      </w:r>
      <w:r w:rsidRPr="000F59F3">
        <w:t xml:space="preserve"> efficient and fair outcomes for all parties involved.</w:t>
      </w:r>
      <w:r w:rsidRPr="000F59F3">
        <w:rPr>
          <w:rStyle w:val="FootnoteReference"/>
        </w:rPr>
        <w:footnoteReference w:id="58"/>
      </w:r>
      <w:r w:rsidRPr="000F59F3">
        <w:t xml:space="preserve"> The higher</w:t>
      </w:r>
      <w:r w:rsidR="00B30E67" w:rsidRPr="000F59F3">
        <w:t xml:space="preserve"> the</w:t>
      </w:r>
      <w:r w:rsidRPr="000F59F3">
        <w:t xml:space="preserve"> transaction costs, the more likely a deal will work out more advantageously for one party than another, and </w:t>
      </w:r>
      <w:r w:rsidR="00DC493D" w:rsidRPr="000F59F3">
        <w:t xml:space="preserve">the more </w:t>
      </w:r>
      <w:r w:rsidRPr="000F59F3">
        <w:t xml:space="preserve">likely that </w:t>
      </w:r>
      <w:r w:rsidR="004111DD" w:rsidRPr="000F59F3">
        <w:t xml:space="preserve">that </w:t>
      </w:r>
      <w:r w:rsidRPr="000F59F3">
        <w:t xml:space="preserve">party will be the one with more resources. However, if there are </w:t>
      </w:r>
      <w:r w:rsidR="009B1EC2" w:rsidRPr="000F59F3">
        <w:t xml:space="preserve">lower </w:t>
      </w:r>
      <w:r w:rsidRPr="000F59F3">
        <w:t xml:space="preserve">transaction costs, and each party can monetize that which they are bargaining with, the benefits will end up relatively equal for each party. </w:t>
      </w:r>
    </w:p>
    <w:p w14:paraId="3A326382" w14:textId="77777777" w:rsidR="000F59F3" w:rsidRDefault="000F59F3">
      <w:pPr>
        <w:pStyle w:val="ListParagraph"/>
        <w:ind w:left="720" w:firstLine="0"/>
        <w:rPr>
          <w:rFonts w:ascii="Times New Roman" w:hAnsi="Times New Roman" w:cs="Times New Roman"/>
          <w:sz w:val="24"/>
          <w:szCs w:val="24"/>
          <w:lang w:bidi="he-IL"/>
        </w:rPr>
      </w:pPr>
    </w:p>
    <w:p w14:paraId="0445D0F2" w14:textId="149F3148" w:rsidR="0092356A" w:rsidRPr="00C32D58" w:rsidRDefault="0092356A">
      <w:pPr>
        <w:pStyle w:val="ListParagraph"/>
        <w:ind w:left="720" w:firstLine="0"/>
        <w:rPr>
          <w:rFonts w:ascii="Times New Roman" w:hAnsi="Times New Roman" w:cs="Times New Roman"/>
          <w:sz w:val="24"/>
          <w:szCs w:val="24"/>
          <w:lang w:bidi="he-IL"/>
        </w:rPr>
      </w:pPr>
      <w:r w:rsidRPr="00C32D58">
        <w:rPr>
          <w:rFonts w:ascii="Times New Roman" w:hAnsi="Times New Roman" w:cs="Times New Roman"/>
          <w:sz w:val="24"/>
          <w:szCs w:val="24"/>
          <w:lang w:bidi="he-IL"/>
        </w:rPr>
        <w:t xml:space="preserve">The </w:t>
      </w:r>
      <w:r w:rsidR="00AC0282" w:rsidRPr="00C32D58">
        <w:rPr>
          <w:rFonts w:ascii="Times New Roman" w:hAnsi="Times New Roman" w:cs="Times New Roman"/>
          <w:sz w:val="24"/>
          <w:szCs w:val="24"/>
          <w:lang w:bidi="he-IL"/>
        </w:rPr>
        <w:t>rise</w:t>
      </w:r>
      <w:r w:rsidRPr="00C32D58">
        <w:rPr>
          <w:rFonts w:ascii="Times New Roman" w:hAnsi="Times New Roman" w:cs="Times New Roman"/>
          <w:sz w:val="24"/>
          <w:szCs w:val="24"/>
          <w:lang w:bidi="he-IL"/>
        </w:rPr>
        <w:t xml:space="preserve"> of twenty-first century digital platforms has unleashed a new market</w:t>
      </w:r>
    </w:p>
    <w:p w14:paraId="3791C259" w14:textId="4B3BE736" w:rsidR="004A2A4A" w:rsidRPr="00C32D58" w:rsidRDefault="0092356A" w:rsidP="00C32D58">
      <w:pPr>
        <w:spacing w:after="0" w:line="240" w:lineRule="auto"/>
        <w:rPr>
          <w:rFonts w:ascii="Times New Roman" w:hAnsi="Times New Roman" w:cs="Times New Roman"/>
          <w:sz w:val="24"/>
          <w:szCs w:val="24"/>
        </w:rPr>
      </w:pPr>
      <w:r w:rsidRPr="00C32D58">
        <w:rPr>
          <w:rFonts w:ascii="Times New Roman" w:hAnsi="Times New Roman" w:cs="Times New Roman"/>
          <w:sz w:val="24"/>
          <w:szCs w:val="24"/>
          <w:lang w:bidi="he-IL"/>
        </w:rPr>
        <w:t xml:space="preserve">system </w:t>
      </w:r>
      <w:r w:rsidR="00FB6F5C" w:rsidRPr="00C32D58">
        <w:rPr>
          <w:rFonts w:ascii="Times New Roman" w:hAnsi="Times New Roman" w:cs="Times New Roman"/>
          <w:sz w:val="24"/>
          <w:szCs w:val="24"/>
          <w:lang w:bidi="he-IL"/>
        </w:rPr>
        <w:t xml:space="preserve">that </w:t>
      </w:r>
      <w:r w:rsidR="00EE1EB5" w:rsidRPr="00C32D58">
        <w:rPr>
          <w:rFonts w:ascii="Times New Roman" w:hAnsi="Times New Roman" w:cs="Times New Roman"/>
          <w:sz w:val="24"/>
          <w:szCs w:val="24"/>
          <w:lang w:bidi="he-IL"/>
        </w:rPr>
        <w:t>changes many of the practices of</w:t>
      </w:r>
      <w:r w:rsidR="00D6747F">
        <w:rPr>
          <w:rFonts w:ascii="Times New Roman" w:hAnsi="Times New Roman" w:cs="Times New Roman"/>
          <w:sz w:val="24"/>
          <w:szCs w:val="24"/>
          <w:lang w:bidi="he-IL"/>
        </w:rPr>
        <w:t xml:space="preserve"> twentieth-</w:t>
      </w:r>
      <w:r w:rsidR="00FB6F5C" w:rsidRPr="00C32D58">
        <w:rPr>
          <w:rFonts w:ascii="Times New Roman" w:hAnsi="Times New Roman" w:cs="Times New Roman"/>
          <w:sz w:val="24"/>
          <w:szCs w:val="24"/>
          <w:lang w:bidi="he-IL"/>
        </w:rPr>
        <w:t>century market</w:t>
      </w:r>
      <w:r w:rsidR="00EE1EB5" w:rsidRPr="00C32D58">
        <w:rPr>
          <w:rFonts w:ascii="Times New Roman" w:hAnsi="Times New Roman" w:cs="Times New Roman"/>
          <w:sz w:val="24"/>
          <w:szCs w:val="24"/>
          <w:lang w:bidi="he-IL"/>
        </w:rPr>
        <w:t>s</w:t>
      </w:r>
      <w:r w:rsidR="00FB6F5C" w:rsidRPr="00C32D58">
        <w:rPr>
          <w:rFonts w:ascii="Times New Roman" w:hAnsi="Times New Roman" w:cs="Times New Roman"/>
          <w:sz w:val="24"/>
          <w:szCs w:val="24"/>
          <w:lang w:bidi="he-IL"/>
        </w:rPr>
        <w:t>.</w:t>
      </w:r>
      <w:r w:rsidR="002B6B3D" w:rsidRPr="00C32D58">
        <w:rPr>
          <w:rFonts w:ascii="Times New Roman" w:hAnsi="Times New Roman" w:cs="Times New Roman"/>
          <w:sz w:val="24"/>
          <w:szCs w:val="24"/>
        </w:rPr>
        <w:t xml:space="preserve"> This article discussed how fundamental principles of the platform economy</w:t>
      </w:r>
      <w:r w:rsidR="009B1EC2" w:rsidRPr="00C32D58">
        <w:rPr>
          <w:rFonts w:ascii="Times New Roman" w:hAnsi="Times New Roman" w:cs="Times New Roman"/>
          <w:sz w:val="24"/>
          <w:szCs w:val="24"/>
        </w:rPr>
        <w:t xml:space="preserve"> – a larger scale of supply and demand, a growing archive of information based on multisided end-user networks, an ability to granulate and micro-tailor transactions -</w:t>
      </w:r>
      <w:r w:rsidR="002B6B3D" w:rsidRPr="00C32D58">
        <w:rPr>
          <w:rFonts w:ascii="Times New Roman" w:hAnsi="Times New Roman" w:cs="Times New Roman"/>
          <w:sz w:val="24"/>
          <w:szCs w:val="24"/>
        </w:rPr>
        <w:t xml:space="preserve">  </w:t>
      </w:r>
      <w:r w:rsidR="009B1EC2" w:rsidRPr="00C32D58">
        <w:rPr>
          <w:rFonts w:ascii="Times New Roman" w:hAnsi="Times New Roman" w:cs="Times New Roman"/>
          <w:sz w:val="24"/>
          <w:szCs w:val="24"/>
        </w:rPr>
        <w:t xml:space="preserve">help lower costs in each of </w:t>
      </w:r>
      <w:r w:rsidR="002B6B3D" w:rsidRPr="00C32D58">
        <w:rPr>
          <w:rFonts w:ascii="Times New Roman" w:hAnsi="Times New Roman" w:cs="Times New Roman"/>
          <w:sz w:val="24"/>
          <w:szCs w:val="24"/>
        </w:rPr>
        <w:t>Coase’s stages of the deal.</w:t>
      </w:r>
      <w:r w:rsidR="002B6B3D" w:rsidRPr="00C32D58">
        <w:rPr>
          <w:rFonts w:ascii="Times New Roman" w:eastAsia="Calibri" w:hAnsi="Times New Roman" w:cs="Times New Roman"/>
          <w:color w:val="000000" w:themeColor="text1"/>
          <w:sz w:val="24"/>
          <w:szCs w:val="24"/>
        </w:rPr>
        <w:t xml:space="preserve"> </w:t>
      </w:r>
      <w:r w:rsidR="00FB6F5C" w:rsidRPr="00C32D58">
        <w:rPr>
          <w:rFonts w:ascii="Times New Roman" w:hAnsi="Times New Roman" w:cs="Times New Roman"/>
          <w:sz w:val="24"/>
          <w:szCs w:val="24"/>
          <w:lang w:bidi="he-IL"/>
        </w:rPr>
        <w:t xml:space="preserve"> </w:t>
      </w:r>
      <w:r w:rsidR="00EE1EB5" w:rsidRPr="00C32D58">
        <w:rPr>
          <w:rFonts w:ascii="Times New Roman" w:hAnsi="Times New Roman" w:cs="Times New Roman"/>
          <w:sz w:val="24"/>
          <w:szCs w:val="24"/>
          <w:lang w:bidi="he-IL"/>
        </w:rPr>
        <w:t xml:space="preserve"> </w:t>
      </w:r>
      <w:r w:rsidR="008E7471" w:rsidRPr="00C32D58">
        <w:rPr>
          <w:rFonts w:ascii="Times New Roman" w:hAnsi="Times New Roman" w:cs="Times New Roman"/>
          <w:sz w:val="24"/>
          <w:szCs w:val="24"/>
          <w:lang w:bidi="he-IL"/>
        </w:rPr>
        <w:t>The digital platform</w:t>
      </w:r>
      <w:r w:rsidR="003F78A6" w:rsidRPr="00C32D58">
        <w:rPr>
          <w:rFonts w:ascii="Times New Roman" w:hAnsi="Times New Roman" w:cs="Times New Roman"/>
          <w:sz w:val="24"/>
          <w:szCs w:val="24"/>
          <w:lang w:bidi="he-IL"/>
        </w:rPr>
        <w:t xml:space="preserve"> model</w:t>
      </w:r>
      <w:r w:rsidR="008E7471" w:rsidRPr="00C32D58">
        <w:rPr>
          <w:rFonts w:ascii="Times New Roman" w:hAnsi="Times New Roman" w:cs="Times New Roman"/>
          <w:sz w:val="24"/>
          <w:szCs w:val="24"/>
          <w:lang w:bidi="he-IL"/>
        </w:rPr>
        <w:t xml:space="preserve"> presents </w:t>
      </w:r>
      <w:r w:rsidR="009B1EC2" w:rsidRPr="00C32D58">
        <w:rPr>
          <w:rFonts w:ascii="Times New Roman" w:hAnsi="Times New Roman" w:cs="Times New Roman"/>
          <w:sz w:val="24"/>
          <w:szCs w:val="24"/>
          <w:lang w:bidi="he-IL"/>
        </w:rPr>
        <w:t xml:space="preserve">an </w:t>
      </w:r>
      <w:r w:rsidR="008E7471" w:rsidRPr="00C32D58">
        <w:rPr>
          <w:rFonts w:ascii="Times New Roman" w:hAnsi="Times New Roman" w:cs="Times New Roman"/>
          <w:sz w:val="24"/>
          <w:szCs w:val="24"/>
          <w:lang w:bidi="he-IL"/>
        </w:rPr>
        <w:t xml:space="preserve">unprecedented </w:t>
      </w:r>
      <w:r w:rsidR="00EB4B8C" w:rsidRPr="00C32D58">
        <w:rPr>
          <w:rFonts w:ascii="Times New Roman" w:hAnsi="Times New Roman" w:cs="Times New Roman"/>
          <w:sz w:val="24"/>
          <w:szCs w:val="24"/>
          <w:lang w:bidi="he-IL"/>
        </w:rPr>
        <w:t>opportunity</w:t>
      </w:r>
      <w:r w:rsidR="008E7471" w:rsidRPr="00C32D58">
        <w:rPr>
          <w:rFonts w:ascii="Times New Roman" w:hAnsi="Times New Roman" w:cs="Times New Roman"/>
          <w:sz w:val="24"/>
          <w:szCs w:val="24"/>
          <w:lang w:bidi="he-IL"/>
        </w:rPr>
        <w:t xml:space="preserve"> to </w:t>
      </w:r>
      <w:r w:rsidR="00EE1EB5" w:rsidRPr="00C32D58">
        <w:rPr>
          <w:rFonts w:ascii="Times New Roman" w:hAnsi="Times New Roman" w:cs="Times New Roman"/>
          <w:sz w:val="24"/>
          <w:szCs w:val="24"/>
          <w:lang w:bidi="he-IL"/>
        </w:rPr>
        <w:t xml:space="preserve">get closer </w:t>
      </w:r>
      <w:r w:rsidR="002C08FE" w:rsidRPr="00C32D58">
        <w:rPr>
          <w:rFonts w:ascii="Times New Roman" w:hAnsi="Times New Roman" w:cs="Times New Roman"/>
          <w:sz w:val="24"/>
          <w:szCs w:val="24"/>
          <w:lang w:bidi="he-IL"/>
        </w:rPr>
        <w:t xml:space="preserve">to </w:t>
      </w:r>
      <w:r w:rsidR="008E7471" w:rsidRPr="00C32D58">
        <w:rPr>
          <w:rFonts w:ascii="Times New Roman" w:hAnsi="Times New Roman" w:cs="Times New Roman"/>
          <w:sz w:val="24"/>
          <w:szCs w:val="24"/>
          <w:lang w:bidi="he-IL"/>
        </w:rPr>
        <w:t>achiev</w:t>
      </w:r>
      <w:r w:rsidR="002C08FE" w:rsidRPr="00C32D58">
        <w:rPr>
          <w:rFonts w:ascii="Times New Roman" w:hAnsi="Times New Roman" w:cs="Times New Roman"/>
          <w:sz w:val="24"/>
          <w:szCs w:val="24"/>
          <w:lang w:bidi="he-IL"/>
        </w:rPr>
        <w:t>ing</w:t>
      </w:r>
      <w:r w:rsidR="008E7471" w:rsidRPr="00C32D58">
        <w:rPr>
          <w:rFonts w:ascii="Times New Roman" w:hAnsi="Times New Roman" w:cs="Times New Roman"/>
          <w:sz w:val="24"/>
          <w:szCs w:val="24"/>
          <w:lang w:bidi="he-IL"/>
        </w:rPr>
        <w:t xml:space="preserve"> </w:t>
      </w:r>
      <w:r w:rsidR="00EB4B8C" w:rsidRPr="00C32D58">
        <w:rPr>
          <w:rFonts w:ascii="Times New Roman" w:hAnsi="Times New Roman" w:cs="Times New Roman"/>
          <w:sz w:val="24"/>
          <w:szCs w:val="24"/>
          <w:lang w:bidi="he-IL"/>
        </w:rPr>
        <w:t>Coase’s</w:t>
      </w:r>
      <w:r w:rsidR="00EE1EB5" w:rsidRPr="00C32D58">
        <w:rPr>
          <w:rFonts w:ascii="Times New Roman" w:hAnsi="Times New Roman" w:cs="Times New Roman"/>
          <w:sz w:val="24"/>
          <w:szCs w:val="24"/>
          <w:lang w:bidi="he-IL"/>
        </w:rPr>
        <w:t xml:space="preserve"> theoretical</w:t>
      </w:r>
      <w:r w:rsidR="00EB4B8C" w:rsidRPr="00C32D58">
        <w:rPr>
          <w:rFonts w:ascii="Times New Roman" w:hAnsi="Times New Roman" w:cs="Times New Roman"/>
          <w:sz w:val="24"/>
          <w:szCs w:val="24"/>
          <w:lang w:bidi="he-IL"/>
        </w:rPr>
        <w:t xml:space="preserve"> ideal</w:t>
      </w:r>
      <w:r w:rsidR="00EE1EB5" w:rsidRPr="00C32D58">
        <w:rPr>
          <w:rFonts w:ascii="Times New Roman" w:hAnsi="Times New Roman" w:cs="Times New Roman"/>
          <w:sz w:val="24"/>
          <w:szCs w:val="24"/>
          <w:lang w:bidi="he-IL"/>
        </w:rPr>
        <w:t>.</w:t>
      </w:r>
      <w:r w:rsidR="00300CA6" w:rsidRPr="00C32D58">
        <w:rPr>
          <w:rFonts w:ascii="Times New Roman" w:hAnsi="Times New Roman" w:cs="Times New Roman"/>
          <w:sz w:val="24"/>
          <w:szCs w:val="24"/>
          <w:lang w:bidi="he-IL"/>
        </w:rPr>
        <w:t xml:space="preserve"> </w:t>
      </w:r>
      <w:r w:rsidR="00EE1EB5" w:rsidRPr="00C32D58">
        <w:rPr>
          <w:rFonts w:ascii="Times New Roman" w:hAnsi="Times New Roman" w:cs="Times New Roman"/>
          <w:sz w:val="24"/>
          <w:szCs w:val="24"/>
          <w:lang w:bidi="he-IL"/>
        </w:rPr>
        <w:t xml:space="preserve">At the same time, questions about the </w:t>
      </w:r>
      <w:r w:rsidR="00EE1EB5" w:rsidRPr="00C32D58">
        <w:rPr>
          <w:rFonts w:ascii="Times New Roman" w:hAnsi="Times New Roman" w:cs="Times New Roman"/>
          <w:sz w:val="24"/>
          <w:szCs w:val="24"/>
        </w:rPr>
        <w:t xml:space="preserve">regulation of platforms are complex and will largely depend on </w:t>
      </w:r>
      <w:r w:rsidR="009B1EC2" w:rsidRPr="00C32D58">
        <w:rPr>
          <w:rFonts w:ascii="Times New Roman" w:hAnsi="Times New Roman" w:cs="Times New Roman"/>
          <w:sz w:val="24"/>
          <w:szCs w:val="24"/>
        </w:rPr>
        <w:t>the social policy goals before us</w:t>
      </w:r>
      <w:r w:rsidR="00EE1EB5" w:rsidRPr="00C32D58">
        <w:rPr>
          <w:rFonts w:ascii="Times New Roman" w:hAnsi="Times New Roman" w:cs="Times New Roman"/>
          <w:sz w:val="24"/>
          <w:szCs w:val="24"/>
        </w:rPr>
        <w:t>.</w:t>
      </w:r>
      <w:r w:rsidR="00E30726" w:rsidRPr="00C32D58">
        <w:rPr>
          <w:rFonts w:ascii="Times New Roman" w:hAnsi="Times New Roman" w:cs="Times New Roman"/>
          <w:sz w:val="24"/>
          <w:szCs w:val="24"/>
        </w:rPr>
        <w:t xml:space="preserve"> In some contexts, such as safety regulation, the platform may be well-suited for private ordering as systems of ratings and reviews become increasingly broad and deep. For other context</w:t>
      </w:r>
      <w:r w:rsidR="00D6747F">
        <w:rPr>
          <w:rFonts w:ascii="Times New Roman" w:hAnsi="Times New Roman" w:cs="Times New Roman"/>
          <w:sz w:val="24"/>
          <w:szCs w:val="24"/>
        </w:rPr>
        <w:t>s</w:t>
      </w:r>
      <w:r w:rsidR="00E30726" w:rsidRPr="00C32D58">
        <w:rPr>
          <w:rFonts w:ascii="Times New Roman" w:hAnsi="Times New Roman" w:cs="Times New Roman"/>
          <w:sz w:val="24"/>
          <w:szCs w:val="24"/>
        </w:rPr>
        <w:t xml:space="preserve">, such as ensuring basic welfare conditions for gig workers, the platform may be disrupting settled expectation of the workforce and policy </w:t>
      </w:r>
      <w:r w:rsidR="00D6747F">
        <w:rPr>
          <w:rFonts w:ascii="Times New Roman" w:hAnsi="Times New Roman" w:cs="Times New Roman"/>
          <w:sz w:val="24"/>
          <w:szCs w:val="24"/>
        </w:rPr>
        <w:t xml:space="preserve">makers </w:t>
      </w:r>
      <w:r w:rsidR="00E30726" w:rsidRPr="00C32D58">
        <w:rPr>
          <w:rFonts w:ascii="Times New Roman" w:hAnsi="Times New Roman" w:cs="Times New Roman"/>
          <w:sz w:val="24"/>
          <w:szCs w:val="24"/>
        </w:rPr>
        <w:t>must step in to provide a supplementary system that delinks work and social welfare.</w:t>
      </w:r>
      <w:r w:rsidR="005A5C49" w:rsidRPr="00C32D58">
        <w:rPr>
          <w:rStyle w:val="FootnoteReference"/>
          <w:rFonts w:ascii="Times New Roman" w:hAnsi="Times New Roman" w:cs="Times New Roman"/>
          <w:sz w:val="24"/>
          <w:szCs w:val="24"/>
        </w:rPr>
        <w:footnoteReference w:id="59"/>
      </w:r>
      <w:r w:rsidR="00E30726" w:rsidRPr="00C32D58">
        <w:rPr>
          <w:rFonts w:ascii="Times New Roman" w:hAnsi="Times New Roman" w:cs="Times New Roman"/>
          <w:sz w:val="24"/>
          <w:szCs w:val="24"/>
        </w:rPr>
        <w:t xml:space="preserve"> </w:t>
      </w:r>
    </w:p>
    <w:p w14:paraId="07F00FFA" w14:textId="1E53E4E0" w:rsidR="00171EB1" w:rsidRPr="00C32D58" w:rsidRDefault="00171EB1" w:rsidP="00C32D58">
      <w:pPr>
        <w:spacing w:after="0" w:line="240" w:lineRule="auto"/>
        <w:ind w:firstLine="720"/>
        <w:rPr>
          <w:rFonts w:ascii="Times New Roman" w:hAnsi="Times New Roman" w:cs="Times New Roman"/>
          <w:sz w:val="24"/>
          <w:szCs w:val="24"/>
        </w:rPr>
      </w:pPr>
    </w:p>
    <w:p w14:paraId="2D40F052" w14:textId="77777777" w:rsidR="00AC0282" w:rsidRPr="00C32D58" w:rsidRDefault="00AC0282" w:rsidP="00C32D58">
      <w:pPr>
        <w:spacing w:after="0" w:line="240" w:lineRule="auto"/>
        <w:rPr>
          <w:rFonts w:ascii="Times New Roman" w:hAnsi="Times New Roman" w:cs="Times New Roman"/>
          <w:sz w:val="24"/>
          <w:szCs w:val="24"/>
        </w:rPr>
      </w:pPr>
    </w:p>
    <w:p w14:paraId="365D67E7" w14:textId="77777777" w:rsidR="00AC0282" w:rsidRPr="00C32D58" w:rsidRDefault="00AC0282" w:rsidP="00C32D58">
      <w:pPr>
        <w:spacing w:after="0" w:line="240" w:lineRule="auto"/>
        <w:rPr>
          <w:rFonts w:ascii="Times New Roman" w:hAnsi="Times New Roman" w:cs="Times New Roman"/>
          <w:sz w:val="24"/>
          <w:szCs w:val="24"/>
        </w:rPr>
      </w:pPr>
    </w:p>
    <w:p w14:paraId="3867EBC0" w14:textId="7105355B" w:rsidR="00AC0282" w:rsidRPr="00C32D58" w:rsidRDefault="00AC0282" w:rsidP="00C32D58">
      <w:pPr>
        <w:spacing w:after="0" w:line="240" w:lineRule="auto"/>
        <w:rPr>
          <w:rFonts w:ascii="Times New Roman" w:hAnsi="Times New Roman" w:cs="Times New Roman"/>
          <w:color w:val="000000" w:themeColor="text1"/>
          <w:sz w:val="24"/>
          <w:szCs w:val="24"/>
        </w:rPr>
      </w:pPr>
      <w:r w:rsidRPr="00C32D58">
        <w:rPr>
          <w:rFonts w:ascii="Times New Roman" w:hAnsi="Times New Roman" w:cs="Times New Roman"/>
          <w:sz w:val="24"/>
          <w:szCs w:val="24"/>
        </w:rPr>
        <w:tab/>
      </w:r>
    </w:p>
    <w:p w14:paraId="3EF1B6DC" w14:textId="77777777" w:rsidR="00AC0282" w:rsidRPr="00C32D58" w:rsidRDefault="00AC0282" w:rsidP="00C32D58">
      <w:pPr>
        <w:spacing w:after="0" w:line="240" w:lineRule="auto"/>
        <w:rPr>
          <w:rFonts w:ascii="Times New Roman" w:hAnsi="Times New Roman" w:cs="Times New Roman"/>
          <w:sz w:val="24"/>
          <w:szCs w:val="24"/>
        </w:rPr>
      </w:pPr>
      <w:r w:rsidRPr="00C32D58">
        <w:rPr>
          <w:rFonts w:ascii="Times New Roman" w:hAnsi="Times New Roman" w:cs="Times New Roman"/>
          <w:sz w:val="24"/>
          <w:szCs w:val="24"/>
        </w:rPr>
        <w:tab/>
      </w:r>
    </w:p>
    <w:p w14:paraId="6DB38346" w14:textId="77777777" w:rsidR="00AC0282" w:rsidRPr="00C32D58" w:rsidRDefault="00AC0282" w:rsidP="00C32D58">
      <w:pPr>
        <w:spacing w:after="0" w:line="240" w:lineRule="auto"/>
        <w:rPr>
          <w:rFonts w:ascii="Times New Roman" w:hAnsi="Times New Roman" w:cs="Times New Roman"/>
          <w:sz w:val="24"/>
          <w:szCs w:val="24"/>
        </w:rPr>
      </w:pPr>
    </w:p>
    <w:p w14:paraId="522FC746" w14:textId="77777777" w:rsidR="00AC0282" w:rsidRPr="00C32D58" w:rsidRDefault="00AC0282" w:rsidP="00C32D58">
      <w:pPr>
        <w:spacing w:after="0" w:line="240" w:lineRule="auto"/>
        <w:rPr>
          <w:rFonts w:ascii="Times New Roman" w:hAnsi="Times New Roman" w:cs="Times New Roman"/>
          <w:sz w:val="24"/>
          <w:szCs w:val="24"/>
        </w:rPr>
      </w:pPr>
      <w:r w:rsidRPr="00C32D58">
        <w:rPr>
          <w:rFonts w:ascii="Times New Roman" w:hAnsi="Times New Roman" w:cs="Times New Roman"/>
          <w:sz w:val="24"/>
          <w:szCs w:val="24"/>
        </w:rPr>
        <w:tab/>
      </w:r>
    </w:p>
    <w:p w14:paraId="3E77CF85" w14:textId="77777777" w:rsidR="00AC0282" w:rsidRPr="00C32D58" w:rsidRDefault="00AC0282" w:rsidP="00C32D58">
      <w:pPr>
        <w:spacing w:after="0" w:line="240" w:lineRule="auto"/>
        <w:rPr>
          <w:rFonts w:ascii="Times New Roman" w:hAnsi="Times New Roman" w:cs="Times New Roman"/>
          <w:sz w:val="24"/>
          <w:szCs w:val="24"/>
          <w:lang w:bidi="he-IL"/>
        </w:rPr>
      </w:pPr>
    </w:p>
    <w:sectPr w:rsidR="00AC0282" w:rsidRPr="00C32D5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8B642" w14:textId="77777777" w:rsidR="004B438D" w:rsidRDefault="004B438D" w:rsidP="00927475">
      <w:pPr>
        <w:spacing w:after="0" w:line="240" w:lineRule="auto"/>
      </w:pPr>
      <w:r>
        <w:separator/>
      </w:r>
    </w:p>
  </w:endnote>
  <w:endnote w:type="continuationSeparator" w:id="0">
    <w:p w14:paraId="6292B7A8" w14:textId="77777777" w:rsidR="004B438D" w:rsidRDefault="004B438D" w:rsidP="0092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677A6" w14:textId="77777777" w:rsidR="00984E64" w:rsidRDefault="00984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4549719"/>
      <w:docPartObj>
        <w:docPartGallery w:val="Page Numbers (Bottom of Page)"/>
        <w:docPartUnique/>
      </w:docPartObj>
    </w:sdtPr>
    <w:sdtEndPr>
      <w:rPr>
        <w:noProof/>
      </w:rPr>
    </w:sdtEndPr>
    <w:sdtContent>
      <w:p w14:paraId="6156EE17" w14:textId="1406DB92" w:rsidR="00984E64" w:rsidRDefault="00984E64">
        <w:pPr>
          <w:pStyle w:val="Footer"/>
          <w:jc w:val="center"/>
        </w:pPr>
        <w:r>
          <w:fldChar w:fldCharType="begin"/>
        </w:r>
        <w:r>
          <w:instrText xml:space="preserve"> PAGE   \* MERGEFORMAT </w:instrText>
        </w:r>
        <w:r>
          <w:fldChar w:fldCharType="separate"/>
        </w:r>
        <w:r w:rsidR="000E2E66">
          <w:rPr>
            <w:noProof/>
          </w:rPr>
          <w:t>1</w:t>
        </w:r>
        <w:r>
          <w:rPr>
            <w:noProof/>
          </w:rPr>
          <w:fldChar w:fldCharType="end"/>
        </w:r>
      </w:p>
    </w:sdtContent>
  </w:sdt>
  <w:p w14:paraId="5EF8E290" w14:textId="77777777" w:rsidR="00984E64" w:rsidRDefault="00984E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866EC" w14:textId="77777777" w:rsidR="00984E64" w:rsidRDefault="00984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84E87" w14:textId="77777777" w:rsidR="004B438D" w:rsidRDefault="004B438D" w:rsidP="00927475">
      <w:pPr>
        <w:spacing w:after="0" w:line="240" w:lineRule="auto"/>
      </w:pPr>
      <w:r>
        <w:separator/>
      </w:r>
    </w:p>
  </w:footnote>
  <w:footnote w:type="continuationSeparator" w:id="0">
    <w:p w14:paraId="503F7946" w14:textId="77777777" w:rsidR="004B438D" w:rsidRDefault="004B438D" w:rsidP="00927475">
      <w:pPr>
        <w:spacing w:after="0" w:line="240" w:lineRule="auto"/>
      </w:pPr>
      <w:r>
        <w:continuationSeparator/>
      </w:r>
    </w:p>
  </w:footnote>
  <w:footnote w:id="1">
    <w:p w14:paraId="638D97EA" w14:textId="6718DDC7" w:rsidR="00984E64" w:rsidRPr="00C32D58" w:rsidRDefault="00984E64" w:rsidP="000F59F3">
      <w:pPr>
        <w:pStyle w:val="FootnoteText"/>
        <w:rPr>
          <w:i/>
          <w:sz w:val="20"/>
          <w:szCs w:val="20"/>
        </w:rPr>
      </w:pPr>
      <w:r w:rsidRPr="006845CC">
        <w:rPr>
          <w:rStyle w:val="FootnoteReference"/>
          <w:sz w:val="20"/>
          <w:szCs w:val="20"/>
        </w:rPr>
        <w:footnoteRef/>
      </w:r>
      <w:r w:rsidRPr="00C32D58">
        <w:rPr>
          <w:sz w:val="20"/>
          <w:szCs w:val="20"/>
        </w:rPr>
        <w:t xml:space="preserve"> </w:t>
      </w:r>
      <w:r w:rsidRPr="006845CC">
        <w:rPr>
          <w:sz w:val="20"/>
          <w:szCs w:val="20"/>
        </w:rPr>
        <w:t xml:space="preserve">Bernard Marr, </w:t>
      </w:r>
      <w:r w:rsidRPr="006845CC">
        <w:rPr>
          <w:i/>
          <w:sz w:val="20"/>
          <w:szCs w:val="20"/>
        </w:rPr>
        <w:t xml:space="preserve">The Sharing Economy – What it is, Examples, and How Big Data, Platforms And Algorithms Fuel It, </w:t>
      </w:r>
      <w:r w:rsidRPr="006845CC">
        <w:rPr>
          <w:smallCaps/>
          <w:sz w:val="20"/>
          <w:szCs w:val="20"/>
        </w:rPr>
        <w:t>Forbes</w:t>
      </w:r>
      <w:r w:rsidRPr="006845CC">
        <w:rPr>
          <w:sz w:val="20"/>
          <w:szCs w:val="20"/>
        </w:rPr>
        <w:t xml:space="preserve">(Oct. 21, 2016), </w:t>
      </w:r>
      <w:hyperlink r:id="rId1" w:anchor="7c1225f17c5a" w:history="1">
        <w:r w:rsidRPr="006845CC">
          <w:rPr>
            <w:rStyle w:val="Hyperlink"/>
            <w:sz w:val="20"/>
            <w:szCs w:val="20"/>
          </w:rPr>
          <w:t>https://www.forbes.com/sites/bernardmarr/2016/10/21/the-sharing-economy-what-it-is-examples-and-how-big-data-platforms-and-algorithms-fuel/#7c1225f17c5a</w:t>
        </w:r>
      </w:hyperlink>
      <w:r w:rsidRPr="006845CC">
        <w:rPr>
          <w:rStyle w:val="Hyperlink"/>
          <w:sz w:val="20"/>
          <w:szCs w:val="20"/>
        </w:rPr>
        <w:t>.</w:t>
      </w:r>
    </w:p>
  </w:footnote>
  <w:footnote w:id="2">
    <w:p w14:paraId="4A09CAA5" w14:textId="29E9178D" w:rsidR="00984E64" w:rsidRPr="00C32D58" w:rsidRDefault="00984E64" w:rsidP="000F59F3">
      <w:pPr>
        <w:pStyle w:val="FootnoteText"/>
        <w:rPr>
          <w:sz w:val="20"/>
          <w:szCs w:val="20"/>
        </w:rPr>
      </w:pPr>
      <w:r w:rsidRPr="006845CC">
        <w:rPr>
          <w:rStyle w:val="FootnoteReference"/>
          <w:sz w:val="20"/>
          <w:szCs w:val="20"/>
        </w:rPr>
        <w:footnoteRef/>
      </w:r>
      <w:r w:rsidRPr="00C32D58">
        <w:rPr>
          <w:sz w:val="20"/>
          <w:szCs w:val="20"/>
        </w:rPr>
        <w:t xml:space="preserve"> </w:t>
      </w:r>
      <w:r w:rsidRPr="006845CC">
        <w:rPr>
          <w:i/>
          <w:sz w:val="20"/>
          <w:szCs w:val="20"/>
        </w:rPr>
        <w:t>Id.</w:t>
      </w:r>
    </w:p>
  </w:footnote>
  <w:footnote w:id="3">
    <w:p w14:paraId="28B57827" w14:textId="40010BE9" w:rsidR="00984E64" w:rsidRPr="006845CC" w:rsidRDefault="00984E64" w:rsidP="000F59F3">
      <w:pPr>
        <w:pStyle w:val="FootnoteText"/>
        <w:rPr>
          <w:sz w:val="20"/>
          <w:szCs w:val="20"/>
        </w:rPr>
      </w:pPr>
      <w:r w:rsidRPr="006845CC">
        <w:rPr>
          <w:rStyle w:val="FootnoteReference"/>
          <w:sz w:val="20"/>
          <w:szCs w:val="20"/>
        </w:rPr>
        <w:footnoteRef/>
      </w:r>
      <w:r w:rsidRPr="00C32D58">
        <w:rPr>
          <w:sz w:val="20"/>
          <w:szCs w:val="20"/>
        </w:rPr>
        <w:t xml:space="preserve"> </w:t>
      </w:r>
      <w:r w:rsidRPr="006845CC">
        <w:rPr>
          <w:sz w:val="20"/>
          <w:szCs w:val="20"/>
        </w:rPr>
        <w:t xml:space="preserve">Lauren Thomas, </w:t>
      </w:r>
      <w:r w:rsidRPr="006845CC">
        <w:rPr>
          <w:i/>
          <w:sz w:val="20"/>
          <w:szCs w:val="20"/>
        </w:rPr>
        <w:t>Airbnb just closed a $1 billion round and became profitable in 2016</w:t>
      </w:r>
      <w:r w:rsidRPr="006845CC">
        <w:rPr>
          <w:sz w:val="20"/>
          <w:szCs w:val="20"/>
        </w:rPr>
        <w:t xml:space="preserve">, CNBC (Mar. 9, 2017, 10:45 AM), </w:t>
      </w:r>
      <w:hyperlink r:id="rId2" w:history="1">
        <w:r w:rsidRPr="006845CC">
          <w:rPr>
            <w:rStyle w:val="Hyperlink"/>
            <w:sz w:val="20"/>
            <w:szCs w:val="20"/>
          </w:rPr>
          <w:t>http://www.cnbc.com/2017/03/09/airbnb-closes-1-billion-round-31-billion-valuation-profitable.html</w:t>
        </w:r>
      </w:hyperlink>
      <w:r w:rsidRPr="006845CC">
        <w:rPr>
          <w:sz w:val="20"/>
          <w:szCs w:val="20"/>
        </w:rPr>
        <w:t xml:space="preserve">; Richard Beales, </w:t>
      </w:r>
      <w:r w:rsidRPr="006845CC">
        <w:rPr>
          <w:i/>
          <w:sz w:val="20"/>
          <w:szCs w:val="20"/>
        </w:rPr>
        <w:t>Uber’s $70 bln value accrues mainly to customers</w:t>
      </w:r>
      <w:r w:rsidRPr="006845CC">
        <w:rPr>
          <w:sz w:val="20"/>
          <w:szCs w:val="20"/>
        </w:rPr>
        <w:t xml:space="preserve">, </w:t>
      </w:r>
      <w:r w:rsidRPr="00C32D58">
        <w:rPr>
          <w:smallCaps/>
          <w:sz w:val="20"/>
          <w:szCs w:val="20"/>
        </w:rPr>
        <w:t>Reuters</w:t>
      </w:r>
      <w:r w:rsidRPr="006845CC">
        <w:rPr>
          <w:sz w:val="20"/>
          <w:szCs w:val="20"/>
        </w:rPr>
        <w:t xml:space="preserve"> (Dec. 22, 2016, 12:40 PM), http://www.reuters.com/article/us-uber-valuation-breakingviews-idUSKBN14B23A.</w:t>
      </w:r>
    </w:p>
  </w:footnote>
  <w:footnote w:id="4">
    <w:p w14:paraId="74AFF63A" w14:textId="09AAE7A3" w:rsidR="00984E64" w:rsidRPr="006845CC" w:rsidRDefault="00984E64" w:rsidP="00C32D58">
      <w:pPr>
        <w:spacing w:after="0" w:line="240" w:lineRule="auto"/>
        <w:rPr>
          <w:rFonts w:ascii="Times New Roman" w:hAnsi="Times New Roman" w:cs="Times New Roman"/>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FTC Staff Report, </w:t>
      </w:r>
      <w:r w:rsidRPr="006845CC">
        <w:rPr>
          <w:rFonts w:ascii="Times New Roman" w:hAnsi="Times New Roman" w:cs="Times New Roman"/>
          <w:i/>
          <w:sz w:val="20"/>
          <w:szCs w:val="20"/>
        </w:rPr>
        <w:t xml:space="preserve">The “Sharing” Economy Issues Facing Platforms, Participants &amp; Regulators, </w:t>
      </w:r>
      <w:r w:rsidRPr="00C32D58">
        <w:rPr>
          <w:rFonts w:ascii="Times New Roman" w:hAnsi="Times New Roman" w:cs="Times New Roman"/>
          <w:smallCaps/>
          <w:sz w:val="20"/>
          <w:szCs w:val="20"/>
        </w:rPr>
        <w:t>Federal Trade Commission</w:t>
      </w:r>
      <w:r w:rsidRPr="006845CC">
        <w:rPr>
          <w:rFonts w:ascii="Times New Roman" w:hAnsi="Times New Roman" w:cs="Times New Roman"/>
          <w:i/>
          <w:sz w:val="20"/>
          <w:szCs w:val="20"/>
        </w:rPr>
        <w:t xml:space="preserve"> </w:t>
      </w:r>
      <w:r w:rsidRPr="006845CC">
        <w:rPr>
          <w:rFonts w:ascii="Times New Roman" w:hAnsi="Times New Roman" w:cs="Times New Roman"/>
          <w:sz w:val="20"/>
          <w:szCs w:val="20"/>
        </w:rPr>
        <w:t xml:space="preserve">(Nov. 2016), </w:t>
      </w:r>
      <w:hyperlink r:id="rId3" w:history="1">
        <w:r w:rsidRPr="006845CC">
          <w:rPr>
            <w:rStyle w:val="Hyperlink"/>
            <w:rFonts w:ascii="Times New Roman" w:hAnsi="Times New Roman" w:cs="Times New Roman"/>
            <w:sz w:val="20"/>
            <w:szCs w:val="20"/>
          </w:rPr>
          <w:t>https://www.ftc.gov/system/files/documents/reports/sharing-economy-issues-facing-platforms-participants-regulators-federal-trade-commission-staff/p151200_ftc_staff_report_on_the_sharing_economy.pdf</w:t>
        </w:r>
      </w:hyperlink>
      <w:r w:rsidRPr="006845CC">
        <w:rPr>
          <w:rStyle w:val="Hyperlink"/>
          <w:rFonts w:ascii="Times New Roman" w:hAnsi="Times New Roman" w:cs="Times New Roman"/>
          <w:sz w:val="20"/>
          <w:szCs w:val="20"/>
        </w:rPr>
        <w:t>.</w:t>
      </w:r>
    </w:p>
  </w:footnote>
  <w:footnote w:id="5">
    <w:p w14:paraId="632EA8CD" w14:textId="7FCB4E10" w:rsidR="00984E64" w:rsidRPr="006845CC" w:rsidRDefault="00984E64" w:rsidP="00C32D58">
      <w:pPr>
        <w:spacing w:after="0" w:line="240" w:lineRule="auto"/>
        <w:rPr>
          <w:rFonts w:ascii="Times New Roman" w:hAnsi="Times New Roman" w:cs="Times New Roman"/>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Alexander Howard, </w:t>
      </w:r>
      <w:r w:rsidRPr="006845CC">
        <w:rPr>
          <w:rFonts w:ascii="Times New Roman" w:hAnsi="Times New Roman" w:cs="Times New Roman"/>
          <w:i/>
          <w:sz w:val="20"/>
          <w:szCs w:val="20"/>
        </w:rPr>
        <w:t xml:space="preserve">How Digital Platforms Like LinkedIn, Uber And TaskRabbit Are Changing The On-Demand Economy, </w:t>
      </w:r>
      <w:r w:rsidRPr="00C32D58">
        <w:rPr>
          <w:rFonts w:ascii="Times New Roman" w:hAnsi="Times New Roman" w:cs="Times New Roman"/>
          <w:smallCaps/>
          <w:sz w:val="20"/>
          <w:szCs w:val="20"/>
        </w:rPr>
        <w:t>Huffington Post</w:t>
      </w:r>
      <w:r w:rsidRPr="006845CC">
        <w:rPr>
          <w:rFonts w:ascii="Times New Roman" w:hAnsi="Times New Roman" w:cs="Times New Roman"/>
          <w:smallCaps/>
          <w:sz w:val="20"/>
          <w:szCs w:val="20"/>
        </w:rPr>
        <w:t xml:space="preserve"> </w:t>
      </w:r>
      <w:r w:rsidRPr="006845CC">
        <w:rPr>
          <w:rFonts w:ascii="Times New Roman" w:hAnsi="Times New Roman" w:cs="Times New Roman"/>
          <w:sz w:val="20"/>
          <w:szCs w:val="20"/>
        </w:rPr>
        <w:t xml:space="preserve">(Jan. 03, 2017), </w:t>
      </w:r>
      <w:hyperlink r:id="rId4" w:history="1">
        <w:r w:rsidRPr="006845CC">
          <w:rPr>
            <w:rStyle w:val="Hyperlink"/>
            <w:rFonts w:ascii="Times New Roman" w:hAnsi="Times New Roman" w:cs="Times New Roman"/>
            <w:sz w:val="20"/>
            <w:szCs w:val="20"/>
          </w:rPr>
          <w:t>http://www.huffingtonpost.com/entry/online-talent-platforms_us_55a03545e4b0b8145f72ccf6?ncid=engmodushpmg00000004</w:t>
        </w:r>
      </w:hyperlink>
    </w:p>
  </w:footnote>
  <w:footnote w:id="6">
    <w:p w14:paraId="1D4329BA" w14:textId="51C0C71C" w:rsidR="00984E64" w:rsidRPr="00C32D58" w:rsidRDefault="00984E64" w:rsidP="00E97846">
      <w:pPr>
        <w:pStyle w:val="FootnoteText"/>
        <w:rPr>
          <w:sz w:val="20"/>
          <w:szCs w:val="20"/>
        </w:rPr>
      </w:pPr>
      <w:r w:rsidRPr="006845CC">
        <w:rPr>
          <w:rStyle w:val="FootnoteReference"/>
          <w:sz w:val="20"/>
          <w:szCs w:val="20"/>
        </w:rPr>
        <w:footnoteRef/>
      </w:r>
      <w:r w:rsidRPr="006845CC">
        <w:rPr>
          <w:sz w:val="20"/>
          <w:szCs w:val="20"/>
        </w:rPr>
        <w:t xml:space="preserve"> </w:t>
      </w:r>
      <w:bookmarkStart w:id="1" w:name="_Hlk500302590"/>
      <w:r w:rsidRPr="006845CC">
        <w:rPr>
          <w:sz w:val="20"/>
          <w:szCs w:val="20"/>
        </w:rPr>
        <w:t xml:space="preserve">FTC Staff Report, </w:t>
      </w:r>
      <w:r w:rsidRPr="006845CC">
        <w:rPr>
          <w:i/>
          <w:sz w:val="20"/>
          <w:szCs w:val="20"/>
        </w:rPr>
        <w:t xml:space="preserve">supra </w:t>
      </w:r>
      <w:r w:rsidR="00E97846" w:rsidRPr="006845CC">
        <w:rPr>
          <w:sz w:val="20"/>
          <w:szCs w:val="20"/>
        </w:rPr>
        <w:t>note 4.</w:t>
      </w:r>
      <w:bookmarkEnd w:id="1"/>
    </w:p>
  </w:footnote>
  <w:footnote w:id="7">
    <w:p w14:paraId="34A47B32" w14:textId="6BA366AB" w:rsidR="00984E64" w:rsidRPr="00C32D58" w:rsidRDefault="00984E64" w:rsidP="00E97846">
      <w:pPr>
        <w:pStyle w:val="FootnoteText"/>
        <w:rPr>
          <w:sz w:val="20"/>
          <w:szCs w:val="20"/>
        </w:rPr>
      </w:pPr>
      <w:r w:rsidRPr="006845CC">
        <w:rPr>
          <w:rStyle w:val="FootnoteReference"/>
          <w:sz w:val="20"/>
          <w:szCs w:val="20"/>
        </w:rPr>
        <w:footnoteRef/>
      </w:r>
      <w:r w:rsidRPr="00C32D58">
        <w:rPr>
          <w:sz w:val="20"/>
          <w:szCs w:val="20"/>
        </w:rPr>
        <w:t xml:space="preserve"> </w:t>
      </w:r>
      <w:r w:rsidR="00E97846" w:rsidRPr="006845CC">
        <w:rPr>
          <w:sz w:val="20"/>
          <w:szCs w:val="20"/>
        </w:rPr>
        <w:t xml:space="preserve">FTC Staff Report, </w:t>
      </w:r>
      <w:r w:rsidR="00E97846" w:rsidRPr="006845CC">
        <w:rPr>
          <w:i/>
          <w:sz w:val="20"/>
          <w:szCs w:val="20"/>
        </w:rPr>
        <w:t xml:space="preserve">supra </w:t>
      </w:r>
      <w:r w:rsidR="00E97846" w:rsidRPr="006845CC">
        <w:rPr>
          <w:sz w:val="20"/>
          <w:szCs w:val="20"/>
        </w:rPr>
        <w:t>note 4.</w:t>
      </w:r>
    </w:p>
  </w:footnote>
  <w:footnote w:id="8">
    <w:p w14:paraId="7C1909B3" w14:textId="700D42F0" w:rsidR="00984E64" w:rsidRPr="00C32D58" w:rsidRDefault="00984E64" w:rsidP="00C32D58">
      <w:pPr>
        <w:spacing w:after="0" w:line="240" w:lineRule="auto"/>
        <w:rPr>
          <w:rFonts w:ascii="Times New Roman" w:hAnsi="Times New Roman" w:cs="Times New Roman"/>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w:t>
      </w:r>
      <w:r w:rsidRPr="00CE575C">
        <w:rPr>
          <w:rFonts w:ascii="Times New Roman" w:eastAsia="Times New Roman" w:hAnsi="Times New Roman" w:cs="Times New Roman"/>
          <w:i/>
          <w:sz w:val="20"/>
          <w:szCs w:val="20"/>
        </w:rPr>
        <w:t>Cotter v. Lyft, Inc.</w:t>
      </w:r>
      <w:r w:rsidRPr="006845CC">
        <w:rPr>
          <w:rFonts w:ascii="Times New Roman" w:eastAsia="Times New Roman" w:hAnsi="Times New Roman" w:cs="Times New Roman"/>
          <w:sz w:val="20"/>
          <w:szCs w:val="20"/>
        </w:rPr>
        <w:t>, 60 F. Supp. 3d 1067, 1081 (N.D. Cal. 2015).</w:t>
      </w:r>
    </w:p>
  </w:footnote>
  <w:footnote w:id="9">
    <w:p w14:paraId="04CA7A25" w14:textId="47CDE40D" w:rsidR="00984E64" w:rsidRPr="006845CC" w:rsidRDefault="00984E64" w:rsidP="00C32D58">
      <w:pPr>
        <w:spacing w:after="0" w:line="240" w:lineRule="auto"/>
        <w:rPr>
          <w:rFonts w:ascii="Times New Roman" w:hAnsi="Times New Roman" w:cs="Times New Roman"/>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w:t>
      </w:r>
      <w:r w:rsidRPr="006845CC">
        <w:rPr>
          <w:rFonts w:ascii="Times New Roman" w:hAnsi="Times New Roman" w:cs="Times New Roman"/>
          <w:i/>
          <w:sz w:val="20"/>
          <w:szCs w:val="20"/>
        </w:rPr>
        <w:t>See</w:t>
      </w:r>
      <w:r w:rsidRPr="006845CC">
        <w:rPr>
          <w:rFonts w:ascii="Times New Roman" w:hAnsi="Times New Roman" w:cs="Times New Roman"/>
          <w:sz w:val="20"/>
          <w:szCs w:val="20"/>
        </w:rPr>
        <w:t xml:space="preserve"> </w:t>
      </w:r>
      <w:r w:rsidRPr="006845CC">
        <w:rPr>
          <w:rFonts w:ascii="Times New Roman" w:eastAsia="Times New Roman" w:hAnsi="Times New Roman" w:cs="Times New Roman"/>
          <w:i/>
          <w:sz w:val="20"/>
          <w:szCs w:val="20"/>
        </w:rPr>
        <w:t>Ehret v. Uber Techs., Inc.</w:t>
      </w:r>
      <w:r w:rsidRPr="006845CC">
        <w:rPr>
          <w:rFonts w:ascii="Times New Roman" w:eastAsia="Times New Roman" w:hAnsi="Times New Roman" w:cs="Times New Roman"/>
          <w:sz w:val="20"/>
          <w:szCs w:val="20"/>
        </w:rPr>
        <w:t xml:space="preserve">, 148 F. Supp. 3d 884, 888 (N.D. Cal. 2015) (class action alleging “representation of a 20% gratuity is false, misleading and likely to deceive members of the public”); </w:t>
      </w:r>
      <w:r w:rsidRPr="006845CC">
        <w:rPr>
          <w:rFonts w:ascii="Times New Roman" w:eastAsia="Times New Roman" w:hAnsi="Times New Roman" w:cs="Times New Roman"/>
          <w:i/>
          <w:sz w:val="20"/>
          <w:szCs w:val="20"/>
        </w:rPr>
        <w:t>L.A. Taxi Coop., Inc. v. Uber Techs., Inc.</w:t>
      </w:r>
      <w:r w:rsidRPr="006845CC">
        <w:rPr>
          <w:rFonts w:ascii="Times New Roman" w:eastAsia="Times New Roman" w:hAnsi="Times New Roman" w:cs="Times New Roman"/>
          <w:sz w:val="20"/>
          <w:szCs w:val="20"/>
        </w:rPr>
        <w:t>, 114 F. Supp. 3d 852 (N.D. Cal. 2015) (alleging Uber made false and misleading statements about safety).</w:t>
      </w:r>
    </w:p>
  </w:footnote>
  <w:footnote w:id="10">
    <w:p w14:paraId="6D9CDBAF" w14:textId="1921A0FC" w:rsidR="00984E64" w:rsidRPr="006845CC" w:rsidRDefault="00984E64" w:rsidP="00C32D58">
      <w:pPr>
        <w:spacing w:after="0" w:line="240" w:lineRule="auto"/>
        <w:rPr>
          <w:rFonts w:ascii="Times New Roman" w:hAnsi="Times New Roman" w:cs="Times New Roman"/>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w:t>
      </w:r>
      <w:r w:rsidRPr="006845CC">
        <w:rPr>
          <w:rFonts w:ascii="Times New Roman" w:hAnsi="Times New Roman" w:cs="Times New Roman"/>
          <w:i/>
          <w:sz w:val="20"/>
          <w:szCs w:val="20"/>
        </w:rPr>
        <w:t>See</w:t>
      </w:r>
      <w:r w:rsidRPr="006845CC">
        <w:rPr>
          <w:rFonts w:ascii="Times New Roman" w:hAnsi="Times New Roman" w:cs="Times New Roman"/>
          <w:sz w:val="20"/>
          <w:szCs w:val="20"/>
        </w:rPr>
        <w:t xml:space="preserve"> </w:t>
      </w:r>
      <w:r w:rsidRPr="006845CC">
        <w:rPr>
          <w:rFonts w:ascii="Times New Roman" w:eastAsia="Times New Roman" w:hAnsi="Times New Roman" w:cs="Times New Roman"/>
          <w:i/>
          <w:sz w:val="20"/>
          <w:szCs w:val="20"/>
        </w:rPr>
        <w:t>Greenwich Taxi, Inc. v. Uber Techs., Inc.</w:t>
      </w:r>
      <w:r w:rsidRPr="006845CC">
        <w:rPr>
          <w:rFonts w:ascii="Times New Roman" w:eastAsia="Times New Roman" w:hAnsi="Times New Roman" w:cs="Times New Roman"/>
          <w:sz w:val="20"/>
          <w:szCs w:val="20"/>
        </w:rPr>
        <w:t xml:space="preserve">, 123 F. Supp. 3d 327, 336, 337, 338-40, 342, 343 (D. Conn. 2015) (insufficient and inadequate pleading on counts of false advertising, misrepresentation, false association, RICO, and CUPTA); </w:t>
      </w:r>
      <w:r w:rsidRPr="006845CC">
        <w:rPr>
          <w:rFonts w:ascii="Times New Roman" w:eastAsia="Times New Roman" w:hAnsi="Times New Roman" w:cs="Times New Roman"/>
          <w:i/>
          <w:sz w:val="20"/>
          <w:szCs w:val="20"/>
        </w:rPr>
        <w:t>XYZ Two Way Radio Serv., Inc. v. Uber Techs., Inc.</w:t>
      </w:r>
      <w:r w:rsidRPr="006845CC">
        <w:rPr>
          <w:rFonts w:ascii="Times New Roman" w:eastAsia="Times New Roman" w:hAnsi="Times New Roman" w:cs="Times New Roman"/>
          <w:sz w:val="20"/>
          <w:szCs w:val="20"/>
        </w:rPr>
        <w:t xml:space="preserve">, 214 F. Supp. 3d 179 (E.D.N.Y. 2016) (insufficient and inadequate pleading on counts of false advertising, Uber’s “partnership” with its drivers, and tortious interference).  </w:t>
      </w:r>
    </w:p>
  </w:footnote>
  <w:footnote w:id="11">
    <w:p w14:paraId="0B6FC639" w14:textId="3A29AB1B" w:rsidR="00984E64" w:rsidRPr="00C32D58" w:rsidRDefault="00984E64" w:rsidP="00C32D58">
      <w:pPr>
        <w:spacing w:after="0" w:line="240" w:lineRule="auto"/>
        <w:rPr>
          <w:rFonts w:ascii="Times New Roman" w:hAnsi="Times New Roman" w:cs="Times New Roman"/>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w:t>
      </w:r>
      <w:r w:rsidRPr="00CE575C">
        <w:rPr>
          <w:rFonts w:ascii="Times New Roman" w:eastAsia="Times New Roman" w:hAnsi="Times New Roman" w:cs="Times New Roman"/>
          <w:i/>
          <w:sz w:val="20"/>
          <w:szCs w:val="20"/>
        </w:rPr>
        <w:t>Cotter v. Lyft, Inc.</w:t>
      </w:r>
      <w:r w:rsidRPr="006845CC">
        <w:rPr>
          <w:rFonts w:ascii="Times New Roman" w:eastAsia="Times New Roman" w:hAnsi="Times New Roman" w:cs="Times New Roman"/>
          <w:sz w:val="20"/>
          <w:szCs w:val="20"/>
        </w:rPr>
        <w:t>, No. 13-</w:t>
      </w:r>
      <w:r w:rsidR="00E97846" w:rsidRPr="006845CC">
        <w:rPr>
          <w:rFonts w:ascii="Times New Roman" w:eastAsia="Times New Roman" w:hAnsi="Times New Roman" w:cs="Times New Roman"/>
          <w:sz w:val="20"/>
          <w:szCs w:val="20"/>
        </w:rPr>
        <w:t>cv</w:t>
      </w:r>
      <w:r w:rsidRPr="006845CC">
        <w:rPr>
          <w:rFonts w:ascii="Times New Roman" w:eastAsia="Times New Roman" w:hAnsi="Times New Roman" w:cs="Times New Roman"/>
          <w:sz w:val="20"/>
          <w:szCs w:val="20"/>
        </w:rPr>
        <w:t>-04065-VC, 2017 WL 1033527, at *1 (N.D. Cal. Mar. 16, 2017).</w:t>
      </w:r>
    </w:p>
  </w:footnote>
  <w:footnote w:id="12">
    <w:p w14:paraId="5A142450" w14:textId="77777777" w:rsidR="00984E64" w:rsidRPr="00C32D58" w:rsidRDefault="00984E64">
      <w:pPr>
        <w:pStyle w:val="FootnoteText"/>
        <w:rPr>
          <w:sz w:val="20"/>
          <w:szCs w:val="20"/>
        </w:rPr>
      </w:pPr>
      <w:r w:rsidRPr="006845CC">
        <w:rPr>
          <w:rStyle w:val="FootnoteReference"/>
          <w:sz w:val="20"/>
          <w:szCs w:val="20"/>
        </w:rPr>
        <w:footnoteRef/>
      </w:r>
      <w:r w:rsidRPr="00C32D58">
        <w:rPr>
          <w:sz w:val="20"/>
          <w:szCs w:val="20"/>
        </w:rPr>
        <w:t xml:space="preserve"> </w:t>
      </w:r>
      <w:r w:rsidRPr="006845CC">
        <w:rPr>
          <w:i/>
          <w:sz w:val="20"/>
          <w:szCs w:val="20"/>
        </w:rPr>
        <w:t>See Cotter</w:t>
      </w:r>
      <w:r w:rsidRPr="006845CC">
        <w:rPr>
          <w:sz w:val="20"/>
          <w:szCs w:val="20"/>
        </w:rPr>
        <w:t xml:space="preserve">, </w:t>
      </w:r>
      <w:r w:rsidRPr="006845CC">
        <w:rPr>
          <w:rFonts w:eastAsia="Times New Roman"/>
          <w:sz w:val="20"/>
          <w:szCs w:val="20"/>
        </w:rPr>
        <w:t>60 F. Supp. 3d at 1081.</w:t>
      </w:r>
      <w:r w:rsidRPr="00C32D58">
        <w:rPr>
          <w:rFonts w:eastAsia="Times New Roman"/>
          <w:sz w:val="20"/>
          <w:szCs w:val="20"/>
        </w:rPr>
        <w:t xml:space="preserve">  </w:t>
      </w:r>
    </w:p>
  </w:footnote>
  <w:footnote w:id="13">
    <w:p w14:paraId="51C20653" w14:textId="77777777"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bookmarkStart w:id="4" w:name="OLE_LINK409"/>
      <w:bookmarkStart w:id="5" w:name="OLE_LINK410"/>
      <w:r w:rsidRPr="006845CC">
        <w:rPr>
          <w:sz w:val="20"/>
          <w:szCs w:val="20"/>
        </w:rPr>
        <w:t xml:space="preserve">Ronald Coase, </w:t>
      </w:r>
      <w:bookmarkStart w:id="6" w:name="OLE_LINK405"/>
      <w:bookmarkStart w:id="7" w:name="OLE_LINK406"/>
      <w:r w:rsidRPr="006845CC">
        <w:rPr>
          <w:i/>
          <w:sz w:val="20"/>
          <w:szCs w:val="20"/>
        </w:rPr>
        <w:t>The Problem of Social Cost</w:t>
      </w:r>
      <w:r w:rsidRPr="006845CC">
        <w:rPr>
          <w:sz w:val="20"/>
          <w:szCs w:val="20"/>
        </w:rPr>
        <w:t xml:space="preserve">, 3 </w:t>
      </w:r>
      <w:r w:rsidRPr="006845CC">
        <w:rPr>
          <w:smallCaps/>
          <w:sz w:val="20"/>
          <w:szCs w:val="20"/>
        </w:rPr>
        <w:t>J. of Law and Econ</w:t>
      </w:r>
      <w:r w:rsidRPr="006845CC">
        <w:rPr>
          <w:sz w:val="20"/>
          <w:szCs w:val="20"/>
        </w:rPr>
        <w:t>.</w:t>
      </w:r>
      <w:bookmarkEnd w:id="6"/>
      <w:bookmarkEnd w:id="7"/>
      <w:r w:rsidRPr="006845CC">
        <w:rPr>
          <w:sz w:val="20"/>
          <w:szCs w:val="20"/>
        </w:rPr>
        <w:t xml:space="preserve"> 15 (1960). </w:t>
      </w:r>
      <w:bookmarkEnd w:id="4"/>
      <w:bookmarkEnd w:id="5"/>
    </w:p>
  </w:footnote>
  <w:footnote w:id="14">
    <w:p w14:paraId="1B798242" w14:textId="4584B9C1" w:rsidR="00984E64" w:rsidRPr="006845CC" w:rsidRDefault="00984E64" w:rsidP="00C32D58">
      <w:pPr>
        <w:pStyle w:val="FootnoteText"/>
        <w:tabs>
          <w:tab w:val="left" w:pos="7963"/>
        </w:tabs>
        <w:rPr>
          <w:sz w:val="20"/>
          <w:szCs w:val="20"/>
        </w:rPr>
      </w:pPr>
      <w:r w:rsidRPr="006845CC">
        <w:rPr>
          <w:rStyle w:val="FootnoteReference"/>
          <w:sz w:val="20"/>
          <w:szCs w:val="20"/>
        </w:rPr>
        <w:footnoteRef/>
      </w:r>
      <w:r w:rsidRPr="006845CC">
        <w:rPr>
          <w:sz w:val="20"/>
          <w:szCs w:val="20"/>
        </w:rPr>
        <w:t xml:space="preserve"> Carl J. Dahlman, </w:t>
      </w:r>
      <w:bookmarkStart w:id="8" w:name="OLE_LINK413"/>
      <w:bookmarkStart w:id="9" w:name="OLE_LINK414"/>
      <w:r w:rsidRPr="006845CC">
        <w:rPr>
          <w:i/>
          <w:sz w:val="20"/>
          <w:szCs w:val="20"/>
        </w:rPr>
        <w:t>The Problem of Externality</w:t>
      </w:r>
      <w:r w:rsidRPr="006845CC">
        <w:rPr>
          <w:sz w:val="20"/>
          <w:szCs w:val="20"/>
        </w:rPr>
        <w:t xml:space="preserve">, </w:t>
      </w:r>
      <w:bookmarkEnd w:id="8"/>
      <w:bookmarkEnd w:id="9"/>
      <w:r w:rsidRPr="006845CC">
        <w:rPr>
          <w:sz w:val="20"/>
          <w:szCs w:val="20"/>
        </w:rPr>
        <w:t xml:space="preserve">22 </w:t>
      </w:r>
      <w:r w:rsidRPr="006845CC">
        <w:rPr>
          <w:smallCaps/>
          <w:sz w:val="20"/>
          <w:szCs w:val="20"/>
        </w:rPr>
        <w:t>J. of Law and Econ</w:t>
      </w:r>
      <w:r w:rsidRPr="006845CC">
        <w:rPr>
          <w:sz w:val="20"/>
          <w:szCs w:val="20"/>
        </w:rPr>
        <w:t xml:space="preserve">. 1, 148 (1979).  </w:t>
      </w:r>
      <w:r w:rsidRPr="006845CC">
        <w:rPr>
          <w:sz w:val="20"/>
          <w:szCs w:val="20"/>
        </w:rPr>
        <w:tab/>
      </w:r>
    </w:p>
  </w:footnote>
  <w:footnote w:id="15">
    <w:p w14:paraId="7E53C4B0" w14:textId="24FD7B4B"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Orly Lobel, </w:t>
      </w:r>
      <w:r w:rsidRPr="006845CC">
        <w:rPr>
          <w:i/>
          <w:sz w:val="20"/>
          <w:szCs w:val="20"/>
        </w:rPr>
        <w:t>The Law of the Platform</w:t>
      </w:r>
      <w:r w:rsidRPr="006845CC">
        <w:rPr>
          <w:sz w:val="20"/>
          <w:szCs w:val="20"/>
        </w:rPr>
        <w:t xml:space="preserve">, </w:t>
      </w:r>
      <w:r w:rsidR="00E97846" w:rsidRPr="006845CC">
        <w:rPr>
          <w:sz w:val="20"/>
          <w:szCs w:val="20"/>
        </w:rPr>
        <w:t xml:space="preserve">101 </w:t>
      </w:r>
      <w:r w:rsidRPr="00C32D58">
        <w:rPr>
          <w:smallCaps/>
          <w:sz w:val="20"/>
          <w:szCs w:val="20"/>
        </w:rPr>
        <w:t>Minn</w:t>
      </w:r>
      <w:r w:rsidR="00E97846" w:rsidRPr="00C32D58">
        <w:rPr>
          <w:smallCaps/>
          <w:sz w:val="20"/>
          <w:szCs w:val="20"/>
        </w:rPr>
        <w:t>.</w:t>
      </w:r>
      <w:r w:rsidRPr="00C32D58">
        <w:rPr>
          <w:smallCaps/>
          <w:sz w:val="20"/>
          <w:szCs w:val="20"/>
        </w:rPr>
        <w:t xml:space="preserve"> L</w:t>
      </w:r>
      <w:r w:rsidR="00E97846" w:rsidRPr="00C32D58">
        <w:rPr>
          <w:smallCaps/>
          <w:sz w:val="20"/>
          <w:szCs w:val="20"/>
        </w:rPr>
        <w:t>.</w:t>
      </w:r>
      <w:r w:rsidRPr="00C32D58">
        <w:rPr>
          <w:smallCaps/>
          <w:sz w:val="20"/>
          <w:szCs w:val="20"/>
        </w:rPr>
        <w:t xml:space="preserve"> Rev</w:t>
      </w:r>
      <w:r w:rsidR="00E97846" w:rsidRPr="006845CC">
        <w:rPr>
          <w:sz w:val="20"/>
          <w:szCs w:val="20"/>
        </w:rPr>
        <w:t>. 87, 87 (2016).</w:t>
      </w:r>
    </w:p>
  </w:footnote>
  <w:footnote w:id="16">
    <w:p w14:paraId="1634FA17" w14:textId="6DFB59A0"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C32D58">
        <w:rPr>
          <w:smallCaps/>
          <w:sz w:val="20"/>
          <w:szCs w:val="20"/>
        </w:rPr>
        <w:t xml:space="preserve">Yochai Benkler, The Wealth of Networks: How Social Production Transforms Markets and Freedom </w:t>
      </w:r>
      <w:r w:rsidRPr="006845CC">
        <w:rPr>
          <w:sz w:val="20"/>
          <w:szCs w:val="20"/>
        </w:rPr>
        <w:t xml:space="preserve">100 (2006). </w:t>
      </w:r>
    </w:p>
  </w:footnote>
  <w:footnote w:id="17">
    <w:p w14:paraId="15FAF454" w14:textId="2B6FB514"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Lobel, </w:t>
      </w:r>
      <w:r w:rsidRPr="006845CC">
        <w:rPr>
          <w:i/>
          <w:sz w:val="20"/>
          <w:szCs w:val="20"/>
        </w:rPr>
        <w:t>supra</w:t>
      </w:r>
      <w:r w:rsidR="00E97846" w:rsidRPr="006845CC">
        <w:rPr>
          <w:sz w:val="20"/>
          <w:szCs w:val="20"/>
        </w:rPr>
        <w:t xml:space="preserve"> note 15.</w:t>
      </w:r>
    </w:p>
  </w:footnote>
  <w:footnote w:id="18">
    <w:p w14:paraId="3452A917" w14:textId="3A4BECD1" w:rsidR="00984E64" w:rsidRPr="00C32D58" w:rsidRDefault="00984E64" w:rsidP="00E97846">
      <w:pPr>
        <w:pStyle w:val="FootnoteText"/>
        <w:rPr>
          <w:sz w:val="20"/>
          <w:szCs w:val="20"/>
        </w:rPr>
      </w:pPr>
      <w:r w:rsidRPr="006845CC">
        <w:rPr>
          <w:rStyle w:val="FootnoteReference"/>
          <w:sz w:val="20"/>
          <w:szCs w:val="20"/>
        </w:rPr>
        <w:footnoteRef/>
      </w:r>
      <w:r w:rsidRPr="006845CC">
        <w:rPr>
          <w:sz w:val="20"/>
          <w:szCs w:val="20"/>
        </w:rPr>
        <w:t xml:space="preserve"> Bamberger &amp; Lobel, </w:t>
      </w:r>
      <w:r w:rsidRPr="006845CC">
        <w:rPr>
          <w:i/>
          <w:sz w:val="20"/>
          <w:szCs w:val="20"/>
        </w:rPr>
        <w:t>Platf</w:t>
      </w:r>
      <w:r w:rsidRPr="00AB4BB9">
        <w:rPr>
          <w:rFonts w:asciiTheme="majorBidi" w:hAnsiTheme="majorBidi" w:cstheme="majorBidi"/>
          <w:i/>
          <w:sz w:val="20"/>
          <w:szCs w:val="20"/>
        </w:rPr>
        <w:t xml:space="preserve">orm Market Power </w:t>
      </w:r>
      <w:r w:rsidR="00AB4BB9" w:rsidRPr="00AB4BB9">
        <w:rPr>
          <w:rFonts w:asciiTheme="majorBidi" w:hAnsiTheme="majorBidi" w:cstheme="majorBidi"/>
          <w:i/>
          <w:sz w:val="20"/>
          <w:szCs w:val="20"/>
        </w:rPr>
        <w:t xml:space="preserve">forthcoming </w:t>
      </w:r>
      <w:r w:rsidR="00AB4BB9" w:rsidRPr="00AB4BB9">
        <w:rPr>
          <w:rFonts w:asciiTheme="majorBidi" w:hAnsiTheme="majorBidi" w:cstheme="majorBidi"/>
          <w:sz w:val="20"/>
          <w:szCs w:val="20"/>
          <w:shd w:val="clear" w:color="auto" w:fill="FFFFFF"/>
        </w:rPr>
        <w:t>Berkeley Technology Law Journal, Vol. 32, 2017.</w:t>
      </w:r>
    </w:p>
  </w:footnote>
  <w:footnote w:id="19">
    <w:p w14:paraId="471E4A3D" w14:textId="0C6EA7A4" w:rsidR="00984E64" w:rsidRPr="00C32D58" w:rsidRDefault="00984E64">
      <w:pPr>
        <w:pStyle w:val="FootnoteText"/>
        <w:rPr>
          <w:sz w:val="20"/>
          <w:szCs w:val="20"/>
        </w:rPr>
      </w:pPr>
      <w:r w:rsidRPr="00C32D58">
        <w:rPr>
          <w:rStyle w:val="FootnoteReference"/>
          <w:sz w:val="20"/>
          <w:szCs w:val="20"/>
        </w:rPr>
        <w:footnoteRef/>
      </w:r>
      <w:r w:rsidRPr="00C32D58">
        <w:rPr>
          <w:sz w:val="20"/>
          <w:szCs w:val="20"/>
        </w:rPr>
        <w:t xml:space="preserve"> </w:t>
      </w:r>
      <w:r w:rsidRPr="006845CC">
        <w:rPr>
          <w:sz w:val="20"/>
          <w:szCs w:val="20"/>
        </w:rPr>
        <w:t xml:space="preserve">Vanessa Katz, </w:t>
      </w:r>
      <w:r w:rsidRPr="006845CC">
        <w:rPr>
          <w:i/>
          <w:sz w:val="20"/>
          <w:szCs w:val="20"/>
        </w:rPr>
        <w:t>Regulating the Sharing Economy</w:t>
      </w:r>
      <w:r w:rsidRPr="006845CC">
        <w:rPr>
          <w:sz w:val="20"/>
          <w:szCs w:val="20"/>
        </w:rPr>
        <w:t xml:space="preserve">, 30 </w:t>
      </w:r>
      <w:r w:rsidRPr="00C32D58">
        <w:rPr>
          <w:smallCaps/>
          <w:sz w:val="20"/>
          <w:szCs w:val="20"/>
        </w:rPr>
        <w:t>Berkeley Tech. L.J.</w:t>
      </w:r>
      <w:r w:rsidRPr="006845CC">
        <w:rPr>
          <w:i/>
          <w:sz w:val="20"/>
          <w:szCs w:val="20"/>
        </w:rPr>
        <w:t xml:space="preserve"> </w:t>
      </w:r>
      <w:r w:rsidRPr="006845CC">
        <w:rPr>
          <w:sz w:val="20"/>
          <w:szCs w:val="20"/>
        </w:rPr>
        <w:t>1066, 1092 (2015)</w:t>
      </w:r>
      <w:r w:rsidR="00E97846" w:rsidRPr="006845CC">
        <w:rPr>
          <w:sz w:val="20"/>
          <w:szCs w:val="20"/>
        </w:rPr>
        <w:t xml:space="preserve"> (“… [T]axi dispatch services in Boston and Chicago have pursued claims against Uber under the Lanham Act and state unfair competition laws.”)  </w:t>
      </w:r>
    </w:p>
  </w:footnote>
  <w:footnote w:id="20">
    <w:p w14:paraId="32C5537F" w14:textId="0C21FF65" w:rsidR="00984E64" w:rsidRPr="00C32D58" w:rsidRDefault="00984E64">
      <w:pPr>
        <w:pStyle w:val="FootnoteText"/>
        <w:rPr>
          <w:sz w:val="20"/>
          <w:szCs w:val="20"/>
        </w:rPr>
      </w:pPr>
      <w:r w:rsidRPr="00C32D58">
        <w:rPr>
          <w:rStyle w:val="FootnoteReference"/>
          <w:sz w:val="20"/>
          <w:szCs w:val="20"/>
        </w:rPr>
        <w:footnoteRef/>
      </w:r>
      <w:r w:rsidRPr="00C32D58">
        <w:rPr>
          <w:sz w:val="20"/>
          <w:szCs w:val="20"/>
        </w:rPr>
        <w:t xml:space="preserve"> Paul Stephen Dempsey, </w:t>
      </w:r>
      <w:hyperlink r:id="rId5" w:tgtFrame="_top" w:history="1">
        <w:r w:rsidRPr="00C32D58">
          <w:rPr>
            <w:i/>
            <w:sz w:val="20"/>
            <w:szCs w:val="20"/>
          </w:rPr>
          <w:t>Market Failure and Regulatory Failure as Catalysts for Political Change: The Choice Between Imperfect Regulation and Imperfect Competition</w:t>
        </w:r>
        <w:r w:rsidRPr="00C32D58">
          <w:rPr>
            <w:sz w:val="20"/>
            <w:szCs w:val="20"/>
          </w:rPr>
          <w:t>, 4</w:t>
        </w:r>
        <w:r w:rsidRPr="00C32D58">
          <w:rPr>
            <w:smallCaps/>
            <w:sz w:val="20"/>
            <w:szCs w:val="20"/>
          </w:rPr>
          <w:t>6 Wash. &amp; Lee L. Rev</w:t>
        </w:r>
        <w:r w:rsidRPr="00C32D58">
          <w:rPr>
            <w:sz w:val="20"/>
            <w:szCs w:val="20"/>
          </w:rPr>
          <w:t>. 1 (1989)</w:t>
        </w:r>
      </w:hyperlink>
      <w:r w:rsidRPr="00C32D58">
        <w:rPr>
          <w:sz w:val="20"/>
          <w:szCs w:val="20"/>
        </w:rPr>
        <w:t>.</w:t>
      </w:r>
    </w:p>
  </w:footnote>
  <w:footnote w:id="21">
    <w:p w14:paraId="22765356" w14:textId="0F4F7DBE" w:rsidR="00984E64" w:rsidRPr="00C32D58" w:rsidRDefault="00984E64" w:rsidP="00C32D58">
      <w:pPr>
        <w:spacing w:after="0" w:line="240" w:lineRule="auto"/>
        <w:rPr>
          <w:sz w:val="20"/>
          <w:szCs w:val="20"/>
        </w:rPr>
      </w:pPr>
      <w:r w:rsidRPr="00C32D58">
        <w:rPr>
          <w:rStyle w:val="FootnoteReference"/>
          <w:rFonts w:ascii="Times New Roman" w:hAnsi="Times New Roman" w:cs="Times New Roman"/>
          <w:sz w:val="20"/>
          <w:szCs w:val="20"/>
        </w:rPr>
        <w:footnoteRef/>
      </w:r>
      <w:r w:rsidRPr="00C32D58">
        <w:rPr>
          <w:rFonts w:ascii="Times New Roman" w:hAnsi="Times New Roman" w:cs="Times New Roman"/>
          <w:sz w:val="20"/>
          <w:szCs w:val="20"/>
        </w:rPr>
        <w:t xml:space="preserve"> Orly Lobel, </w:t>
      </w:r>
      <w:r w:rsidRPr="00C32D58">
        <w:rPr>
          <w:rFonts w:ascii="Times New Roman" w:hAnsi="Times New Roman" w:cs="Times New Roman"/>
          <w:i/>
          <w:sz w:val="20"/>
          <w:szCs w:val="20"/>
        </w:rPr>
        <w:t>The Renew Deal: The Fall of Regulation and the Rise of Governance in Contemporary Legal Thought</w:t>
      </w:r>
      <w:r w:rsidRPr="00C32D58">
        <w:rPr>
          <w:rFonts w:ascii="Times New Roman" w:hAnsi="Times New Roman" w:cs="Times New Roman"/>
          <w:sz w:val="20"/>
          <w:szCs w:val="20"/>
        </w:rPr>
        <w:t xml:space="preserve">, 89 </w:t>
      </w:r>
      <w:r w:rsidRPr="00C32D58">
        <w:rPr>
          <w:rFonts w:ascii="Times New Roman" w:hAnsi="Times New Roman" w:cs="Times New Roman"/>
          <w:smallCaps/>
          <w:sz w:val="20"/>
          <w:szCs w:val="20"/>
        </w:rPr>
        <w:t>Minn. L. Rev.</w:t>
      </w:r>
      <w:r w:rsidRPr="00C32D58">
        <w:rPr>
          <w:rFonts w:ascii="Times New Roman" w:hAnsi="Times New Roman" w:cs="Times New Roman"/>
          <w:sz w:val="20"/>
          <w:szCs w:val="20"/>
        </w:rPr>
        <w:t xml:space="preserve"> 342, 415 (2004).; Orly Lobel, </w:t>
      </w:r>
      <w:r w:rsidRPr="00C32D58">
        <w:rPr>
          <w:rFonts w:ascii="Times New Roman" w:hAnsi="Times New Roman" w:cs="Times New Roman"/>
          <w:i/>
          <w:sz w:val="20"/>
          <w:szCs w:val="20"/>
        </w:rPr>
        <w:t>New Governance as Regulatory Governance,</w:t>
      </w:r>
      <w:r w:rsidR="006845CC" w:rsidRPr="006845CC">
        <w:rPr>
          <w:rFonts w:ascii="Times New Roman" w:hAnsi="Times New Roman" w:cs="Times New Roman"/>
          <w:i/>
          <w:sz w:val="20"/>
          <w:szCs w:val="20"/>
        </w:rPr>
        <w:t xml:space="preserve"> in</w:t>
      </w:r>
      <w:r w:rsidRPr="00C32D58">
        <w:rPr>
          <w:rFonts w:ascii="Times New Roman" w:hAnsi="Times New Roman" w:cs="Times New Roman"/>
          <w:i/>
          <w:sz w:val="20"/>
          <w:szCs w:val="20"/>
        </w:rPr>
        <w:t xml:space="preserve"> </w:t>
      </w:r>
      <w:r w:rsidR="006845CC" w:rsidRPr="006845CC">
        <w:rPr>
          <w:rFonts w:ascii="Times New Roman" w:hAnsi="Times New Roman" w:cs="Times New Roman"/>
          <w:smallCaps/>
          <w:sz w:val="20"/>
          <w:szCs w:val="20"/>
        </w:rPr>
        <w:t>Oxford Handbook of Governance</w:t>
      </w:r>
      <w:r w:rsidRPr="00C32D58">
        <w:rPr>
          <w:rFonts w:ascii="Times New Roman" w:hAnsi="Times New Roman" w:cs="Times New Roman"/>
          <w:i/>
          <w:sz w:val="20"/>
          <w:szCs w:val="20"/>
        </w:rPr>
        <w:t xml:space="preserve"> </w:t>
      </w:r>
      <w:r w:rsidRPr="00C32D58">
        <w:rPr>
          <w:rFonts w:ascii="Times New Roman" w:hAnsi="Times New Roman" w:cs="Times New Roman"/>
          <w:sz w:val="20"/>
          <w:szCs w:val="20"/>
        </w:rPr>
        <w:t>(David Levi-Four ed. 2012);</w:t>
      </w:r>
      <w:r w:rsidRPr="00C32D58">
        <w:rPr>
          <w:rFonts w:ascii="Times New Roman" w:hAnsi="Times New Roman" w:cs="Times New Roman"/>
          <w:i/>
          <w:sz w:val="20"/>
          <w:szCs w:val="20"/>
        </w:rPr>
        <w:t xml:space="preserve"> </w:t>
      </w:r>
      <w:r w:rsidRPr="00C32D58">
        <w:rPr>
          <w:rFonts w:ascii="Times New Roman" w:hAnsi="Times New Roman" w:cs="Times New Roman"/>
          <w:smallCaps/>
          <w:sz w:val="20"/>
          <w:szCs w:val="20"/>
        </w:rPr>
        <w:t>Cass R. Sunstein, After the Rights Revolution: Reconceiving the Regulatory State</w:t>
      </w:r>
      <w:r w:rsidRPr="00C32D58">
        <w:rPr>
          <w:rFonts w:ascii="Times New Roman" w:hAnsi="Times New Roman" w:cs="Times New Roman"/>
          <w:sz w:val="20"/>
          <w:szCs w:val="20"/>
        </w:rPr>
        <w:t xml:space="preserve"> 84-91 (1990).</w:t>
      </w:r>
    </w:p>
  </w:footnote>
  <w:footnote w:id="22">
    <w:p w14:paraId="5AFEFE58" w14:textId="712F990D" w:rsidR="00984E64" w:rsidRPr="00C32D58" w:rsidRDefault="00984E64">
      <w:pPr>
        <w:pStyle w:val="FootnoteText"/>
        <w:rPr>
          <w:sz w:val="20"/>
          <w:szCs w:val="20"/>
        </w:rPr>
      </w:pPr>
      <w:r w:rsidRPr="00C32D58">
        <w:rPr>
          <w:rStyle w:val="FootnoteReference"/>
          <w:sz w:val="20"/>
          <w:szCs w:val="20"/>
        </w:rPr>
        <w:footnoteRef/>
      </w:r>
      <w:r w:rsidRPr="00C32D58">
        <w:rPr>
          <w:sz w:val="20"/>
          <w:szCs w:val="20"/>
        </w:rPr>
        <w:t xml:space="preserve"> Eric Goldman, </w:t>
      </w:r>
      <w:r w:rsidRPr="00C32D58">
        <w:rPr>
          <w:i/>
          <w:sz w:val="20"/>
          <w:szCs w:val="20"/>
        </w:rPr>
        <w:t>Regulating Reputation, in</w:t>
      </w:r>
      <w:r w:rsidRPr="00C32D58">
        <w:rPr>
          <w:sz w:val="20"/>
          <w:szCs w:val="20"/>
        </w:rPr>
        <w:t xml:space="preserve"> </w:t>
      </w:r>
      <w:r w:rsidRPr="00C32D58">
        <w:rPr>
          <w:smallCaps/>
          <w:sz w:val="20"/>
          <w:szCs w:val="20"/>
        </w:rPr>
        <w:t>The Reputation Society: How Online Opinions Are Reshaping the Offline World 51, 53</w:t>
      </w:r>
      <w:r w:rsidRPr="00C32D58">
        <w:rPr>
          <w:sz w:val="20"/>
          <w:szCs w:val="20"/>
        </w:rPr>
        <w:t xml:space="preserve"> (Hassan Masum and Mark Tovey eds., 2011); </w:t>
      </w:r>
      <w:r w:rsidRPr="00C32D58">
        <w:rPr>
          <w:i/>
          <w:sz w:val="20"/>
          <w:szCs w:val="20"/>
        </w:rPr>
        <w:t xml:space="preserve">see also </w:t>
      </w:r>
      <w:r w:rsidRPr="00C32D58">
        <w:rPr>
          <w:sz w:val="20"/>
          <w:szCs w:val="20"/>
        </w:rPr>
        <w:t xml:space="preserve">Chrysanthos Dellarocas, </w:t>
      </w:r>
      <w:r w:rsidRPr="00C32D58">
        <w:rPr>
          <w:i/>
          <w:sz w:val="20"/>
          <w:szCs w:val="20"/>
        </w:rPr>
        <w:t>Designing Reputation Systems for the Social Web, in</w:t>
      </w:r>
      <w:r w:rsidRPr="00C32D58">
        <w:rPr>
          <w:sz w:val="20"/>
          <w:szCs w:val="20"/>
        </w:rPr>
        <w:t xml:space="preserve"> </w:t>
      </w:r>
      <w:r w:rsidRPr="00C32D58">
        <w:rPr>
          <w:smallCaps/>
          <w:sz w:val="20"/>
          <w:szCs w:val="20"/>
        </w:rPr>
        <w:t>The Reputation Society: How Online Opinions Are Reshaping the Offline World 3</w:t>
      </w:r>
      <w:r w:rsidRPr="00C32D58">
        <w:rPr>
          <w:sz w:val="20"/>
          <w:szCs w:val="20"/>
        </w:rPr>
        <w:t xml:space="preserve"> (Hassan Masum and Mark Tovey eds. 2011); Liangjun You &amp; Riyaz Sikora, </w:t>
      </w:r>
      <w:r w:rsidRPr="00C32D58">
        <w:rPr>
          <w:i/>
          <w:sz w:val="20"/>
          <w:szCs w:val="20"/>
        </w:rPr>
        <w:t>Performance of Online Reputation Mechanisms under the Influence of Different Types of Biases</w:t>
      </w:r>
      <w:r w:rsidRPr="00C32D58">
        <w:rPr>
          <w:sz w:val="20"/>
          <w:szCs w:val="20"/>
        </w:rPr>
        <w:t xml:space="preserve">, 12 </w:t>
      </w:r>
      <w:r w:rsidRPr="00C32D58">
        <w:rPr>
          <w:smallCaps/>
          <w:sz w:val="20"/>
          <w:szCs w:val="20"/>
        </w:rPr>
        <w:t>Info. Sys. and e-Bus. Mgmt.</w:t>
      </w:r>
      <w:r w:rsidRPr="00C32D58">
        <w:rPr>
          <w:sz w:val="20"/>
          <w:szCs w:val="20"/>
        </w:rPr>
        <w:t xml:space="preserve"> 417, 418 (2014); </w:t>
      </w:r>
      <w:r w:rsidRPr="006845CC">
        <w:rPr>
          <w:sz w:val="20"/>
          <w:szCs w:val="20"/>
        </w:rPr>
        <w:t xml:space="preserve">Vanessa Katz, </w:t>
      </w:r>
      <w:r w:rsidRPr="006845CC">
        <w:rPr>
          <w:i/>
          <w:sz w:val="20"/>
          <w:szCs w:val="20"/>
        </w:rPr>
        <w:t>Regulating the Sharing Economy</w:t>
      </w:r>
      <w:r w:rsidRPr="006845CC">
        <w:rPr>
          <w:sz w:val="20"/>
          <w:szCs w:val="20"/>
        </w:rPr>
        <w:t xml:space="preserve">, 30 </w:t>
      </w:r>
      <w:r w:rsidRPr="00C32D58">
        <w:rPr>
          <w:smallCaps/>
          <w:sz w:val="20"/>
          <w:szCs w:val="20"/>
        </w:rPr>
        <w:t>Berkeley Tech. L.J.</w:t>
      </w:r>
      <w:r w:rsidRPr="00C32D58">
        <w:rPr>
          <w:i/>
          <w:smallCaps/>
          <w:sz w:val="20"/>
          <w:szCs w:val="20"/>
        </w:rPr>
        <w:t xml:space="preserve"> </w:t>
      </w:r>
      <w:r w:rsidRPr="00C32D58">
        <w:rPr>
          <w:smallCaps/>
          <w:sz w:val="20"/>
          <w:szCs w:val="20"/>
        </w:rPr>
        <w:t>1066</w:t>
      </w:r>
      <w:r w:rsidRPr="006845CC">
        <w:rPr>
          <w:sz w:val="20"/>
          <w:szCs w:val="20"/>
        </w:rPr>
        <w:t>, 1075 (2015) (arguing that reputation systems can serve as a safety measure).</w:t>
      </w:r>
    </w:p>
  </w:footnote>
  <w:footnote w:id="23">
    <w:p w14:paraId="3149B46F" w14:textId="24DA8BA8" w:rsidR="00984E64" w:rsidRPr="00C32D58" w:rsidRDefault="00984E64">
      <w:pPr>
        <w:pStyle w:val="FootnoteText"/>
        <w:rPr>
          <w:sz w:val="20"/>
          <w:szCs w:val="20"/>
        </w:rPr>
      </w:pPr>
      <w:r w:rsidRPr="00C32D58">
        <w:rPr>
          <w:rStyle w:val="FootnoteReference"/>
          <w:sz w:val="20"/>
          <w:szCs w:val="20"/>
        </w:rPr>
        <w:footnoteRef/>
      </w:r>
      <w:r w:rsidRPr="00C32D58">
        <w:rPr>
          <w:sz w:val="20"/>
          <w:szCs w:val="20"/>
        </w:rPr>
        <w:t xml:space="preserve"> </w:t>
      </w:r>
      <w:r w:rsidRPr="00C32D58">
        <w:rPr>
          <w:i/>
          <w:sz w:val="20"/>
          <w:szCs w:val="20"/>
        </w:rPr>
        <w:t>See also</w:t>
      </w:r>
      <w:r w:rsidRPr="00C32D58">
        <w:rPr>
          <w:sz w:val="20"/>
          <w:szCs w:val="20"/>
        </w:rPr>
        <w:t xml:space="preserve"> </w:t>
      </w:r>
      <w:r w:rsidRPr="00C32D58">
        <w:rPr>
          <w:smallCaps/>
          <w:sz w:val="20"/>
          <w:szCs w:val="20"/>
        </w:rPr>
        <w:t>Arun Sundarajan, The Sharing Economy: The End of Employment and the Rise of Crowd Based Capitalism</w:t>
      </w:r>
      <w:r w:rsidR="006845CC" w:rsidRPr="006845CC">
        <w:rPr>
          <w:sz w:val="20"/>
          <w:szCs w:val="20"/>
        </w:rPr>
        <w:t xml:space="preserve"> (2016)</w:t>
      </w:r>
    </w:p>
  </w:footnote>
  <w:footnote w:id="24">
    <w:p w14:paraId="72F4DCF1" w14:textId="04CC9030" w:rsidR="00984E64" w:rsidRPr="00C32D58" w:rsidRDefault="00984E64">
      <w:pPr>
        <w:pStyle w:val="FootnoteText"/>
        <w:rPr>
          <w:sz w:val="20"/>
          <w:szCs w:val="20"/>
        </w:rPr>
      </w:pPr>
      <w:r w:rsidRPr="00C32D58">
        <w:rPr>
          <w:rStyle w:val="FootnoteReference"/>
          <w:sz w:val="20"/>
          <w:szCs w:val="20"/>
        </w:rPr>
        <w:footnoteRef/>
      </w:r>
      <w:r w:rsidRPr="00C32D58">
        <w:rPr>
          <w:sz w:val="20"/>
          <w:szCs w:val="20"/>
        </w:rPr>
        <w:t xml:space="preserve"> </w:t>
      </w:r>
      <w:r w:rsidRPr="006845CC">
        <w:rPr>
          <w:sz w:val="20"/>
          <w:szCs w:val="20"/>
        </w:rPr>
        <w:t xml:space="preserve">Kenneth Bamberger &amp; Orly Lobel, </w:t>
      </w:r>
      <w:r w:rsidRPr="00C32D58">
        <w:rPr>
          <w:i/>
          <w:sz w:val="20"/>
          <w:szCs w:val="20"/>
        </w:rPr>
        <w:t>Platform Market Power</w:t>
      </w:r>
      <w:r w:rsidRPr="006845CC">
        <w:rPr>
          <w:sz w:val="20"/>
          <w:szCs w:val="20"/>
        </w:rPr>
        <w:t xml:space="preserve">, </w:t>
      </w:r>
      <w:r w:rsidRPr="00C32D58">
        <w:rPr>
          <w:smallCaps/>
          <w:sz w:val="20"/>
          <w:szCs w:val="20"/>
        </w:rPr>
        <w:t>Berkeley L</w:t>
      </w:r>
      <w:r w:rsidR="006845CC" w:rsidRPr="00C32D58">
        <w:rPr>
          <w:smallCaps/>
          <w:sz w:val="20"/>
          <w:szCs w:val="20"/>
        </w:rPr>
        <w:t>.</w:t>
      </w:r>
      <w:r w:rsidRPr="00C32D58">
        <w:rPr>
          <w:smallCaps/>
          <w:sz w:val="20"/>
          <w:szCs w:val="20"/>
        </w:rPr>
        <w:t xml:space="preserve"> and Tech</w:t>
      </w:r>
      <w:r w:rsidR="006845CC" w:rsidRPr="00C32D58">
        <w:rPr>
          <w:smallCaps/>
          <w:sz w:val="20"/>
          <w:szCs w:val="20"/>
        </w:rPr>
        <w:t xml:space="preserve">. </w:t>
      </w:r>
      <w:r w:rsidRPr="00C32D58">
        <w:rPr>
          <w:smallCaps/>
          <w:sz w:val="20"/>
          <w:szCs w:val="20"/>
        </w:rPr>
        <w:t>J</w:t>
      </w:r>
      <w:r w:rsidR="006845CC" w:rsidRPr="006845CC">
        <w:rPr>
          <w:sz w:val="20"/>
          <w:szCs w:val="20"/>
        </w:rPr>
        <w:t>.</w:t>
      </w:r>
      <w:r w:rsidRPr="006845CC">
        <w:rPr>
          <w:sz w:val="20"/>
          <w:szCs w:val="20"/>
        </w:rPr>
        <w:t xml:space="preserve"> </w:t>
      </w:r>
      <w:r w:rsidR="000D02AF">
        <w:rPr>
          <w:sz w:val="20"/>
          <w:szCs w:val="20"/>
        </w:rPr>
        <w:t xml:space="preserve">(forthcoming </w:t>
      </w:r>
      <w:r w:rsidRPr="006845CC">
        <w:rPr>
          <w:sz w:val="20"/>
          <w:szCs w:val="20"/>
        </w:rPr>
        <w:t>2018</w:t>
      </w:r>
      <w:r w:rsidR="000D02AF">
        <w:rPr>
          <w:sz w:val="20"/>
          <w:szCs w:val="20"/>
        </w:rPr>
        <w:t>)</w:t>
      </w:r>
      <w:r w:rsidRPr="006845CC">
        <w:rPr>
          <w:sz w:val="20"/>
          <w:szCs w:val="20"/>
        </w:rPr>
        <w:t xml:space="preserve">; Joanna Penn &amp; John Wihbey, </w:t>
      </w:r>
      <w:r w:rsidRPr="006845CC">
        <w:rPr>
          <w:i/>
          <w:sz w:val="20"/>
          <w:szCs w:val="20"/>
        </w:rPr>
        <w:t>Uber, Airbnb and Consequences of the Sharing Economy: Research Roundup</w:t>
      </w:r>
      <w:r w:rsidRPr="006845CC">
        <w:rPr>
          <w:sz w:val="20"/>
          <w:szCs w:val="20"/>
        </w:rPr>
        <w:t xml:space="preserve">, </w:t>
      </w:r>
      <w:r w:rsidRPr="00C32D58">
        <w:rPr>
          <w:smallCaps/>
          <w:sz w:val="20"/>
          <w:szCs w:val="20"/>
        </w:rPr>
        <w:t xml:space="preserve">Journalist’s Resource </w:t>
      </w:r>
      <w:r w:rsidRPr="006845CC">
        <w:rPr>
          <w:sz w:val="20"/>
          <w:szCs w:val="20"/>
        </w:rPr>
        <w:t xml:space="preserve">(June 3, 2016), </w:t>
      </w:r>
      <w:r w:rsidRPr="00C32D58">
        <w:t>https://journalistsresource.org/studies/economics/business/airbnb-lyft-uber-bike-share-sharing-economy-research-roundup</w:t>
      </w:r>
      <w:r w:rsidRPr="006845CC">
        <w:rPr>
          <w:sz w:val="20"/>
          <w:szCs w:val="20"/>
        </w:rPr>
        <w:t xml:space="preserve">. </w:t>
      </w:r>
    </w:p>
  </w:footnote>
  <w:footnote w:id="25">
    <w:p w14:paraId="50763995" w14:textId="36C43510" w:rsidR="00984E64" w:rsidRPr="00C32D58" w:rsidRDefault="00984E64" w:rsidP="00C32D58">
      <w:pPr>
        <w:pStyle w:val="CommentText"/>
        <w:spacing w:after="0"/>
        <w:rPr>
          <w:rFonts w:ascii="Times New Roman" w:hAnsi="Times New Roman" w:cs="Times New Roman"/>
          <w:sz w:val="20"/>
          <w:szCs w:val="20"/>
        </w:rPr>
      </w:pPr>
      <w:r w:rsidRPr="00C32D58">
        <w:rPr>
          <w:rStyle w:val="FootnoteReference"/>
          <w:rFonts w:ascii="Times New Roman" w:hAnsi="Times New Roman" w:cs="Times New Roman"/>
          <w:sz w:val="20"/>
          <w:szCs w:val="20"/>
        </w:rPr>
        <w:footnoteRef/>
      </w:r>
      <w:r w:rsidRPr="00C32D58">
        <w:rPr>
          <w:rFonts w:ascii="Times New Roman" w:hAnsi="Times New Roman" w:cs="Times New Roman"/>
          <w:sz w:val="20"/>
          <w:szCs w:val="20"/>
        </w:rPr>
        <w:t xml:space="preserve"> </w:t>
      </w:r>
      <w:r w:rsidR="006845CC">
        <w:rPr>
          <w:rFonts w:ascii="Times New Roman" w:hAnsi="Times New Roman" w:cs="Times New Roman"/>
          <w:sz w:val="20"/>
          <w:szCs w:val="20"/>
        </w:rPr>
        <w:t xml:space="preserve">Harriet Taylor, </w:t>
      </w:r>
      <w:r w:rsidR="006845CC" w:rsidRPr="00C32D58">
        <w:rPr>
          <w:rFonts w:ascii="Times New Roman" w:hAnsi="Times New Roman" w:cs="Times New Roman"/>
          <w:i/>
          <w:sz w:val="20"/>
          <w:szCs w:val="20"/>
        </w:rPr>
        <w:t>What Happened in Austin After Uber and Lyft Got Up and Left</w:t>
      </w:r>
      <w:r w:rsidR="006845CC">
        <w:rPr>
          <w:rFonts w:ascii="Times New Roman" w:hAnsi="Times New Roman" w:cs="Times New Roman"/>
          <w:sz w:val="20"/>
          <w:szCs w:val="20"/>
        </w:rPr>
        <w:t xml:space="preserve">, CNBC (Aug. 18, 2016), </w:t>
      </w:r>
      <w:hyperlink r:id="rId6" w:history="1">
        <w:r w:rsidRPr="00C32D58">
          <w:rPr>
            <w:rStyle w:val="Hyperlink"/>
            <w:rFonts w:ascii="Times New Roman" w:hAnsi="Times New Roman" w:cs="Times New Roman"/>
            <w:sz w:val="20"/>
            <w:szCs w:val="20"/>
          </w:rPr>
          <w:t>https://www.cnbc.com/2016/08/18/what-happened-in-austin-after-uber-and-lyft-got-up-and-left.html</w:t>
        </w:r>
      </w:hyperlink>
      <w:r w:rsidR="006845CC" w:rsidRPr="00C32D58">
        <w:rPr>
          <w:rFonts w:ascii="Times New Roman" w:hAnsi="Times New Roman" w:cs="Times New Roman"/>
          <w:sz w:val="20"/>
          <w:szCs w:val="20"/>
        </w:rPr>
        <w:t>;</w:t>
      </w:r>
      <w:r w:rsidR="006845CC">
        <w:rPr>
          <w:rFonts w:ascii="Times New Roman" w:hAnsi="Times New Roman" w:cs="Times New Roman"/>
          <w:sz w:val="20"/>
          <w:szCs w:val="20"/>
        </w:rPr>
        <w:t xml:space="preserve"> Patrick Sisson, </w:t>
      </w:r>
      <w:r w:rsidR="006845CC" w:rsidRPr="00C32D58">
        <w:rPr>
          <w:rFonts w:ascii="Times New Roman" w:hAnsi="Times New Roman" w:cs="Times New Roman"/>
          <w:i/>
          <w:sz w:val="20"/>
          <w:szCs w:val="20"/>
        </w:rPr>
        <w:t>Uber and Lyft Return to Austin: What’s Changed, and Why It’s Important</w:t>
      </w:r>
      <w:r w:rsidR="006845CC">
        <w:rPr>
          <w:rFonts w:ascii="Times New Roman" w:hAnsi="Times New Roman" w:cs="Times New Roman"/>
          <w:sz w:val="20"/>
          <w:szCs w:val="20"/>
        </w:rPr>
        <w:t>, CURBED (June 14, 2017),</w:t>
      </w:r>
    </w:p>
    <w:p w14:paraId="1CCC2ABB" w14:textId="628BE464" w:rsidR="00984E64" w:rsidRPr="00C32D58" w:rsidRDefault="004B438D">
      <w:pPr>
        <w:pStyle w:val="FootnoteText"/>
        <w:rPr>
          <w:sz w:val="20"/>
          <w:szCs w:val="20"/>
        </w:rPr>
      </w:pPr>
      <w:hyperlink r:id="rId7" w:history="1">
        <w:r w:rsidR="00984E64" w:rsidRPr="00C32D58">
          <w:rPr>
            <w:rStyle w:val="Hyperlink"/>
            <w:sz w:val="20"/>
            <w:szCs w:val="20"/>
          </w:rPr>
          <w:t>https://www.curbed.com/2017/6/14/15803138/austin-uber-lyft-transportation-ride-hailing-return</w:t>
        </w:r>
      </w:hyperlink>
    </w:p>
  </w:footnote>
  <w:footnote w:id="26">
    <w:p w14:paraId="4899B89E" w14:textId="2D2CA136" w:rsidR="00984E64" w:rsidRPr="003E6971" w:rsidRDefault="00984E64">
      <w:pPr>
        <w:pStyle w:val="FootnoteText"/>
        <w:rPr>
          <w:b/>
          <w:sz w:val="20"/>
          <w:szCs w:val="20"/>
        </w:rPr>
      </w:pPr>
      <w:r w:rsidRPr="006845CC">
        <w:rPr>
          <w:rStyle w:val="FootnoteReference"/>
          <w:sz w:val="20"/>
          <w:szCs w:val="20"/>
        </w:rPr>
        <w:footnoteRef/>
      </w:r>
      <w:r w:rsidRPr="006845CC">
        <w:rPr>
          <w:sz w:val="20"/>
          <w:szCs w:val="20"/>
        </w:rPr>
        <w:t xml:space="preserve"> Lobel, </w:t>
      </w:r>
      <w:r w:rsidR="00AB4BB9">
        <w:rPr>
          <w:sz w:val="20"/>
          <w:szCs w:val="20"/>
        </w:rPr>
        <w:t xml:space="preserve">The Law of the Platform, </w:t>
      </w:r>
      <w:r w:rsidRPr="006845CC">
        <w:rPr>
          <w:i/>
          <w:sz w:val="20"/>
          <w:szCs w:val="20"/>
        </w:rPr>
        <w:t>supra</w:t>
      </w:r>
      <w:r w:rsidR="00AB4BB9">
        <w:rPr>
          <w:sz w:val="20"/>
          <w:szCs w:val="20"/>
        </w:rPr>
        <w:t>.</w:t>
      </w:r>
    </w:p>
  </w:footnote>
  <w:footnote w:id="27">
    <w:p w14:paraId="4C4C6156" w14:textId="1187B50C"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Id</w:t>
      </w:r>
      <w:r w:rsidRPr="00C32D58">
        <w:rPr>
          <w:i/>
          <w:sz w:val="20"/>
          <w:szCs w:val="20"/>
        </w:rPr>
        <w:t>.</w:t>
      </w:r>
      <w:r w:rsidR="00CE575C">
        <w:rPr>
          <w:i/>
          <w:sz w:val="20"/>
          <w:szCs w:val="20"/>
        </w:rPr>
        <w:t xml:space="preserve"> </w:t>
      </w:r>
    </w:p>
  </w:footnote>
  <w:footnote w:id="28">
    <w:p w14:paraId="293EF536" w14:textId="77777777"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Victor Fleischer, </w:t>
      </w:r>
      <w:r w:rsidRPr="006845CC">
        <w:rPr>
          <w:i/>
          <w:sz w:val="20"/>
          <w:szCs w:val="20"/>
        </w:rPr>
        <w:t>Regulatory Arbitrage</w:t>
      </w:r>
      <w:r w:rsidRPr="006845CC">
        <w:rPr>
          <w:sz w:val="20"/>
          <w:szCs w:val="20"/>
        </w:rPr>
        <w:t xml:space="preserve">, 89 </w:t>
      </w:r>
      <w:r w:rsidRPr="006845CC">
        <w:rPr>
          <w:smallCaps/>
          <w:sz w:val="20"/>
          <w:szCs w:val="20"/>
        </w:rPr>
        <w:t>Tex. L. Rev</w:t>
      </w:r>
      <w:r w:rsidRPr="006845CC">
        <w:rPr>
          <w:sz w:val="20"/>
          <w:szCs w:val="20"/>
        </w:rPr>
        <w:t>. 227, 229 (2010).</w:t>
      </w:r>
    </w:p>
  </w:footnote>
  <w:footnote w:id="29">
    <w:p w14:paraId="21E2C834" w14:textId="482546C9" w:rsidR="00984E64" w:rsidRPr="00C32D58" w:rsidRDefault="00984E64">
      <w:pPr>
        <w:pStyle w:val="FootnoteText"/>
        <w:rPr>
          <w:sz w:val="20"/>
          <w:szCs w:val="20"/>
          <w:highlight w:val="yellow"/>
        </w:rPr>
      </w:pPr>
      <w:r w:rsidRPr="00C32D58">
        <w:rPr>
          <w:rStyle w:val="FootnoteReference"/>
          <w:sz w:val="20"/>
          <w:szCs w:val="20"/>
        </w:rPr>
        <w:footnoteRef/>
      </w:r>
      <w:r w:rsidRPr="00C32D58">
        <w:rPr>
          <w:sz w:val="20"/>
          <w:szCs w:val="20"/>
        </w:rPr>
        <w:t xml:space="preserve"> Joao E. Gata, </w:t>
      </w:r>
      <w:r w:rsidRPr="00C32D58">
        <w:rPr>
          <w:i/>
          <w:sz w:val="20"/>
          <w:szCs w:val="20"/>
        </w:rPr>
        <w:t>The Sharing Economy, Competition, and Regulation</w:t>
      </w:r>
      <w:r w:rsidRPr="00C32D58">
        <w:rPr>
          <w:sz w:val="20"/>
          <w:szCs w:val="20"/>
        </w:rPr>
        <w:t xml:space="preserve">, </w:t>
      </w:r>
      <w:r w:rsidRPr="00C32D58">
        <w:rPr>
          <w:smallCaps/>
          <w:sz w:val="20"/>
          <w:szCs w:val="20"/>
        </w:rPr>
        <w:t>Competition Pol’y Int’l</w:t>
      </w:r>
      <w:r w:rsidRPr="00C32D58">
        <w:rPr>
          <w:sz w:val="20"/>
          <w:szCs w:val="20"/>
        </w:rPr>
        <w:t xml:space="preserve"> 1, 3 (2015), https://www.competitionpolicyinternational.com/assets/Europe-Column-November-Full.pdf.  </w:t>
      </w:r>
    </w:p>
  </w:footnote>
  <w:footnote w:id="30">
    <w:p w14:paraId="335543ED" w14:textId="51200E7F"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rFonts w:eastAsia="Times New Roman"/>
          <w:sz w:val="20"/>
          <w:szCs w:val="20"/>
        </w:rPr>
        <w:t xml:space="preserve">19 Samuel Williston, </w:t>
      </w:r>
      <w:r w:rsidRPr="00C32D58">
        <w:rPr>
          <w:rFonts w:eastAsia="Times New Roman"/>
          <w:smallCaps/>
          <w:sz w:val="20"/>
          <w:szCs w:val="20"/>
        </w:rPr>
        <w:t>Williston on Contracts</w:t>
      </w:r>
      <w:r w:rsidRPr="006845CC">
        <w:rPr>
          <w:rFonts w:eastAsia="Times New Roman"/>
          <w:sz w:val="20"/>
          <w:szCs w:val="20"/>
        </w:rPr>
        <w:t xml:space="preserve"> § 54:2 (4th ed. 2017).</w:t>
      </w:r>
    </w:p>
  </w:footnote>
  <w:footnote w:id="31">
    <w:p w14:paraId="35B28578" w14:textId="381934BA" w:rsidR="00984E64" w:rsidRPr="00C32D58" w:rsidRDefault="00984E64">
      <w:pPr>
        <w:pStyle w:val="FootnoteText"/>
        <w:rPr>
          <w:sz w:val="20"/>
          <w:szCs w:val="20"/>
        </w:rPr>
      </w:pPr>
      <w:r w:rsidRPr="00C32D58">
        <w:rPr>
          <w:rStyle w:val="FootnoteReference"/>
          <w:sz w:val="20"/>
          <w:szCs w:val="20"/>
        </w:rPr>
        <w:footnoteRef/>
      </w:r>
      <w:r w:rsidRPr="00C32D58">
        <w:rPr>
          <w:sz w:val="20"/>
          <w:szCs w:val="20"/>
        </w:rPr>
        <w:t xml:space="preserve"> Robert Kuttner, </w:t>
      </w:r>
      <w:r w:rsidRPr="00C32D58">
        <w:rPr>
          <w:i/>
          <w:sz w:val="20"/>
          <w:szCs w:val="20"/>
        </w:rPr>
        <w:t>The Task Rabbit Economy</w:t>
      </w:r>
      <w:r w:rsidRPr="00C32D58">
        <w:rPr>
          <w:sz w:val="20"/>
          <w:szCs w:val="20"/>
        </w:rPr>
        <w:t xml:space="preserve">, </w:t>
      </w:r>
      <w:r w:rsidRPr="00C32D58">
        <w:rPr>
          <w:smallCaps/>
          <w:sz w:val="20"/>
          <w:szCs w:val="20"/>
        </w:rPr>
        <w:t>The American Prospect</w:t>
      </w:r>
      <w:r w:rsidRPr="00C32D58">
        <w:rPr>
          <w:sz w:val="20"/>
          <w:szCs w:val="20"/>
        </w:rPr>
        <w:t xml:space="preserve"> (Oct. 10, 2013), </w:t>
      </w:r>
      <w:hyperlink r:id="rId8" w:history="1">
        <w:r w:rsidRPr="00C32D58">
          <w:rPr>
            <w:rStyle w:val="Hyperlink"/>
            <w:sz w:val="20"/>
            <w:szCs w:val="20"/>
          </w:rPr>
          <w:t>http://prospect.org/article/task-rabbit-economy</w:t>
        </w:r>
      </w:hyperlink>
      <w:r w:rsidRPr="00C32D58">
        <w:rPr>
          <w:sz w:val="20"/>
          <w:szCs w:val="20"/>
        </w:rPr>
        <w:t xml:space="preserve">.  </w:t>
      </w:r>
    </w:p>
  </w:footnote>
  <w:footnote w:id="32">
    <w:p w14:paraId="7150D718" w14:textId="2034866C"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Orly Lobel, </w:t>
      </w:r>
      <w:r w:rsidRPr="006845CC">
        <w:rPr>
          <w:i/>
          <w:sz w:val="20"/>
          <w:szCs w:val="20"/>
        </w:rPr>
        <w:t>The Gig Economy &amp; The Future of Employment and Labor Law</w:t>
      </w:r>
      <w:r w:rsidRPr="006845CC">
        <w:rPr>
          <w:sz w:val="20"/>
          <w:szCs w:val="20"/>
        </w:rPr>
        <w:t xml:space="preserve"> </w:t>
      </w:r>
      <w:r w:rsidR="00D71E08" w:rsidRPr="00C32D58">
        <w:rPr>
          <w:smallCaps/>
          <w:color w:val="212121"/>
          <w:sz w:val="20"/>
          <w:szCs w:val="20"/>
          <w:shd w:val="clear" w:color="auto" w:fill="FFFFFF"/>
        </w:rPr>
        <w:t>51 U.S.F. L. Rev</w:t>
      </w:r>
      <w:r w:rsidR="00D71E08" w:rsidRPr="00C32D58">
        <w:rPr>
          <w:color w:val="212121"/>
          <w:sz w:val="20"/>
          <w:szCs w:val="20"/>
          <w:shd w:val="clear" w:color="auto" w:fill="FFFFFF"/>
        </w:rPr>
        <w:t xml:space="preserve">. 51 </w:t>
      </w:r>
      <w:r w:rsidRPr="006845CC">
        <w:rPr>
          <w:sz w:val="20"/>
          <w:szCs w:val="20"/>
        </w:rPr>
        <w:t>(201</w:t>
      </w:r>
      <w:r w:rsidR="00D71E08" w:rsidRPr="00C32D58">
        <w:rPr>
          <w:sz w:val="20"/>
          <w:szCs w:val="20"/>
        </w:rPr>
        <w:t>7</w:t>
      </w:r>
      <w:r w:rsidRPr="006845CC">
        <w:rPr>
          <w:sz w:val="20"/>
          <w:szCs w:val="20"/>
        </w:rPr>
        <w:t xml:space="preserve">). </w:t>
      </w:r>
    </w:p>
  </w:footnote>
  <w:footnote w:id="33">
    <w:p w14:paraId="1CB728D5" w14:textId="574F5679" w:rsidR="00984E64" w:rsidRPr="006845CC" w:rsidRDefault="00984E64" w:rsidP="00CE575C">
      <w:pPr>
        <w:pStyle w:val="FootnoteText"/>
        <w:rPr>
          <w:i/>
          <w:sz w:val="20"/>
          <w:szCs w:val="20"/>
        </w:rPr>
      </w:pPr>
      <w:r w:rsidRPr="006845CC">
        <w:rPr>
          <w:rStyle w:val="FootnoteReference"/>
          <w:sz w:val="20"/>
          <w:szCs w:val="20"/>
        </w:rPr>
        <w:footnoteRef/>
      </w:r>
      <w:r w:rsidRPr="006845CC">
        <w:rPr>
          <w:sz w:val="20"/>
          <w:szCs w:val="20"/>
        </w:rPr>
        <w:t xml:space="preserve"> </w:t>
      </w:r>
      <w:r w:rsidR="00CE575C" w:rsidRPr="00CE575C">
        <w:rPr>
          <w:rFonts w:eastAsia="Times New Roman"/>
          <w:i/>
          <w:sz w:val="20"/>
          <w:szCs w:val="20"/>
        </w:rPr>
        <w:t>Cotter v. Lyft, Inc.</w:t>
      </w:r>
      <w:r w:rsidR="00CE575C" w:rsidRPr="00923890">
        <w:rPr>
          <w:rFonts w:eastAsia="Times New Roman"/>
          <w:sz w:val="20"/>
          <w:szCs w:val="20"/>
        </w:rPr>
        <w:t>, 60 F. Supp. 3d 1067, 1081 (N.D. Cal. 2015).</w:t>
      </w:r>
    </w:p>
    <w:p w14:paraId="39A63DDC" w14:textId="77777777" w:rsidR="00984E64" w:rsidRPr="006845CC" w:rsidRDefault="00984E64">
      <w:pPr>
        <w:pStyle w:val="FootnoteText"/>
        <w:rPr>
          <w:sz w:val="20"/>
          <w:szCs w:val="20"/>
        </w:rPr>
      </w:pPr>
    </w:p>
  </w:footnote>
  <w:footnote w:id="34">
    <w:p w14:paraId="03CC4421" w14:textId="0D1ECF1A" w:rsidR="00984E64" w:rsidRPr="006845CC" w:rsidRDefault="00984E64" w:rsidP="00CE575C">
      <w:pPr>
        <w:pStyle w:val="FootnoteText"/>
        <w:rPr>
          <w:sz w:val="20"/>
          <w:szCs w:val="20"/>
        </w:rPr>
      </w:pPr>
      <w:r w:rsidRPr="006845CC">
        <w:rPr>
          <w:rStyle w:val="FootnoteReference"/>
          <w:sz w:val="20"/>
          <w:szCs w:val="20"/>
        </w:rPr>
        <w:footnoteRef/>
      </w:r>
      <w:r w:rsidRPr="006845CC">
        <w:rPr>
          <w:sz w:val="20"/>
          <w:szCs w:val="20"/>
        </w:rPr>
        <w:t xml:space="preserve"> </w:t>
      </w:r>
      <w:r w:rsidRPr="00CE575C">
        <w:rPr>
          <w:i/>
          <w:sz w:val="20"/>
          <w:szCs w:val="20"/>
        </w:rPr>
        <w:t>O’Connor v. Uber Techs., Inc.</w:t>
      </w:r>
      <w:r w:rsidRPr="00CE575C">
        <w:rPr>
          <w:sz w:val="20"/>
          <w:szCs w:val="20"/>
        </w:rPr>
        <w:t>, 201 F. Supp. 3d 1110, 1113 (N.D. Cal. 2016).</w:t>
      </w:r>
    </w:p>
  </w:footnote>
  <w:footnote w:id="35">
    <w:p w14:paraId="442609FC" w14:textId="0F16A1E5"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 xml:space="preserve">Id. </w:t>
      </w:r>
      <w:r w:rsidRPr="006845CC">
        <w:rPr>
          <w:sz w:val="20"/>
          <w:szCs w:val="20"/>
        </w:rPr>
        <w:t xml:space="preserve">at 1145. </w:t>
      </w:r>
    </w:p>
  </w:footnote>
  <w:footnote w:id="36">
    <w:p w14:paraId="342F3641" w14:textId="19B54F74"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 xml:space="preserve">Id. </w:t>
      </w:r>
      <w:r w:rsidRPr="006845CC">
        <w:rPr>
          <w:sz w:val="20"/>
          <w:szCs w:val="20"/>
        </w:rPr>
        <w:t>at 1151, 1152-53</w:t>
      </w:r>
    </w:p>
  </w:footnote>
  <w:footnote w:id="37">
    <w:p w14:paraId="5AFC43B6" w14:textId="1307115C"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 xml:space="preserve">Id. </w:t>
      </w:r>
      <w:r w:rsidRPr="006845CC">
        <w:rPr>
          <w:sz w:val="20"/>
          <w:szCs w:val="20"/>
        </w:rPr>
        <w:t>at 1136, 1137, 1149.</w:t>
      </w:r>
    </w:p>
  </w:footnote>
  <w:footnote w:id="38">
    <w:p w14:paraId="5CD180CC" w14:textId="5BB5D368"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Id.</w:t>
      </w:r>
    </w:p>
  </w:footnote>
  <w:footnote w:id="39">
    <w:p w14:paraId="6C46EE0B" w14:textId="041702F6" w:rsidR="00984E64" w:rsidRPr="00C32D58" w:rsidRDefault="00984E64" w:rsidP="00C32D58">
      <w:pPr>
        <w:spacing w:after="0" w:line="240" w:lineRule="auto"/>
        <w:rPr>
          <w:rFonts w:ascii="Times New Roman" w:hAnsi="Times New Roman" w:cs="Times New Roman"/>
          <w:sz w:val="20"/>
          <w:szCs w:val="20"/>
        </w:rPr>
      </w:pPr>
      <w:r w:rsidRPr="00C32D58">
        <w:rPr>
          <w:rStyle w:val="FootnoteReference"/>
          <w:rFonts w:ascii="Times New Roman" w:hAnsi="Times New Roman" w:cs="Times New Roman"/>
          <w:sz w:val="20"/>
          <w:szCs w:val="20"/>
        </w:rPr>
        <w:footnoteRef/>
      </w:r>
      <w:r w:rsidRPr="00C32D58">
        <w:rPr>
          <w:rFonts w:ascii="Times New Roman" w:hAnsi="Times New Roman" w:cs="Times New Roman"/>
          <w:sz w:val="20"/>
          <w:szCs w:val="20"/>
        </w:rPr>
        <w:t xml:space="preserve"> </w:t>
      </w:r>
      <w:r w:rsidRPr="006845CC">
        <w:rPr>
          <w:rFonts w:ascii="Times New Roman" w:hAnsi="Times New Roman" w:cs="Times New Roman"/>
          <w:sz w:val="20"/>
          <w:szCs w:val="20"/>
        </w:rPr>
        <w:t xml:space="preserve">Alexis Kramer, </w:t>
      </w:r>
      <w:r w:rsidRPr="006845CC">
        <w:rPr>
          <w:rFonts w:ascii="Times New Roman" w:hAnsi="Times New Roman" w:cs="Times New Roman"/>
          <w:i/>
          <w:sz w:val="20"/>
          <w:szCs w:val="20"/>
        </w:rPr>
        <w:t>Uber Driver Fight Helps Shape Sharing Economy</w:t>
      </w:r>
      <w:r w:rsidRPr="006845CC">
        <w:rPr>
          <w:rFonts w:ascii="Times New Roman" w:hAnsi="Times New Roman" w:cs="Times New Roman"/>
          <w:sz w:val="20"/>
          <w:szCs w:val="20"/>
        </w:rPr>
        <w:t xml:space="preserve">, </w:t>
      </w:r>
      <w:r w:rsidRPr="006845CC">
        <w:rPr>
          <w:rFonts w:ascii="Times New Roman" w:hAnsi="Times New Roman" w:cs="Times New Roman"/>
          <w:smallCaps/>
          <w:sz w:val="20"/>
          <w:szCs w:val="20"/>
        </w:rPr>
        <w:t xml:space="preserve">Electronic Commerce and Law Report (BNA) </w:t>
      </w:r>
      <w:r w:rsidRPr="006845CC">
        <w:rPr>
          <w:rFonts w:ascii="Times New Roman" w:hAnsi="Times New Roman" w:cs="Times New Roman"/>
          <w:sz w:val="20"/>
          <w:szCs w:val="20"/>
        </w:rPr>
        <w:t>(Dec. 14, 2016),</w:t>
      </w:r>
      <w:r w:rsidR="00CE575C">
        <w:rPr>
          <w:rFonts w:ascii="Times New Roman" w:hAnsi="Times New Roman" w:cs="Times New Roman"/>
          <w:sz w:val="20"/>
          <w:szCs w:val="20"/>
        </w:rPr>
        <w:t xml:space="preserve"> </w:t>
      </w:r>
      <w:hyperlink r:id="rId9" w:history="1">
        <w:r w:rsidRPr="006845CC">
          <w:rPr>
            <w:rStyle w:val="Hyperlink"/>
            <w:rFonts w:ascii="Times New Roman" w:hAnsi="Times New Roman" w:cs="Times New Roman"/>
            <w:sz w:val="20"/>
            <w:szCs w:val="20"/>
          </w:rPr>
          <w:t>https://www.bloomberglaw.com/product/tech/document/X3AHG5DC000000?bc=W1siU2VhcmNoIFJlc3VsdHMiLCIvcHJvZHVjdC90ZWNoL3NlYXJjaC9yZXN1bHRzLzQ3MjdiNjMxNzY5Yjc5YzI4MmZkY2Y5MzU2OThmNWNhIl1d--6936480fbc7404c45fb15622a09a57e695085dd1&amp;search32=OyPRDY_N1BIJpQQMy18fSQ%3D%3D1f4diVk3bl_NuJsG2lNr7AHooApJAhdIrpV_qGd8lvpfE-J7cbkchphhq0g6aB-FLdDjKSvgtgVPuvpxDVtZELuW60xgC-Ff5SDJc3KEk2p3W0SZ12kvXg04t0cSpbPS</w:t>
        </w:r>
      </w:hyperlink>
      <w:r w:rsidRPr="006845CC">
        <w:rPr>
          <w:rStyle w:val="Hyperlink"/>
          <w:rFonts w:ascii="Times New Roman" w:hAnsi="Times New Roman" w:cs="Times New Roman"/>
          <w:sz w:val="20"/>
          <w:szCs w:val="20"/>
        </w:rPr>
        <w:t>.</w:t>
      </w:r>
    </w:p>
  </w:footnote>
  <w:footnote w:id="40">
    <w:p w14:paraId="202FF925" w14:textId="5B7F6D8C" w:rsidR="00984E64" w:rsidRPr="006845CC" w:rsidRDefault="00984E64" w:rsidP="00C32D58">
      <w:pPr>
        <w:spacing w:after="0" w:line="240" w:lineRule="auto"/>
        <w:rPr>
          <w:rFonts w:ascii="Times New Roman" w:eastAsia="Times New Roman" w:hAnsi="Times New Roman" w:cs="Times New Roman"/>
          <w:color w:val="212121"/>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w:t>
      </w:r>
      <w:r w:rsidRPr="006845CC">
        <w:rPr>
          <w:rFonts w:ascii="Times New Roman" w:eastAsia="Times New Roman" w:hAnsi="Times New Roman" w:cs="Times New Roman"/>
          <w:color w:val="212121"/>
          <w:sz w:val="20"/>
          <w:szCs w:val="20"/>
        </w:rPr>
        <w:t>Cyrus Farviar, </w:t>
      </w:r>
      <w:r w:rsidRPr="006845CC">
        <w:rPr>
          <w:rStyle w:val="Emphasis"/>
          <w:rFonts w:ascii="Times New Roman" w:eastAsia="Times New Roman" w:hAnsi="Times New Roman" w:cs="Times New Roman"/>
          <w:color w:val="212121"/>
          <w:sz w:val="20"/>
          <w:szCs w:val="20"/>
        </w:rPr>
        <w:t>Judge Expresses Notable Concerns over Proposed $100M Settlement in Uber Case</w:t>
      </w:r>
      <w:r w:rsidRPr="006845CC">
        <w:rPr>
          <w:rFonts w:ascii="Times New Roman" w:eastAsia="Times New Roman" w:hAnsi="Times New Roman" w:cs="Times New Roman"/>
          <w:color w:val="212121"/>
          <w:sz w:val="20"/>
          <w:szCs w:val="20"/>
        </w:rPr>
        <w:t>, </w:t>
      </w:r>
      <w:r w:rsidRPr="00C32D58">
        <w:rPr>
          <w:rFonts w:ascii="Times New Roman" w:hAnsi="Times New Roman" w:cs="Times New Roman"/>
          <w:smallCaps/>
          <w:sz w:val="20"/>
          <w:szCs w:val="20"/>
        </w:rPr>
        <w:t>arsTECHNICA</w:t>
      </w:r>
      <w:r w:rsidRPr="006845CC">
        <w:rPr>
          <w:rFonts w:ascii="Times New Roman" w:eastAsia="Times New Roman" w:hAnsi="Times New Roman" w:cs="Times New Roman"/>
          <w:color w:val="212121"/>
          <w:sz w:val="20"/>
          <w:szCs w:val="20"/>
        </w:rPr>
        <w:t xml:space="preserve"> (June 2, 2016, 5:17 PM), http://arstechnica.com/tech-policy/2016/06/most-drivers-in-uber-labor-case-would-get-under-25-so-some-protest-settlement.  </w:t>
      </w:r>
    </w:p>
  </w:footnote>
  <w:footnote w:id="41">
    <w:p w14:paraId="2E8EC1E6" w14:textId="429CB3E2" w:rsidR="00984E64" w:rsidRPr="006845CC" w:rsidRDefault="00984E64" w:rsidP="00CE575C">
      <w:pPr>
        <w:pStyle w:val="FootnoteText"/>
        <w:rPr>
          <w:sz w:val="20"/>
          <w:szCs w:val="20"/>
        </w:rPr>
      </w:pPr>
      <w:r w:rsidRPr="006845CC">
        <w:rPr>
          <w:rStyle w:val="FootnoteReference"/>
          <w:sz w:val="20"/>
          <w:szCs w:val="20"/>
        </w:rPr>
        <w:footnoteRef/>
      </w:r>
      <w:r w:rsidRPr="006845CC">
        <w:rPr>
          <w:sz w:val="20"/>
          <w:szCs w:val="20"/>
        </w:rPr>
        <w:t xml:space="preserve"> </w:t>
      </w:r>
      <w:r w:rsidR="00CE575C" w:rsidRPr="00CE575C">
        <w:rPr>
          <w:i/>
          <w:sz w:val="20"/>
          <w:szCs w:val="20"/>
        </w:rPr>
        <w:t>O’Connor v. Uber Techs., Inc.</w:t>
      </w:r>
      <w:r w:rsidR="00CE575C" w:rsidRPr="00CE575C">
        <w:rPr>
          <w:sz w:val="20"/>
          <w:szCs w:val="20"/>
        </w:rPr>
        <w:t>,</w:t>
      </w:r>
      <w:r w:rsidR="00CE575C">
        <w:rPr>
          <w:sz w:val="20"/>
          <w:szCs w:val="20"/>
        </w:rPr>
        <w:t xml:space="preserve"> 201 F. Supp. 3d 1110, 1153</w:t>
      </w:r>
      <w:r w:rsidR="00CE575C" w:rsidRPr="00CE575C">
        <w:rPr>
          <w:sz w:val="20"/>
          <w:szCs w:val="20"/>
        </w:rPr>
        <w:t xml:space="preserve"> (N.D. Cal. 2016).</w:t>
      </w:r>
    </w:p>
  </w:footnote>
  <w:footnote w:id="42">
    <w:p w14:paraId="36334124" w14:textId="4E93A95E" w:rsidR="00984E64" w:rsidRPr="00C32D58" w:rsidRDefault="00984E64" w:rsidP="00CE575C">
      <w:pPr>
        <w:pStyle w:val="FootnoteText"/>
        <w:rPr>
          <w:sz w:val="20"/>
          <w:szCs w:val="20"/>
        </w:rPr>
      </w:pPr>
      <w:r w:rsidRPr="006845CC">
        <w:rPr>
          <w:rStyle w:val="FootnoteReference"/>
          <w:sz w:val="20"/>
          <w:szCs w:val="20"/>
        </w:rPr>
        <w:footnoteRef/>
      </w:r>
      <w:r w:rsidRPr="006845CC">
        <w:rPr>
          <w:sz w:val="20"/>
          <w:szCs w:val="20"/>
        </w:rPr>
        <w:t xml:space="preserve"> </w:t>
      </w:r>
      <w:r w:rsidR="00CE575C" w:rsidRPr="00CE575C">
        <w:rPr>
          <w:rFonts w:eastAsia="Times New Roman"/>
          <w:i/>
          <w:sz w:val="20"/>
          <w:szCs w:val="20"/>
        </w:rPr>
        <w:t>Cotter v. Lyft, Inc.</w:t>
      </w:r>
      <w:r w:rsidR="00CE575C" w:rsidRPr="00923890">
        <w:rPr>
          <w:rFonts w:eastAsia="Times New Roman"/>
          <w:sz w:val="20"/>
          <w:szCs w:val="20"/>
        </w:rPr>
        <w:t>, 60 F. Supp. 3d 1067, 1081 (N.D. Cal. 2015).</w:t>
      </w:r>
    </w:p>
  </w:footnote>
  <w:footnote w:id="43">
    <w:p w14:paraId="49FA8FA4" w14:textId="18F43B53"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Id.</w:t>
      </w:r>
      <w:r w:rsidRPr="006845CC">
        <w:rPr>
          <w:sz w:val="20"/>
          <w:szCs w:val="20"/>
        </w:rPr>
        <w:t xml:space="preserve"> at 1070, 1077.</w:t>
      </w:r>
    </w:p>
  </w:footnote>
  <w:footnote w:id="44">
    <w:p w14:paraId="47D4BEAE" w14:textId="11D5628D"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 xml:space="preserve">Id. </w:t>
      </w:r>
      <w:r w:rsidRPr="006845CC">
        <w:rPr>
          <w:sz w:val="20"/>
          <w:szCs w:val="20"/>
        </w:rPr>
        <w:t xml:space="preserve">at 1082. </w:t>
      </w:r>
    </w:p>
  </w:footnote>
  <w:footnote w:id="45">
    <w:p w14:paraId="7A22AF33" w14:textId="1739413F"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00CE575C" w:rsidRPr="00CE575C">
        <w:rPr>
          <w:rFonts w:eastAsia="Times New Roman"/>
          <w:i/>
          <w:sz w:val="20"/>
          <w:szCs w:val="20"/>
        </w:rPr>
        <w:t>Cotter v. Lyft, Inc.</w:t>
      </w:r>
      <w:r w:rsidR="00CE575C" w:rsidRPr="00923890">
        <w:rPr>
          <w:rFonts w:eastAsia="Times New Roman"/>
          <w:sz w:val="20"/>
          <w:szCs w:val="20"/>
        </w:rPr>
        <w:t>, No. 13-cv-04065-VC, 2017 WL 1033527, at *1 (N.D. Cal. Mar. 16, 2017).</w:t>
      </w:r>
    </w:p>
  </w:footnote>
  <w:footnote w:id="46">
    <w:p w14:paraId="189C7241" w14:textId="020B7E1D"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Marie Mawad, </w:t>
      </w:r>
      <w:r w:rsidRPr="006845CC">
        <w:rPr>
          <w:i/>
          <w:sz w:val="20"/>
          <w:szCs w:val="20"/>
        </w:rPr>
        <w:t xml:space="preserve">City Mayors Worldwide Forge Alliance in Response to Airbnb, Uber, </w:t>
      </w:r>
      <w:r w:rsidRPr="006845CC">
        <w:rPr>
          <w:smallCaps/>
          <w:sz w:val="20"/>
          <w:szCs w:val="20"/>
        </w:rPr>
        <w:t xml:space="preserve">Bloomberg Technology </w:t>
      </w:r>
      <w:r w:rsidRPr="006845CC">
        <w:rPr>
          <w:sz w:val="20"/>
          <w:szCs w:val="20"/>
        </w:rPr>
        <w:t xml:space="preserve">(Jun. 20, 2016), </w:t>
      </w:r>
      <w:hyperlink r:id="rId10" w:history="1">
        <w:r w:rsidRPr="006845CC">
          <w:rPr>
            <w:rStyle w:val="Hyperlink"/>
            <w:sz w:val="20"/>
            <w:szCs w:val="20"/>
          </w:rPr>
          <w:t>https://www.bloomberg.com/news/articles/2016-06-20/city-mayors-worldwide-forge-alliance-in-response-to-airbnb-uber</w:t>
        </w:r>
      </w:hyperlink>
      <w:r w:rsidRPr="006845CC">
        <w:rPr>
          <w:rStyle w:val="Hyperlink"/>
          <w:sz w:val="20"/>
          <w:szCs w:val="20"/>
        </w:rPr>
        <w:t>.</w:t>
      </w:r>
      <w:r w:rsidRPr="006845CC">
        <w:rPr>
          <w:sz w:val="20"/>
          <w:szCs w:val="20"/>
        </w:rPr>
        <w:t xml:space="preserve"> </w:t>
      </w:r>
    </w:p>
  </w:footnote>
  <w:footnote w:id="47">
    <w:p w14:paraId="23D45CA5" w14:textId="721F880A" w:rsidR="00984E64" w:rsidRPr="00C32D58" w:rsidRDefault="00984E64">
      <w:pPr>
        <w:pStyle w:val="FootnoteText"/>
        <w:rPr>
          <w:b/>
          <w:sz w:val="20"/>
          <w:szCs w:val="20"/>
        </w:rPr>
      </w:pPr>
      <w:r w:rsidRPr="00C32D58">
        <w:rPr>
          <w:rStyle w:val="FootnoteReference"/>
          <w:sz w:val="20"/>
          <w:szCs w:val="20"/>
        </w:rPr>
        <w:footnoteRef/>
      </w:r>
      <w:r w:rsidRPr="00C32D58">
        <w:rPr>
          <w:sz w:val="20"/>
          <w:szCs w:val="20"/>
        </w:rPr>
        <w:t xml:space="preserve"> </w:t>
      </w:r>
      <w:r w:rsidRPr="006845CC">
        <w:rPr>
          <w:i/>
          <w:sz w:val="20"/>
          <w:szCs w:val="20"/>
        </w:rPr>
        <w:t xml:space="preserve">See </w:t>
      </w:r>
      <w:r w:rsidRPr="006845CC">
        <w:rPr>
          <w:sz w:val="20"/>
          <w:szCs w:val="20"/>
        </w:rPr>
        <w:t xml:space="preserve">Katz, </w:t>
      </w:r>
      <w:r w:rsidR="003E0000">
        <w:rPr>
          <w:i/>
          <w:sz w:val="20"/>
          <w:szCs w:val="20"/>
        </w:rPr>
        <w:t>supra note 19</w:t>
      </w:r>
      <w:r w:rsidR="003E0000">
        <w:rPr>
          <w:sz w:val="20"/>
          <w:szCs w:val="20"/>
        </w:rPr>
        <w:t xml:space="preserve"> at</w:t>
      </w:r>
      <w:r w:rsidRPr="006845CC">
        <w:rPr>
          <w:sz w:val="20"/>
          <w:szCs w:val="20"/>
        </w:rPr>
        <w:t xml:space="preserve"> 1100-1.</w:t>
      </w:r>
      <w:r w:rsidR="00D6747F">
        <w:rPr>
          <w:sz w:val="20"/>
          <w:szCs w:val="20"/>
        </w:rPr>
        <w:t xml:space="preserve"> </w:t>
      </w:r>
    </w:p>
  </w:footnote>
  <w:footnote w:id="48">
    <w:p w14:paraId="135A6481" w14:textId="3B88BD4B" w:rsidR="00984E64" w:rsidRPr="003E0000" w:rsidRDefault="00984E64">
      <w:pPr>
        <w:pStyle w:val="FootnoteText"/>
        <w:rPr>
          <w:rFonts w:asciiTheme="majorBidi" w:hAnsiTheme="majorBidi" w:cstheme="majorBidi"/>
          <w:i/>
          <w:sz w:val="20"/>
          <w:szCs w:val="20"/>
        </w:rPr>
      </w:pPr>
      <w:r w:rsidRPr="006845CC">
        <w:rPr>
          <w:rStyle w:val="FootnoteReference"/>
          <w:sz w:val="20"/>
          <w:szCs w:val="20"/>
        </w:rPr>
        <w:footnoteRef/>
      </w:r>
      <w:r w:rsidRPr="006845CC">
        <w:rPr>
          <w:sz w:val="20"/>
          <w:szCs w:val="20"/>
        </w:rPr>
        <w:t xml:space="preserve"> Coase, </w:t>
      </w:r>
      <w:r w:rsidRPr="006845CC">
        <w:rPr>
          <w:i/>
          <w:sz w:val="20"/>
          <w:szCs w:val="20"/>
        </w:rPr>
        <w:t>supra</w:t>
      </w:r>
      <w:r w:rsidR="00CE575C">
        <w:rPr>
          <w:sz w:val="20"/>
          <w:szCs w:val="20"/>
        </w:rPr>
        <w:t xml:space="preserve"> note 13.</w:t>
      </w:r>
    </w:p>
  </w:footnote>
  <w:footnote w:id="49">
    <w:p w14:paraId="4B363447" w14:textId="3A5E0B23" w:rsidR="00984E64" w:rsidRPr="003E0000" w:rsidRDefault="00984E64">
      <w:pPr>
        <w:pStyle w:val="FootnoteText"/>
        <w:rPr>
          <w:rFonts w:asciiTheme="majorBidi" w:hAnsiTheme="majorBidi" w:cstheme="majorBidi"/>
          <w:sz w:val="20"/>
          <w:szCs w:val="20"/>
        </w:rPr>
      </w:pPr>
      <w:r w:rsidRPr="003E0000">
        <w:rPr>
          <w:rStyle w:val="FootnoteReference"/>
          <w:rFonts w:asciiTheme="majorBidi" w:hAnsiTheme="majorBidi" w:cstheme="majorBidi"/>
          <w:sz w:val="20"/>
          <w:szCs w:val="20"/>
        </w:rPr>
        <w:footnoteRef/>
      </w:r>
      <w:r w:rsidRPr="003E0000">
        <w:rPr>
          <w:rFonts w:asciiTheme="majorBidi" w:hAnsiTheme="majorBidi" w:cstheme="majorBidi"/>
          <w:sz w:val="20"/>
          <w:szCs w:val="20"/>
        </w:rPr>
        <w:t xml:space="preserve"> Dahlman, </w:t>
      </w:r>
      <w:r w:rsidRPr="003E0000">
        <w:rPr>
          <w:rFonts w:asciiTheme="majorBidi" w:hAnsiTheme="majorBidi" w:cstheme="majorBidi"/>
          <w:i/>
          <w:sz w:val="20"/>
          <w:szCs w:val="20"/>
        </w:rPr>
        <w:t>supra</w:t>
      </w:r>
      <w:r w:rsidRPr="003E0000">
        <w:rPr>
          <w:rFonts w:asciiTheme="majorBidi" w:hAnsiTheme="majorBidi" w:cstheme="majorBidi"/>
          <w:sz w:val="20"/>
          <w:szCs w:val="20"/>
        </w:rPr>
        <w:t xml:space="preserve"> </w:t>
      </w:r>
      <w:r w:rsidR="00600FEC" w:rsidRPr="003E0000">
        <w:rPr>
          <w:rFonts w:asciiTheme="majorBidi" w:hAnsiTheme="majorBidi" w:cstheme="majorBidi"/>
          <w:sz w:val="20"/>
          <w:szCs w:val="20"/>
        </w:rPr>
        <w:t xml:space="preserve">note 14, </w:t>
      </w:r>
      <w:r w:rsidRPr="003E0000">
        <w:rPr>
          <w:rFonts w:asciiTheme="majorBidi" w:hAnsiTheme="majorBidi" w:cstheme="majorBidi"/>
          <w:sz w:val="20"/>
          <w:szCs w:val="20"/>
        </w:rPr>
        <w:t xml:space="preserve">at 148. </w:t>
      </w:r>
    </w:p>
  </w:footnote>
  <w:footnote w:id="50">
    <w:p w14:paraId="43012DC0" w14:textId="219D3131" w:rsidR="00984E64" w:rsidRPr="006845CC" w:rsidRDefault="00984E64">
      <w:pPr>
        <w:pStyle w:val="FootnoteText"/>
        <w:rPr>
          <w:sz w:val="20"/>
          <w:szCs w:val="20"/>
        </w:rPr>
      </w:pPr>
      <w:r w:rsidRPr="003E0000">
        <w:rPr>
          <w:rStyle w:val="FootnoteReference"/>
          <w:rFonts w:asciiTheme="majorBidi" w:hAnsiTheme="majorBidi" w:cstheme="majorBidi"/>
          <w:sz w:val="20"/>
          <w:szCs w:val="20"/>
        </w:rPr>
        <w:footnoteRef/>
      </w:r>
      <w:r w:rsidRPr="003E0000">
        <w:rPr>
          <w:rFonts w:asciiTheme="majorBidi" w:hAnsiTheme="majorBidi" w:cstheme="majorBidi"/>
          <w:sz w:val="20"/>
          <w:szCs w:val="20"/>
        </w:rPr>
        <w:t xml:space="preserve"> </w:t>
      </w:r>
      <w:r w:rsidR="003E0000" w:rsidRPr="003E0000">
        <w:rPr>
          <w:rFonts w:asciiTheme="majorBidi" w:hAnsiTheme="majorBidi" w:cstheme="majorBidi"/>
          <w:spacing w:val="-1"/>
          <w:sz w:val="20"/>
          <w:szCs w:val="20"/>
          <w:shd w:val="clear" w:color="auto" w:fill="FFFFFF"/>
        </w:rPr>
        <w:t xml:space="preserve">Gill Carson, </w:t>
      </w:r>
      <w:r w:rsidR="003E0000" w:rsidRPr="003E0000">
        <w:rPr>
          <w:rFonts w:asciiTheme="majorBidi" w:hAnsiTheme="majorBidi" w:cstheme="majorBidi"/>
          <w:i/>
          <w:iCs/>
          <w:spacing w:val="-1"/>
          <w:sz w:val="20"/>
          <w:szCs w:val="20"/>
          <w:shd w:val="clear" w:color="auto" w:fill="FFFFFF"/>
        </w:rPr>
        <w:t>Five key sharing economy sectors could generate 9 billion of UK revenues by 2025</w:t>
      </w:r>
      <w:r w:rsidR="003E0000">
        <w:rPr>
          <w:rFonts w:asciiTheme="majorBidi" w:hAnsiTheme="majorBidi" w:cstheme="majorBidi"/>
          <w:spacing w:val="-1"/>
          <w:sz w:val="20"/>
          <w:szCs w:val="20"/>
          <w:shd w:val="clear" w:color="auto" w:fill="FFFFFF"/>
        </w:rPr>
        <w:t xml:space="preserve">, </w:t>
      </w:r>
      <w:r w:rsidR="003E0000" w:rsidRPr="003E0000">
        <w:rPr>
          <w:rFonts w:asciiTheme="majorBidi" w:hAnsiTheme="majorBidi" w:cstheme="majorBidi"/>
          <w:spacing w:val="-1"/>
          <w:sz w:val="20"/>
          <w:szCs w:val="20"/>
          <w:shd w:val="clear" w:color="auto" w:fill="FFFFFF"/>
        </w:rPr>
        <w:t>PWC Blogs 15 August 2014 </w:t>
      </w:r>
      <w:hyperlink r:id="rId11" w:tgtFrame="_blank" w:history="1">
        <w:r w:rsidR="003E0000" w:rsidRPr="003E0000">
          <w:rPr>
            <w:rStyle w:val="Hyperlink"/>
            <w:rFonts w:asciiTheme="majorBidi" w:hAnsiTheme="majorBidi" w:cstheme="majorBidi"/>
            <w:spacing w:val="-1"/>
            <w:sz w:val="20"/>
            <w:szCs w:val="20"/>
            <w:shd w:val="clear" w:color="auto" w:fill="FFFFFF"/>
          </w:rPr>
          <w:t>http://pwc.blogs.com/press_room/2014/08/five-key-sharing-economy-sectors-could-generate-9-billion-of-uk-revenues-by-2025.html</w:t>
        </w:r>
      </w:hyperlink>
      <w:r w:rsidR="003E0000" w:rsidRPr="003E0000">
        <w:rPr>
          <w:rFonts w:asciiTheme="majorBidi" w:hAnsiTheme="majorBidi" w:cstheme="majorBidi"/>
          <w:spacing w:val="-1"/>
          <w:sz w:val="20"/>
          <w:szCs w:val="20"/>
          <w:shd w:val="clear" w:color="auto" w:fill="FFFFFF"/>
        </w:rPr>
        <w:t>.</w:t>
      </w:r>
    </w:p>
  </w:footnote>
  <w:footnote w:id="51">
    <w:p w14:paraId="1F4501CF" w14:textId="4F855B9A"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Eric Goldman, </w:t>
      </w:r>
      <w:r w:rsidRPr="006845CC">
        <w:rPr>
          <w:vanish/>
          <w:sz w:val="20"/>
          <w:szCs w:val="20"/>
        </w:rPr>
        <w:t xml:space="preserve">.ig Data Company, Forbes (March 23, 2015), 15 a)al Production Transforms Markets and Freedom 100 (2006). </w:t>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vanish/>
          <w:sz w:val="20"/>
          <w:szCs w:val="20"/>
        </w:rPr>
        <w:pgNum/>
      </w:r>
      <w:r w:rsidRPr="006845CC">
        <w:rPr>
          <w:i/>
          <w:sz w:val="20"/>
          <w:szCs w:val="20"/>
        </w:rPr>
        <w:t>Regulating Reputation, in</w:t>
      </w:r>
      <w:r w:rsidRPr="006845CC">
        <w:rPr>
          <w:sz w:val="20"/>
          <w:szCs w:val="20"/>
        </w:rPr>
        <w:t xml:space="preserve"> </w:t>
      </w:r>
      <w:bookmarkStart w:id="16" w:name="OLE_LINK650"/>
      <w:bookmarkStart w:id="17" w:name="OLE_LINK651"/>
      <w:r w:rsidRPr="006845CC">
        <w:rPr>
          <w:smallCaps/>
          <w:sz w:val="20"/>
          <w:szCs w:val="20"/>
        </w:rPr>
        <w:t>The Reputation Society: How Online Opinions Are Reshaping the Offline World 51, 53</w:t>
      </w:r>
      <w:r w:rsidRPr="006845CC">
        <w:rPr>
          <w:sz w:val="20"/>
          <w:szCs w:val="20"/>
        </w:rPr>
        <w:t xml:space="preserve"> (Hassan Masum and Mark Tovey eds., 2011); </w:t>
      </w:r>
      <w:bookmarkEnd w:id="16"/>
      <w:bookmarkEnd w:id="17"/>
      <w:r w:rsidRPr="006845CC">
        <w:rPr>
          <w:i/>
          <w:sz w:val="20"/>
          <w:szCs w:val="20"/>
        </w:rPr>
        <w:t xml:space="preserve">see also </w:t>
      </w:r>
      <w:r w:rsidRPr="006845CC">
        <w:rPr>
          <w:sz w:val="20"/>
          <w:szCs w:val="20"/>
        </w:rPr>
        <w:t xml:space="preserve">Chrysanthos Dellarocas, </w:t>
      </w:r>
      <w:r w:rsidRPr="006845CC">
        <w:rPr>
          <w:i/>
          <w:sz w:val="20"/>
          <w:szCs w:val="20"/>
        </w:rPr>
        <w:t>Designing Reputation Systems for the Social Web, in</w:t>
      </w:r>
      <w:r w:rsidRPr="006845CC">
        <w:rPr>
          <w:sz w:val="20"/>
          <w:szCs w:val="20"/>
        </w:rPr>
        <w:t xml:space="preserve"> </w:t>
      </w:r>
      <w:r w:rsidRPr="006845CC">
        <w:rPr>
          <w:smallCaps/>
          <w:sz w:val="20"/>
          <w:szCs w:val="20"/>
        </w:rPr>
        <w:t>The Reputation Society: How Online Opinions Are Reshaping the Offline World 3</w:t>
      </w:r>
      <w:r w:rsidRPr="006845CC">
        <w:rPr>
          <w:sz w:val="20"/>
          <w:szCs w:val="20"/>
        </w:rPr>
        <w:t xml:space="preserve"> (Hassan Masum and Mark Tovey eds. 2011); Liangjun You &amp; Riyaz Sikora, </w:t>
      </w:r>
      <w:bookmarkStart w:id="18" w:name="OLE_LINK657"/>
      <w:bookmarkStart w:id="19" w:name="OLE_LINK658"/>
      <w:r w:rsidRPr="006845CC">
        <w:rPr>
          <w:i/>
          <w:sz w:val="20"/>
          <w:szCs w:val="20"/>
        </w:rPr>
        <w:t>Performance of Online Reputation Mechanisms under the Influence of Different Types of Biases</w:t>
      </w:r>
      <w:r w:rsidRPr="006845CC">
        <w:rPr>
          <w:sz w:val="20"/>
          <w:szCs w:val="20"/>
        </w:rPr>
        <w:t>,</w:t>
      </w:r>
      <w:bookmarkEnd w:id="18"/>
      <w:bookmarkEnd w:id="19"/>
      <w:r w:rsidRPr="006845CC">
        <w:rPr>
          <w:sz w:val="20"/>
          <w:szCs w:val="20"/>
        </w:rPr>
        <w:t xml:space="preserve"> 12 </w:t>
      </w:r>
      <w:r w:rsidRPr="006845CC">
        <w:rPr>
          <w:smallCaps/>
          <w:sz w:val="20"/>
          <w:szCs w:val="20"/>
        </w:rPr>
        <w:t>Info. Sys. and e-Bus. Mgmt.</w:t>
      </w:r>
      <w:r w:rsidRPr="006845CC">
        <w:rPr>
          <w:sz w:val="20"/>
          <w:szCs w:val="20"/>
        </w:rPr>
        <w:t xml:space="preserve"> 417, 418 (2014).</w:t>
      </w:r>
    </w:p>
  </w:footnote>
  <w:footnote w:id="52">
    <w:p w14:paraId="00CA6B3D" w14:textId="35553BB8" w:rsidR="00984E64" w:rsidRPr="00C32D58" w:rsidRDefault="00984E64">
      <w:pPr>
        <w:pStyle w:val="FootnoteText"/>
        <w:rPr>
          <w:sz w:val="20"/>
          <w:szCs w:val="20"/>
        </w:rPr>
      </w:pPr>
      <w:r w:rsidRPr="006845CC">
        <w:rPr>
          <w:rStyle w:val="FootnoteReference"/>
          <w:sz w:val="20"/>
          <w:szCs w:val="20"/>
        </w:rPr>
        <w:footnoteRef/>
      </w:r>
      <w:r w:rsidRPr="006845CC">
        <w:rPr>
          <w:sz w:val="20"/>
          <w:szCs w:val="20"/>
        </w:rPr>
        <w:t xml:space="preserve"> FTC Staff Report, </w:t>
      </w:r>
      <w:r w:rsidRPr="006845CC">
        <w:rPr>
          <w:i/>
          <w:sz w:val="20"/>
          <w:szCs w:val="20"/>
        </w:rPr>
        <w:t>supra</w:t>
      </w:r>
      <w:r w:rsidRPr="006845CC">
        <w:rPr>
          <w:sz w:val="20"/>
          <w:szCs w:val="20"/>
        </w:rPr>
        <w:t xml:space="preserve"> </w:t>
      </w:r>
      <w:r w:rsidR="000D02AF">
        <w:rPr>
          <w:sz w:val="20"/>
          <w:szCs w:val="20"/>
        </w:rPr>
        <w:t>note</w:t>
      </w:r>
      <w:r w:rsidR="00600FEC">
        <w:rPr>
          <w:sz w:val="20"/>
          <w:szCs w:val="20"/>
        </w:rPr>
        <w:t xml:space="preserve"> 4, </w:t>
      </w:r>
      <w:r w:rsidRPr="006845CC">
        <w:rPr>
          <w:sz w:val="20"/>
          <w:szCs w:val="20"/>
        </w:rPr>
        <w:t xml:space="preserve">at 1, 5.  </w:t>
      </w:r>
    </w:p>
  </w:footnote>
  <w:footnote w:id="53">
    <w:p w14:paraId="2C082D4F" w14:textId="21E0D158"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 xml:space="preserve">Id. </w:t>
      </w:r>
    </w:p>
  </w:footnote>
  <w:footnote w:id="54">
    <w:p w14:paraId="67292E16" w14:textId="522D275D"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w:t>
      </w:r>
      <w:r w:rsidRPr="006845CC">
        <w:rPr>
          <w:i/>
          <w:sz w:val="20"/>
          <w:szCs w:val="20"/>
        </w:rPr>
        <w:t>Id.</w:t>
      </w:r>
      <w:r w:rsidRPr="006845CC">
        <w:rPr>
          <w:sz w:val="20"/>
          <w:szCs w:val="20"/>
        </w:rPr>
        <w:t xml:space="preserve"> </w:t>
      </w:r>
    </w:p>
  </w:footnote>
  <w:footnote w:id="55">
    <w:p w14:paraId="647F1C21" w14:textId="63F6F8A5" w:rsidR="00984E64" w:rsidRPr="006845CC" w:rsidRDefault="00984E64" w:rsidP="00C32D58">
      <w:pPr>
        <w:pStyle w:val="FootnoteText"/>
        <w:rPr>
          <w:sz w:val="20"/>
          <w:szCs w:val="20"/>
        </w:rPr>
      </w:pPr>
      <w:r w:rsidRPr="006845CC">
        <w:rPr>
          <w:rStyle w:val="FootnoteReference"/>
          <w:sz w:val="20"/>
          <w:szCs w:val="20"/>
        </w:rPr>
        <w:footnoteRef/>
      </w:r>
      <w:r w:rsidRPr="006845CC">
        <w:rPr>
          <w:sz w:val="20"/>
          <w:szCs w:val="20"/>
        </w:rPr>
        <w:t xml:space="preserve"> Ron Hirson, </w:t>
      </w:r>
      <w:r w:rsidRPr="006845CC">
        <w:rPr>
          <w:i/>
          <w:sz w:val="20"/>
          <w:szCs w:val="20"/>
        </w:rPr>
        <w:t>Uber: The Big Data Company</w:t>
      </w:r>
      <w:r w:rsidRPr="006845CC">
        <w:rPr>
          <w:sz w:val="20"/>
          <w:szCs w:val="20"/>
        </w:rPr>
        <w:t xml:space="preserve">, </w:t>
      </w:r>
      <w:r w:rsidRPr="00C32D58">
        <w:rPr>
          <w:smallCaps/>
          <w:sz w:val="20"/>
          <w:szCs w:val="20"/>
        </w:rPr>
        <w:t xml:space="preserve">Forbes </w:t>
      </w:r>
      <w:r w:rsidRPr="006845CC">
        <w:rPr>
          <w:sz w:val="20"/>
          <w:szCs w:val="20"/>
        </w:rPr>
        <w:t>(Mar</w:t>
      </w:r>
      <w:r w:rsidR="000D02AF">
        <w:rPr>
          <w:sz w:val="20"/>
          <w:szCs w:val="20"/>
        </w:rPr>
        <w:t>.</w:t>
      </w:r>
      <w:r w:rsidRPr="006845CC">
        <w:rPr>
          <w:sz w:val="20"/>
          <w:szCs w:val="20"/>
        </w:rPr>
        <w:t xml:space="preserve"> 23, 2015), </w:t>
      </w:r>
      <w:hyperlink r:id="rId12" w:history="1">
        <w:r w:rsidRPr="006845CC">
          <w:rPr>
            <w:rStyle w:val="Hyperlink"/>
            <w:sz w:val="20"/>
            <w:szCs w:val="20"/>
          </w:rPr>
          <w:t>https://www.forbes.com/forbes/welcome/?toURL=https://www.forbes.com/sites/ronhirson/2015/03/23/uber-the-big-data-company/&amp;refURL=&amp;referrer</w:t>
        </w:r>
      </w:hyperlink>
      <w:r w:rsidRPr="006845CC">
        <w:rPr>
          <w:sz w:val="20"/>
          <w:szCs w:val="20"/>
        </w:rPr>
        <w:t>.</w:t>
      </w:r>
    </w:p>
  </w:footnote>
  <w:footnote w:id="56">
    <w:p w14:paraId="504BE19E" w14:textId="752DB2F1" w:rsidR="00984E64" w:rsidRPr="00C32D58" w:rsidRDefault="00984E64" w:rsidP="00C32D58">
      <w:pPr>
        <w:pStyle w:val="Header"/>
        <w:pBdr>
          <w:bottom w:val="single" w:sz="4" w:space="1" w:color="D9D9D9" w:themeColor="background1" w:themeShade="D9"/>
        </w:pBdr>
        <w:rPr>
          <w:sz w:val="20"/>
          <w:szCs w:val="20"/>
        </w:rPr>
      </w:pPr>
      <w:r w:rsidRPr="006845CC">
        <w:rPr>
          <w:rStyle w:val="FootnoteReference"/>
          <w:rFonts w:ascii="Times New Roman" w:hAnsi="Times New Roman" w:cs="Times New Roman"/>
          <w:sz w:val="20"/>
          <w:szCs w:val="20"/>
        </w:rPr>
        <w:footnoteRef/>
      </w:r>
      <w:r w:rsidRPr="006845CC">
        <w:rPr>
          <w:rFonts w:ascii="Times New Roman" w:hAnsi="Times New Roman" w:cs="Times New Roman"/>
          <w:sz w:val="20"/>
          <w:szCs w:val="20"/>
        </w:rPr>
        <w:t xml:space="preserve"> </w:t>
      </w:r>
      <w:sdt>
        <w:sdtPr>
          <w:rPr>
            <w:rFonts w:ascii="Times New Roman" w:hAnsi="Times New Roman" w:cs="Times New Roman"/>
            <w:spacing w:val="60"/>
            <w:sz w:val="20"/>
            <w:szCs w:val="20"/>
          </w:rPr>
          <w:id w:val="40932403"/>
          <w:docPartObj>
            <w:docPartGallery w:val="Page Numbers (Top of Page)"/>
            <w:docPartUnique/>
          </w:docPartObj>
        </w:sdtPr>
        <w:sdtEndPr>
          <w:rPr>
            <w:spacing w:val="0"/>
          </w:rPr>
        </w:sdtEndPr>
        <w:sdtContent>
          <w:r w:rsidRPr="006845CC">
            <w:rPr>
              <w:rFonts w:ascii="Times New Roman" w:hAnsi="Times New Roman" w:cs="Times New Roman"/>
              <w:sz w:val="20"/>
              <w:szCs w:val="20"/>
            </w:rPr>
            <w:t xml:space="preserve">Cohen, </w:t>
          </w:r>
          <w:r w:rsidRPr="006845CC">
            <w:rPr>
              <w:rFonts w:ascii="Times New Roman" w:hAnsi="Times New Roman" w:cs="Times New Roman"/>
              <w:i/>
              <w:sz w:val="20"/>
              <w:szCs w:val="20"/>
            </w:rPr>
            <w:t>Law for the Platform Economy</w:t>
          </w:r>
          <w:r w:rsidRPr="006845CC">
            <w:rPr>
              <w:rFonts w:ascii="Times New Roman" w:hAnsi="Times New Roman" w:cs="Times New Roman"/>
              <w:sz w:val="20"/>
              <w:szCs w:val="20"/>
            </w:rPr>
            <w:t xml:space="preserve">, 51 </w:t>
          </w:r>
          <w:r w:rsidRPr="006845CC">
            <w:rPr>
              <w:rFonts w:ascii="Times New Roman" w:hAnsi="Times New Roman" w:cs="Times New Roman"/>
              <w:smallCaps/>
              <w:sz w:val="20"/>
              <w:szCs w:val="20"/>
            </w:rPr>
            <w:t>U.C. Davis L. Rev</w:t>
          </w:r>
          <w:r w:rsidRPr="006845CC">
            <w:rPr>
              <w:rFonts w:ascii="Times New Roman" w:hAnsi="Times New Roman" w:cs="Times New Roman"/>
              <w:sz w:val="20"/>
              <w:szCs w:val="20"/>
            </w:rPr>
            <w:t>. (forthcoming 2017).</w:t>
          </w:r>
        </w:sdtContent>
      </w:sdt>
    </w:p>
  </w:footnote>
  <w:footnote w:id="57">
    <w:p w14:paraId="148E2CA5" w14:textId="56C6EA82" w:rsidR="00984E64" w:rsidRPr="006845CC" w:rsidRDefault="00984E64">
      <w:pPr>
        <w:pStyle w:val="FootnoteText"/>
        <w:rPr>
          <w:i/>
          <w:sz w:val="20"/>
          <w:szCs w:val="20"/>
        </w:rPr>
      </w:pPr>
      <w:r w:rsidRPr="006845CC">
        <w:rPr>
          <w:rStyle w:val="FootnoteReference"/>
          <w:i/>
          <w:sz w:val="20"/>
          <w:szCs w:val="20"/>
        </w:rPr>
        <w:footnoteRef/>
      </w:r>
      <w:r w:rsidRPr="006845CC">
        <w:rPr>
          <w:i/>
          <w:sz w:val="20"/>
          <w:szCs w:val="20"/>
        </w:rPr>
        <w:t xml:space="preserve"> Id. </w:t>
      </w:r>
    </w:p>
  </w:footnote>
  <w:footnote w:id="58">
    <w:p w14:paraId="5AD083D3" w14:textId="198A8E43" w:rsidR="00984E64" w:rsidRPr="006845CC" w:rsidRDefault="00984E64">
      <w:pPr>
        <w:pStyle w:val="FootnoteText"/>
        <w:rPr>
          <w:sz w:val="20"/>
          <w:szCs w:val="20"/>
        </w:rPr>
      </w:pPr>
      <w:r w:rsidRPr="006845CC">
        <w:rPr>
          <w:rStyle w:val="FootnoteReference"/>
          <w:sz w:val="20"/>
          <w:szCs w:val="20"/>
        </w:rPr>
        <w:footnoteRef/>
      </w:r>
      <w:r w:rsidRPr="006845CC">
        <w:rPr>
          <w:sz w:val="20"/>
          <w:szCs w:val="20"/>
        </w:rPr>
        <w:t xml:space="preserve"> Coase, </w:t>
      </w:r>
      <w:r w:rsidRPr="006845CC">
        <w:rPr>
          <w:i/>
          <w:sz w:val="20"/>
          <w:szCs w:val="20"/>
        </w:rPr>
        <w:t xml:space="preserve">supra </w:t>
      </w:r>
      <w:r w:rsidR="00CE575C">
        <w:rPr>
          <w:sz w:val="20"/>
          <w:szCs w:val="20"/>
        </w:rPr>
        <w:t xml:space="preserve">note 13, </w:t>
      </w:r>
      <w:r w:rsidRPr="006845CC">
        <w:rPr>
          <w:sz w:val="20"/>
          <w:szCs w:val="20"/>
        </w:rPr>
        <w:t>at 1, 15.</w:t>
      </w:r>
    </w:p>
  </w:footnote>
  <w:footnote w:id="59">
    <w:p w14:paraId="19E581FB" w14:textId="6F1664DC" w:rsidR="005A5C49" w:rsidRPr="00C32D58" w:rsidRDefault="005A5C49">
      <w:pPr>
        <w:pStyle w:val="FootnoteText"/>
        <w:rPr>
          <w:sz w:val="20"/>
          <w:szCs w:val="20"/>
        </w:rPr>
      </w:pPr>
      <w:r w:rsidRPr="00C32D58">
        <w:rPr>
          <w:rStyle w:val="FootnoteReference"/>
          <w:sz w:val="20"/>
          <w:szCs w:val="20"/>
        </w:rPr>
        <w:footnoteRef/>
      </w:r>
      <w:r w:rsidRPr="00C32D58">
        <w:rPr>
          <w:sz w:val="20"/>
          <w:szCs w:val="20"/>
        </w:rPr>
        <w:t xml:space="preserve"> Lobel, </w:t>
      </w:r>
      <w:r w:rsidR="00D71E08" w:rsidRPr="005A6693">
        <w:rPr>
          <w:i/>
          <w:iCs/>
          <w:sz w:val="20"/>
          <w:szCs w:val="20"/>
        </w:rPr>
        <w:t>supra</w:t>
      </w:r>
      <w:r w:rsidR="005A6693">
        <w:rPr>
          <w:sz w:val="20"/>
          <w:szCs w:val="20"/>
        </w:rPr>
        <w:t xml:space="preserve"> note 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6421" w14:textId="77777777" w:rsidR="00984E64" w:rsidRDefault="00984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32E3" w14:textId="77777777" w:rsidR="00984E64" w:rsidRDefault="00984E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4A0E7" w14:textId="77777777" w:rsidR="00984E64" w:rsidRDefault="00984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64E1"/>
    <w:multiLevelType w:val="hybridMultilevel"/>
    <w:tmpl w:val="859E8C6E"/>
    <w:lvl w:ilvl="0" w:tplc="8AC8B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42FBD"/>
    <w:multiLevelType w:val="hybridMultilevel"/>
    <w:tmpl w:val="A8123390"/>
    <w:lvl w:ilvl="0" w:tplc="075CCE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0440A4"/>
    <w:multiLevelType w:val="hybridMultilevel"/>
    <w:tmpl w:val="B7AE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F29A9"/>
    <w:multiLevelType w:val="hybridMultilevel"/>
    <w:tmpl w:val="61A8D7D8"/>
    <w:lvl w:ilvl="0" w:tplc="CF48B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FA4C14"/>
    <w:multiLevelType w:val="hybridMultilevel"/>
    <w:tmpl w:val="B6D46568"/>
    <w:lvl w:ilvl="0" w:tplc="915A9766">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E16DC"/>
    <w:multiLevelType w:val="hybridMultilevel"/>
    <w:tmpl w:val="73BA168E"/>
    <w:lvl w:ilvl="0" w:tplc="CF0A685E">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6C54F5"/>
    <w:multiLevelType w:val="hybridMultilevel"/>
    <w:tmpl w:val="6130F3BA"/>
    <w:lvl w:ilvl="0" w:tplc="A46086E4">
      <w:start w:val="4"/>
      <w:numFmt w:val="bullet"/>
      <w:lvlText w:val="-"/>
      <w:lvlJc w:val="left"/>
      <w:pPr>
        <w:ind w:left="720" w:hanging="360"/>
      </w:pPr>
      <w:rPr>
        <w:rFonts w:ascii="Calibri" w:eastAsiaTheme="minorHAnsi" w:hAnsi="Calibri"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251CE"/>
    <w:multiLevelType w:val="hybridMultilevel"/>
    <w:tmpl w:val="02E0B860"/>
    <w:lvl w:ilvl="0" w:tplc="DD581718">
      <w:start w:val="1"/>
      <w:numFmt w:val="decimal"/>
      <w:lvlText w:val="%1."/>
      <w:lvlJc w:val="left"/>
      <w:pPr>
        <w:ind w:left="1360" w:hanging="360"/>
      </w:pPr>
      <w:rPr>
        <w:rFonts w:ascii="Times New Roman" w:eastAsia="Times New Roman" w:hAnsi="Times New Roman" w:cs="Times New Roman" w:hint="default"/>
        <w:w w:val="100"/>
        <w:sz w:val="24"/>
        <w:szCs w:val="24"/>
      </w:rPr>
    </w:lvl>
    <w:lvl w:ilvl="1" w:tplc="4964E94A">
      <w:numFmt w:val="bullet"/>
      <w:lvlText w:val="•"/>
      <w:lvlJc w:val="left"/>
      <w:pPr>
        <w:ind w:left="2108" w:hanging="360"/>
      </w:pPr>
      <w:rPr>
        <w:rFonts w:hint="default"/>
      </w:rPr>
    </w:lvl>
    <w:lvl w:ilvl="2" w:tplc="516C3534">
      <w:numFmt w:val="bullet"/>
      <w:lvlText w:val="•"/>
      <w:lvlJc w:val="left"/>
      <w:pPr>
        <w:ind w:left="2856" w:hanging="360"/>
      </w:pPr>
      <w:rPr>
        <w:rFonts w:hint="default"/>
      </w:rPr>
    </w:lvl>
    <w:lvl w:ilvl="3" w:tplc="8584B864">
      <w:numFmt w:val="bullet"/>
      <w:lvlText w:val="•"/>
      <w:lvlJc w:val="left"/>
      <w:pPr>
        <w:ind w:left="3604" w:hanging="360"/>
      </w:pPr>
      <w:rPr>
        <w:rFonts w:hint="default"/>
      </w:rPr>
    </w:lvl>
    <w:lvl w:ilvl="4" w:tplc="4AECC7B4">
      <w:numFmt w:val="bullet"/>
      <w:lvlText w:val="•"/>
      <w:lvlJc w:val="left"/>
      <w:pPr>
        <w:ind w:left="4352" w:hanging="360"/>
      </w:pPr>
      <w:rPr>
        <w:rFonts w:hint="default"/>
      </w:rPr>
    </w:lvl>
    <w:lvl w:ilvl="5" w:tplc="B83C46E4">
      <w:numFmt w:val="bullet"/>
      <w:lvlText w:val="•"/>
      <w:lvlJc w:val="left"/>
      <w:pPr>
        <w:ind w:left="5100" w:hanging="360"/>
      </w:pPr>
      <w:rPr>
        <w:rFonts w:hint="default"/>
      </w:rPr>
    </w:lvl>
    <w:lvl w:ilvl="6" w:tplc="FE78EECE">
      <w:numFmt w:val="bullet"/>
      <w:lvlText w:val="•"/>
      <w:lvlJc w:val="left"/>
      <w:pPr>
        <w:ind w:left="5848" w:hanging="360"/>
      </w:pPr>
      <w:rPr>
        <w:rFonts w:hint="default"/>
      </w:rPr>
    </w:lvl>
    <w:lvl w:ilvl="7" w:tplc="1AEC33D4">
      <w:numFmt w:val="bullet"/>
      <w:lvlText w:val="•"/>
      <w:lvlJc w:val="left"/>
      <w:pPr>
        <w:ind w:left="6596" w:hanging="360"/>
      </w:pPr>
      <w:rPr>
        <w:rFonts w:hint="default"/>
      </w:rPr>
    </w:lvl>
    <w:lvl w:ilvl="8" w:tplc="BA7CB62A">
      <w:numFmt w:val="bullet"/>
      <w:lvlText w:val="•"/>
      <w:lvlJc w:val="left"/>
      <w:pPr>
        <w:ind w:left="7344" w:hanging="360"/>
      </w:pPr>
      <w:rPr>
        <w:rFonts w:hint="default"/>
      </w:rPr>
    </w:lvl>
  </w:abstractNum>
  <w:abstractNum w:abstractNumId="8" w15:restartNumberingAfterBreak="0">
    <w:nsid w:val="61472F29"/>
    <w:multiLevelType w:val="hybridMultilevel"/>
    <w:tmpl w:val="36D85D5E"/>
    <w:lvl w:ilvl="0" w:tplc="8392E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D944D8"/>
    <w:multiLevelType w:val="hybridMultilevel"/>
    <w:tmpl w:val="DF5E96EC"/>
    <w:lvl w:ilvl="0" w:tplc="DED0820C">
      <w:start w:val="1"/>
      <w:numFmt w:val="decimal"/>
      <w:lvlText w:val="%1."/>
      <w:lvlJc w:val="left"/>
      <w:pPr>
        <w:ind w:left="1260" w:hanging="360"/>
      </w:pPr>
      <w:rPr>
        <w:rFonts w:ascii="Times New Roman" w:eastAsia="Times New Roman" w:hAnsi="Times New Roman" w:cs="Narkisim"/>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238FB"/>
    <w:multiLevelType w:val="hybridMultilevel"/>
    <w:tmpl w:val="99725AE8"/>
    <w:lvl w:ilvl="0" w:tplc="3AA4F1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10"/>
  </w:num>
  <w:num w:numId="4">
    <w:abstractNumId w:val="2"/>
  </w:num>
  <w:num w:numId="5">
    <w:abstractNumId w:val="3"/>
  </w:num>
  <w:num w:numId="6">
    <w:abstractNumId w:val="5"/>
  </w:num>
  <w:num w:numId="7">
    <w:abstractNumId w:val="4"/>
  </w:num>
  <w:num w:numId="8">
    <w:abstractNumId w:val="6"/>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33"/>
    <w:rsid w:val="00000FCE"/>
    <w:rsid w:val="00002F32"/>
    <w:rsid w:val="00003A14"/>
    <w:rsid w:val="00007EB8"/>
    <w:rsid w:val="0001291B"/>
    <w:rsid w:val="00014DB2"/>
    <w:rsid w:val="0001682C"/>
    <w:rsid w:val="0001744B"/>
    <w:rsid w:val="00022B8E"/>
    <w:rsid w:val="00023727"/>
    <w:rsid w:val="000244E9"/>
    <w:rsid w:val="00026106"/>
    <w:rsid w:val="000302D0"/>
    <w:rsid w:val="00031EDC"/>
    <w:rsid w:val="000330A3"/>
    <w:rsid w:val="00037A68"/>
    <w:rsid w:val="000409A1"/>
    <w:rsid w:val="000420F6"/>
    <w:rsid w:val="0005135B"/>
    <w:rsid w:val="00052E8E"/>
    <w:rsid w:val="00053B39"/>
    <w:rsid w:val="0005683C"/>
    <w:rsid w:val="00060001"/>
    <w:rsid w:val="0006093B"/>
    <w:rsid w:val="0006097D"/>
    <w:rsid w:val="00062A13"/>
    <w:rsid w:val="0006400F"/>
    <w:rsid w:val="00065648"/>
    <w:rsid w:val="00070B39"/>
    <w:rsid w:val="0007770D"/>
    <w:rsid w:val="0008245A"/>
    <w:rsid w:val="00082498"/>
    <w:rsid w:val="0008267A"/>
    <w:rsid w:val="000865D8"/>
    <w:rsid w:val="0008721B"/>
    <w:rsid w:val="0009199E"/>
    <w:rsid w:val="0009335D"/>
    <w:rsid w:val="000975B1"/>
    <w:rsid w:val="000A22A1"/>
    <w:rsid w:val="000A24CE"/>
    <w:rsid w:val="000A2BAD"/>
    <w:rsid w:val="000A5283"/>
    <w:rsid w:val="000A534E"/>
    <w:rsid w:val="000B1A17"/>
    <w:rsid w:val="000B21EC"/>
    <w:rsid w:val="000B5DD2"/>
    <w:rsid w:val="000C1294"/>
    <w:rsid w:val="000D02AF"/>
    <w:rsid w:val="000D301B"/>
    <w:rsid w:val="000D546A"/>
    <w:rsid w:val="000E2E66"/>
    <w:rsid w:val="000E3F0C"/>
    <w:rsid w:val="000E707B"/>
    <w:rsid w:val="000F59F3"/>
    <w:rsid w:val="000F7155"/>
    <w:rsid w:val="000F786E"/>
    <w:rsid w:val="0010748B"/>
    <w:rsid w:val="001104D5"/>
    <w:rsid w:val="001140D5"/>
    <w:rsid w:val="00120A11"/>
    <w:rsid w:val="00120FB9"/>
    <w:rsid w:val="0012174B"/>
    <w:rsid w:val="00123996"/>
    <w:rsid w:val="001250A5"/>
    <w:rsid w:val="00127585"/>
    <w:rsid w:val="001300FE"/>
    <w:rsid w:val="001318E0"/>
    <w:rsid w:val="0013249C"/>
    <w:rsid w:val="00133E57"/>
    <w:rsid w:val="00141B0C"/>
    <w:rsid w:val="001438C2"/>
    <w:rsid w:val="0014397A"/>
    <w:rsid w:val="00144F54"/>
    <w:rsid w:val="00146950"/>
    <w:rsid w:val="00152A9A"/>
    <w:rsid w:val="00152C9E"/>
    <w:rsid w:val="00154232"/>
    <w:rsid w:val="00156512"/>
    <w:rsid w:val="00157736"/>
    <w:rsid w:val="00160170"/>
    <w:rsid w:val="00161166"/>
    <w:rsid w:val="00170308"/>
    <w:rsid w:val="00170638"/>
    <w:rsid w:val="00171B95"/>
    <w:rsid w:val="00171EB1"/>
    <w:rsid w:val="00173801"/>
    <w:rsid w:val="00176B0D"/>
    <w:rsid w:val="00177A1A"/>
    <w:rsid w:val="001814E1"/>
    <w:rsid w:val="00182A2D"/>
    <w:rsid w:val="00182E2E"/>
    <w:rsid w:val="001877BE"/>
    <w:rsid w:val="001919B5"/>
    <w:rsid w:val="00194A7A"/>
    <w:rsid w:val="001A0039"/>
    <w:rsid w:val="001A0130"/>
    <w:rsid w:val="001A2219"/>
    <w:rsid w:val="001A27F1"/>
    <w:rsid w:val="001A386F"/>
    <w:rsid w:val="001A42B3"/>
    <w:rsid w:val="001A6061"/>
    <w:rsid w:val="001B358B"/>
    <w:rsid w:val="001B5230"/>
    <w:rsid w:val="001B713F"/>
    <w:rsid w:val="001C0F70"/>
    <w:rsid w:val="001C2C72"/>
    <w:rsid w:val="001C45E9"/>
    <w:rsid w:val="001C4906"/>
    <w:rsid w:val="001C4FC0"/>
    <w:rsid w:val="001C5563"/>
    <w:rsid w:val="001C673E"/>
    <w:rsid w:val="001D3D69"/>
    <w:rsid w:val="001D4A23"/>
    <w:rsid w:val="001D5956"/>
    <w:rsid w:val="001D62B7"/>
    <w:rsid w:val="001D69F6"/>
    <w:rsid w:val="001D70F6"/>
    <w:rsid w:val="001E086F"/>
    <w:rsid w:val="001E0C40"/>
    <w:rsid w:val="001E131C"/>
    <w:rsid w:val="001E37BF"/>
    <w:rsid w:val="001E4B1C"/>
    <w:rsid w:val="001F1B40"/>
    <w:rsid w:val="001F1D67"/>
    <w:rsid w:val="001F3035"/>
    <w:rsid w:val="001F31B5"/>
    <w:rsid w:val="001F3385"/>
    <w:rsid w:val="001F5D48"/>
    <w:rsid w:val="001F5EA7"/>
    <w:rsid w:val="001F6CF6"/>
    <w:rsid w:val="001F77E3"/>
    <w:rsid w:val="002008C1"/>
    <w:rsid w:val="00202043"/>
    <w:rsid w:val="002028DE"/>
    <w:rsid w:val="00203888"/>
    <w:rsid w:val="002079BE"/>
    <w:rsid w:val="0021021F"/>
    <w:rsid w:val="00211A15"/>
    <w:rsid w:val="00212247"/>
    <w:rsid w:val="00213B60"/>
    <w:rsid w:val="0021498E"/>
    <w:rsid w:val="00216CAE"/>
    <w:rsid w:val="00217E08"/>
    <w:rsid w:val="0022041B"/>
    <w:rsid w:val="0022355A"/>
    <w:rsid w:val="00225D3A"/>
    <w:rsid w:val="002302E0"/>
    <w:rsid w:val="00232BDB"/>
    <w:rsid w:val="00233C5E"/>
    <w:rsid w:val="002352AE"/>
    <w:rsid w:val="002361D9"/>
    <w:rsid w:val="00237D0A"/>
    <w:rsid w:val="00240D5A"/>
    <w:rsid w:val="0024185C"/>
    <w:rsid w:val="00242B5D"/>
    <w:rsid w:val="0024655B"/>
    <w:rsid w:val="00247E2A"/>
    <w:rsid w:val="00253B7D"/>
    <w:rsid w:val="00254DD9"/>
    <w:rsid w:val="0025592F"/>
    <w:rsid w:val="0026593D"/>
    <w:rsid w:val="00266036"/>
    <w:rsid w:val="002737D4"/>
    <w:rsid w:val="002750C4"/>
    <w:rsid w:val="002823C8"/>
    <w:rsid w:val="00283403"/>
    <w:rsid w:val="00283470"/>
    <w:rsid w:val="002868F2"/>
    <w:rsid w:val="00287235"/>
    <w:rsid w:val="00294029"/>
    <w:rsid w:val="00296351"/>
    <w:rsid w:val="00296A07"/>
    <w:rsid w:val="00297F98"/>
    <w:rsid w:val="002A27F6"/>
    <w:rsid w:val="002A5578"/>
    <w:rsid w:val="002A5793"/>
    <w:rsid w:val="002A5F5E"/>
    <w:rsid w:val="002A67A0"/>
    <w:rsid w:val="002B2C95"/>
    <w:rsid w:val="002B5FD1"/>
    <w:rsid w:val="002B69AF"/>
    <w:rsid w:val="002B6B3D"/>
    <w:rsid w:val="002C08FE"/>
    <w:rsid w:val="002C1585"/>
    <w:rsid w:val="002C3B01"/>
    <w:rsid w:val="002C5B7C"/>
    <w:rsid w:val="002C682D"/>
    <w:rsid w:val="002D33A3"/>
    <w:rsid w:val="002D3D26"/>
    <w:rsid w:val="002D41B1"/>
    <w:rsid w:val="002D4F09"/>
    <w:rsid w:val="002E17AB"/>
    <w:rsid w:val="002E1C31"/>
    <w:rsid w:val="002F0C0F"/>
    <w:rsid w:val="002F1012"/>
    <w:rsid w:val="002F1BD2"/>
    <w:rsid w:val="00300CA6"/>
    <w:rsid w:val="00303BCB"/>
    <w:rsid w:val="0030425A"/>
    <w:rsid w:val="0030734A"/>
    <w:rsid w:val="00310328"/>
    <w:rsid w:val="00310375"/>
    <w:rsid w:val="0031139A"/>
    <w:rsid w:val="0031212D"/>
    <w:rsid w:val="00315F66"/>
    <w:rsid w:val="0031786B"/>
    <w:rsid w:val="00320758"/>
    <w:rsid w:val="003222E3"/>
    <w:rsid w:val="00322E85"/>
    <w:rsid w:val="00323BAD"/>
    <w:rsid w:val="003332D3"/>
    <w:rsid w:val="003400B2"/>
    <w:rsid w:val="0034244F"/>
    <w:rsid w:val="00345493"/>
    <w:rsid w:val="00350A3E"/>
    <w:rsid w:val="00352A20"/>
    <w:rsid w:val="0035486A"/>
    <w:rsid w:val="003558E9"/>
    <w:rsid w:val="003603B8"/>
    <w:rsid w:val="003629E3"/>
    <w:rsid w:val="003675E8"/>
    <w:rsid w:val="00367C37"/>
    <w:rsid w:val="0037184F"/>
    <w:rsid w:val="00375B18"/>
    <w:rsid w:val="00376F33"/>
    <w:rsid w:val="00377866"/>
    <w:rsid w:val="00380EF8"/>
    <w:rsid w:val="00381D9E"/>
    <w:rsid w:val="00383B0C"/>
    <w:rsid w:val="00384CB3"/>
    <w:rsid w:val="00385394"/>
    <w:rsid w:val="00385AB9"/>
    <w:rsid w:val="00385D18"/>
    <w:rsid w:val="00386017"/>
    <w:rsid w:val="00386ECC"/>
    <w:rsid w:val="00390952"/>
    <w:rsid w:val="0039168D"/>
    <w:rsid w:val="003A09F5"/>
    <w:rsid w:val="003A167C"/>
    <w:rsid w:val="003A17F1"/>
    <w:rsid w:val="003A2D9E"/>
    <w:rsid w:val="003A4623"/>
    <w:rsid w:val="003A631D"/>
    <w:rsid w:val="003A7CAC"/>
    <w:rsid w:val="003B0857"/>
    <w:rsid w:val="003B18DB"/>
    <w:rsid w:val="003B3C5C"/>
    <w:rsid w:val="003B4021"/>
    <w:rsid w:val="003C0B6B"/>
    <w:rsid w:val="003C6162"/>
    <w:rsid w:val="003C69C0"/>
    <w:rsid w:val="003D0BF2"/>
    <w:rsid w:val="003D3041"/>
    <w:rsid w:val="003E0000"/>
    <w:rsid w:val="003E6971"/>
    <w:rsid w:val="003E769A"/>
    <w:rsid w:val="003E7B7D"/>
    <w:rsid w:val="003F686E"/>
    <w:rsid w:val="003F78A6"/>
    <w:rsid w:val="0040024A"/>
    <w:rsid w:val="00403C20"/>
    <w:rsid w:val="0040403B"/>
    <w:rsid w:val="004100DF"/>
    <w:rsid w:val="00410AA0"/>
    <w:rsid w:val="00410B19"/>
    <w:rsid w:val="004111DD"/>
    <w:rsid w:val="004118B8"/>
    <w:rsid w:val="004165BF"/>
    <w:rsid w:val="00424449"/>
    <w:rsid w:val="00426AC1"/>
    <w:rsid w:val="00426FB3"/>
    <w:rsid w:val="00427CEC"/>
    <w:rsid w:val="00433A20"/>
    <w:rsid w:val="00434053"/>
    <w:rsid w:val="0043593A"/>
    <w:rsid w:val="00436BDE"/>
    <w:rsid w:val="0043745A"/>
    <w:rsid w:val="00437FDA"/>
    <w:rsid w:val="004404D0"/>
    <w:rsid w:val="004415CA"/>
    <w:rsid w:val="00442A00"/>
    <w:rsid w:val="00443FF4"/>
    <w:rsid w:val="004443DA"/>
    <w:rsid w:val="00452951"/>
    <w:rsid w:val="00454312"/>
    <w:rsid w:val="00456193"/>
    <w:rsid w:val="00464958"/>
    <w:rsid w:val="00464A25"/>
    <w:rsid w:val="0046733A"/>
    <w:rsid w:val="00470D3E"/>
    <w:rsid w:val="004717C9"/>
    <w:rsid w:val="0047241B"/>
    <w:rsid w:val="00473738"/>
    <w:rsid w:val="00473D22"/>
    <w:rsid w:val="00475EA7"/>
    <w:rsid w:val="00476A20"/>
    <w:rsid w:val="00480A48"/>
    <w:rsid w:val="00480A9E"/>
    <w:rsid w:val="00481545"/>
    <w:rsid w:val="0048170A"/>
    <w:rsid w:val="00482387"/>
    <w:rsid w:val="00490174"/>
    <w:rsid w:val="004907F9"/>
    <w:rsid w:val="00496DD9"/>
    <w:rsid w:val="00497516"/>
    <w:rsid w:val="004A013F"/>
    <w:rsid w:val="004A18BB"/>
    <w:rsid w:val="004A2A4A"/>
    <w:rsid w:val="004A4296"/>
    <w:rsid w:val="004B0962"/>
    <w:rsid w:val="004B0D9D"/>
    <w:rsid w:val="004B24D4"/>
    <w:rsid w:val="004B295B"/>
    <w:rsid w:val="004B3A73"/>
    <w:rsid w:val="004B3C76"/>
    <w:rsid w:val="004B438D"/>
    <w:rsid w:val="004C43AD"/>
    <w:rsid w:val="004C589F"/>
    <w:rsid w:val="004C71ED"/>
    <w:rsid w:val="004D0449"/>
    <w:rsid w:val="004D0C97"/>
    <w:rsid w:val="004D1CBB"/>
    <w:rsid w:val="004D3F47"/>
    <w:rsid w:val="004E26F2"/>
    <w:rsid w:val="004E36DC"/>
    <w:rsid w:val="004E59E8"/>
    <w:rsid w:val="004F3FD6"/>
    <w:rsid w:val="004F530E"/>
    <w:rsid w:val="004F5622"/>
    <w:rsid w:val="004F570D"/>
    <w:rsid w:val="004F5FEB"/>
    <w:rsid w:val="004F60B6"/>
    <w:rsid w:val="004F6C40"/>
    <w:rsid w:val="00501373"/>
    <w:rsid w:val="00504BD7"/>
    <w:rsid w:val="00506F29"/>
    <w:rsid w:val="005121C4"/>
    <w:rsid w:val="0051313B"/>
    <w:rsid w:val="00513566"/>
    <w:rsid w:val="00513F9D"/>
    <w:rsid w:val="00515519"/>
    <w:rsid w:val="00515AB4"/>
    <w:rsid w:val="005164A8"/>
    <w:rsid w:val="00516914"/>
    <w:rsid w:val="005203DA"/>
    <w:rsid w:val="005236DC"/>
    <w:rsid w:val="0052535C"/>
    <w:rsid w:val="00534D99"/>
    <w:rsid w:val="00535E81"/>
    <w:rsid w:val="0054078A"/>
    <w:rsid w:val="00542D99"/>
    <w:rsid w:val="005552E2"/>
    <w:rsid w:val="00560ECF"/>
    <w:rsid w:val="00561510"/>
    <w:rsid w:val="00561A7B"/>
    <w:rsid w:val="005621EE"/>
    <w:rsid w:val="005632CD"/>
    <w:rsid w:val="00563317"/>
    <w:rsid w:val="00565B98"/>
    <w:rsid w:val="0056666E"/>
    <w:rsid w:val="00566FC5"/>
    <w:rsid w:val="00567C67"/>
    <w:rsid w:val="00572C0C"/>
    <w:rsid w:val="00575432"/>
    <w:rsid w:val="00576870"/>
    <w:rsid w:val="00576CA3"/>
    <w:rsid w:val="00583FE1"/>
    <w:rsid w:val="0058509A"/>
    <w:rsid w:val="005850A9"/>
    <w:rsid w:val="0058511F"/>
    <w:rsid w:val="005877DF"/>
    <w:rsid w:val="005906FD"/>
    <w:rsid w:val="00591584"/>
    <w:rsid w:val="005954AD"/>
    <w:rsid w:val="005956FF"/>
    <w:rsid w:val="00595EE4"/>
    <w:rsid w:val="0059745E"/>
    <w:rsid w:val="005A309A"/>
    <w:rsid w:val="005A4452"/>
    <w:rsid w:val="005A4836"/>
    <w:rsid w:val="005A5C49"/>
    <w:rsid w:val="005A6693"/>
    <w:rsid w:val="005B1F02"/>
    <w:rsid w:val="005B2437"/>
    <w:rsid w:val="005B61D1"/>
    <w:rsid w:val="005B705D"/>
    <w:rsid w:val="005B74E3"/>
    <w:rsid w:val="005B7A6D"/>
    <w:rsid w:val="005C00EF"/>
    <w:rsid w:val="005C0626"/>
    <w:rsid w:val="005C0829"/>
    <w:rsid w:val="005C2ACB"/>
    <w:rsid w:val="005C40EF"/>
    <w:rsid w:val="005C5FA0"/>
    <w:rsid w:val="005D20F9"/>
    <w:rsid w:val="005D3C6E"/>
    <w:rsid w:val="005E0289"/>
    <w:rsid w:val="005E05D3"/>
    <w:rsid w:val="005E3C71"/>
    <w:rsid w:val="005F15F9"/>
    <w:rsid w:val="005F18C3"/>
    <w:rsid w:val="005F19E8"/>
    <w:rsid w:val="005F1F20"/>
    <w:rsid w:val="005F3E0F"/>
    <w:rsid w:val="005F7095"/>
    <w:rsid w:val="0060037D"/>
    <w:rsid w:val="00600FEC"/>
    <w:rsid w:val="00601282"/>
    <w:rsid w:val="0060312B"/>
    <w:rsid w:val="006034B5"/>
    <w:rsid w:val="006047A2"/>
    <w:rsid w:val="006054EA"/>
    <w:rsid w:val="006068EF"/>
    <w:rsid w:val="00606E5B"/>
    <w:rsid w:val="0060739E"/>
    <w:rsid w:val="006149B2"/>
    <w:rsid w:val="00614E9F"/>
    <w:rsid w:val="00616741"/>
    <w:rsid w:val="006202BA"/>
    <w:rsid w:val="006208C1"/>
    <w:rsid w:val="00621234"/>
    <w:rsid w:val="00621828"/>
    <w:rsid w:val="006219DC"/>
    <w:rsid w:val="00624055"/>
    <w:rsid w:val="0062421D"/>
    <w:rsid w:val="00627758"/>
    <w:rsid w:val="00627B12"/>
    <w:rsid w:val="006352A9"/>
    <w:rsid w:val="00635648"/>
    <w:rsid w:val="0063667F"/>
    <w:rsid w:val="00641B8E"/>
    <w:rsid w:val="00642023"/>
    <w:rsid w:val="006421E1"/>
    <w:rsid w:val="00650946"/>
    <w:rsid w:val="00651FD5"/>
    <w:rsid w:val="0065215F"/>
    <w:rsid w:val="00652802"/>
    <w:rsid w:val="00653F17"/>
    <w:rsid w:val="006546DE"/>
    <w:rsid w:val="00654A9C"/>
    <w:rsid w:val="006553A1"/>
    <w:rsid w:val="006578A3"/>
    <w:rsid w:val="00662650"/>
    <w:rsid w:val="0067049A"/>
    <w:rsid w:val="00671A8D"/>
    <w:rsid w:val="006739D1"/>
    <w:rsid w:val="00682D69"/>
    <w:rsid w:val="006845CC"/>
    <w:rsid w:val="00684C7D"/>
    <w:rsid w:val="00685817"/>
    <w:rsid w:val="00686297"/>
    <w:rsid w:val="00692B2A"/>
    <w:rsid w:val="006949C9"/>
    <w:rsid w:val="00695CB1"/>
    <w:rsid w:val="006A3DE4"/>
    <w:rsid w:val="006B0606"/>
    <w:rsid w:val="006B14EC"/>
    <w:rsid w:val="006B212F"/>
    <w:rsid w:val="006B54EC"/>
    <w:rsid w:val="006B5A54"/>
    <w:rsid w:val="006B6AC6"/>
    <w:rsid w:val="006B6B49"/>
    <w:rsid w:val="006C1B8E"/>
    <w:rsid w:val="006D247E"/>
    <w:rsid w:val="006D2CD0"/>
    <w:rsid w:val="006D66E1"/>
    <w:rsid w:val="006D7036"/>
    <w:rsid w:val="006D7665"/>
    <w:rsid w:val="006E0A93"/>
    <w:rsid w:val="006E1AED"/>
    <w:rsid w:val="006E3927"/>
    <w:rsid w:val="006E636B"/>
    <w:rsid w:val="006E64EF"/>
    <w:rsid w:val="006F16B7"/>
    <w:rsid w:val="006F557C"/>
    <w:rsid w:val="00701861"/>
    <w:rsid w:val="00702669"/>
    <w:rsid w:val="00705C29"/>
    <w:rsid w:val="0071159A"/>
    <w:rsid w:val="007115C0"/>
    <w:rsid w:val="00712856"/>
    <w:rsid w:val="00713D67"/>
    <w:rsid w:val="00713F05"/>
    <w:rsid w:val="007155BB"/>
    <w:rsid w:val="0071669D"/>
    <w:rsid w:val="00724766"/>
    <w:rsid w:val="00724B80"/>
    <w:rsid w:val="00731D0C"/>
    <w:rsid w:val="00736950"/>
    <w:rsid w:val="00741AD1"/>
    <w:rsid w:val="00744EED"/>
    <w:rsid w:val="0074526B"/>
    <w:rsid w:val="00745964"/>
    <w:rsid w:val="007470F7"/>
    <w:rsid w:val="00747F3F"/>
    <w:rsid w:val="007515FC"/>
    <w:rsid w:val="0075503A"/>
    <w:rsid w:val="00765213"/>
    <w:rsid w:val="00765A92"/>
    <w:rsid w:val="007705CD"/>
    <w:rsid w:val="00773E21"/>
    <w:rsid w:val="007766A1"/>
    <w:rsid w:val="007770DB"/>
    <w:rsid w:val="00781C5D"/>
    <w:rsid w:val="00783F04"/>
    <w:rsid w:val="0078623A"/>
    <w:rsid w:val="007A0102"/>
    <w:rsid w:val="007A1654"/>
    <w:rsid w:val="007A1BE4"/>
    <w:rsid w:val="007A3A84"/>
    <w:rsid w:val="007A6A78"/>
    <w:rsid w:val="007A76A7"/>
    <w:rsid w:val="007B20D3"/>
    <w:rsid w:val="007B4ED5"/>
    <w:rsid w:val="007B7434"/>
    <w:rsid w:val="007C0A8D"/>
    <w:rsid w:val="007C44E4"/>
    <w:rsid w:val="007C4E8F"/>
    <w:rsid w:val="007C5753"/>
    <w:rsid w:val="007C7671"/>
    <w:rsid w:val="007D22FF"/>
    <w:rsid w:val="007D2D9D"/>
    <w:rsid w:val="007D4B82"/>
    <w:rsid w:val="007D5EBE"/>
    <w:rsid w:val="007D5F4D"/>
    <w:rsid w:val="007D61D7"/>
    <w:rsid w:val="007D6EEF"/>
    <w:rsid w:val="007D7B33"/>
    <w:rsid w:val="007E4246"/>
    <w:rsid w:val="007E53EA"/>
    <w:rsid w:val="007E61DC"/>
    <w:rsid w:val="007F2106"/>
    <w:rsid w:val="007F2587"/>
    <w:rsid w:val="007F7179"/>
    <w:rsid w:val="007F7507"/>
    <w:rsid w:val="00802F90"/>
    <w:rsid w:val="00806864"/>
    <w:rsid w:val="008137A1"/>
    <w:rsid w:val="008156A1"/>
    <w:rsid w:val="008202D1"/>
    <w:rsid w:val="00825BE9"/>
    <w:rsid w:val="008315A9"/>
    <w:rsid w:val="008339F8"/>
    <w:rsid w:val="00835EC3"/>
    <w:rsid w:val="008433BA"/>
    <w:rsid w:val="00846055"/>
    <w:rsid w:val="008473DF"/>
    <w:rsid w:val="00851504"/>
    <w:rsid w:val="00853161"/>
    <w:rsid w:val="00854DC1"/>
    <w:rsid w:val="008563DC"/>
    <w:rsid w:val="008571C4"/>
    <w:rsid w:val="00862B29"/>
    <w:rsid w:val="00863898"/>
    <w:rsid w:val="008672FE"/>
    <w:rsid w:val="00867C76"/>
    <w:rsid w:val="00871EAF"/>
    <w:rsid w:val="00872DF5"/>
    <w:rsid w:val="008735C5"/>
    <w:rsid w:val="00876D81"/>
    <w:rsid w:val="008772D4"/>
    <w:rsid w:val="00877C4D"/>
    <w:rsid w:val="00881190"/>
    <w:rsid w:val="0088328C"/>
    <w:rsid w:val="008837A2"/>
    <w:rsid w:val="00883EFB"/>
    <w:rsid w:val="008849DE"/>
    <w:rsid w:val="0088514D"/>
    <w:rsid w:val="008A086F"/>
    <w:rsid w:val="008A7282"/>
    <w:rsid w:val="008B41E1"/>
    <w:rsid w:val="008B5C32"/>
    <w:rsid w:val="008C02B2"/>
    <w:rsid w:val="008C207A"/>
    <w:rsid w:val="008C3C39"/>
    <w:rsid w:val="008C6AE9"/>
    <w:rsid w:val="008C7013"/>
    <w:rsid w:val="008C70A9"/>
    <w:rsid w:val="008D05F4"/>
    <w:rsid w:val="008D4620"/>
    <w:rsid w:val="008E03F9"/>
    <w:rsid w:val="008E0F53"/>
    <w:rsid w:val="008E12A3"/>
    <w:rsid w:val="008E24A5"/>
    <w:rsid w:val="008E263B"/>
    <w:rsid w:val="008E3139"/>
    <w:rsid w:val="008E3618"/>
    <w:rsid w:val="008E6315"/>
    <w:rsid w:val="008E7471"/>
    <w:rsid w:val="008F0E4C"/>
    <w:rsid w:val="008F12CC"/>
    <w:rsid w:val="008F66C5"/>
    <w:rsid w:val="00901433"/>
    <w:rsid w:val="009020E1"/>
    <w:rsid w:val="009057F2"/>
    <w:rsid w:val="009062CA"/>
    <w:rsid w:val="00910685"/>
    <w:rsid w:val="00913E89"/>
    <w:rsid w:val="00915388"/>
    <w:rsid w:val="009157B4"/>
    <w:rsid w:val="0092356A"/>
    <w:rsid w:val="009249E6"/>
    <w:rsid w:val="00927475"/>
    <w:rsid w:val="00930FA9"/>
    <w:rsid w:val="00935D20"/>
    <w:rsid w:val="00943BBD"/>
    <w:rsid w:val="00945100"/>
    <w:rsid w:val="0095320D"/>
    <w:rsid w:val="009558C8"/>
    <w:rsid w:val="00955BDA"/>
    <w:rsid w:val="009572E0"/>
    <w:rsid w:val="009573EF"/>
    <w:rsid w:val="0096392A"/>
    <w:rsid w:val="009671BB"/>
    <w:rsid w:val="009675BD"/>
    <w:rsid w:val="00973E28"/>
    <w:rsid w:val="009740E4"/>
    <w:rsid w:val="00974118"/>
    <w:rsid w:val="009748D1"/>
    <w:rsid w:val="00975B90"/>
    <w:rsid w:val="00976C52"/>
    <w:rsid w:val="009806F9"/>
    <w:rsid w:val="0098221C"/>
    <w:rsid w:val="00984E64"/>
    <w:rsid w:val="0099160F"/>
    <w:rsid w:val="00991CA6"/>
    <w:rsid w:val="009956B6"/>
    <w:rsid w:val="00996B25"/>
    <w:rsid w:val="009A06A2"/>
    <w:rsid w:val="009A1B26"/>
    <w:rsid w:val="009A434B"/>
    <w:rsid w:val="009A48E9"/>
    <w:rsid w:val="009A4E69"/>
    <w:rsid w:val="009A6FE9"/>
    <w:rsid w:val="009A7BED"/>
    <w:rsid w:val="009B1EC2"/>
    <w:rsid w:val="009B4014"/>
    <w:rsid w:val="009B498E"/>
    <w:rsid w:val="009B568A"/>
    <w:rsid w:val="009B78AD"/>
    <w:rsid w:val="009B7EEA"/>
    <w:rsid w:val="009D3097"/>
    <w:rsid w:val="009D31A4"/>
    <w:rsid w:val="009D365B"/>
    <w:rsid w:val="009D50D3"/>
    <w:rsid w:val="009D6F9B"/>
    <w:rsid w:val="009E01B6"/>
    <w:rsid w:val="009E0D20"/>
    <w:rsid w:val="009E2BFF"/>
    <w:rsid w:val="009E4077"/>
    <w:rsid w:val="009F0554"/>
    <w:rsid w:val="009F11F0"/>
    <w:rsid w:val="009F1BE9"/>
    <w:rsid w:val="009F3CD2"/>
    <w:rsid w:val="009F419F"/>
    <w:rsid w:val="009F4439"/>
    <w:rsid w:val="009F70A7"/>
    <w:rsid w:val="00A1162D"/>
    <w:rsid w:val="00A12D67"/>
    <w:rsid w:val="00A14778"/>
    <w:rsid w:val="00A1508C"/>
    <w:rsid w:val="00A16740"/>
    <w:rsid w:val="00A1712E"/>
    <w:rsid w:val="00A21A4E"/>
    <w:rsid w:val="00A2202F"/>
    <w:rsid w:val="00A22ED4"/>
    <w:rsid w:val="00A23092"/>
    <w:rsid w:val="00A238F1"/>
    <w:rsid w:val="00A256CB"/>
    <w:rsid w:val="00A274C8"/>
    <w:rsid w:val="00A32006"/>
    <w:rsid w:val="00A359BB"/>
    <w:rsid w:val="00A35B26"/>
    <w:rsid w:val="00A36B8A"/>
    <w:rsid w:val="00A37746"/>
    <w:rsid w:val="00A40018"/>
    <w:rsid w:val="00A40DBF"/>
    <w:rsid w:val="00A41560"/>
    <w:rsid w:val="00A41563"/>
    <w:rsid w:val="00A500F5"/>
    <w:rsid w:val="00A53331"/>
    <w:rsid w:val="00A54A0B"/>
    <w:rsid w:val="00A5777F"/>
    <w:rsid w:val="00A60A40"/>
    <w:rsid w:val="00A62026"/>
    <w:rsid w:val="00A64DF4"/>
    <w:rsid w:val="00A66F25"/>
    <w:rsid w:val="00A705D3"/>
    <w:rsid w:val="00A71B0C"/>
    <w:rsid w:val="00A730EE"/>
    <w:rsid w:val="00A746F9"/>
    <w:rsid w:val="00A75585"/>
    <w:rsid w:val="00A757C0"/>
    <w:rsid w:val="00A758C0"/>
    <w:rsid w:val="00A76026"/>
    <w:rsid w:val="00A77DEA"/>
    <w:rsid w:val="00A80AE4"/>
    <w:rsid w:val="00A837C4"/>
    <w:rsid w:val="00A8549B"/>
    <w:rsid w:val="00A86F61"/>
    <w:rsid w:val="00A96E9D"/>
    <w:rsid w:val="00A97541"/>
    <w:rsid w:val="00AA026A"/>
    <w:rsid w:val="00AA117E"/>
    <w:rsid w:val="00AA21B1"/>
    <w:rsid w:val="00AA5F73"/>
    <w:rsid w:val="00AA68AF"/>
    <w:rsid w:val="00AA6E48"/>
    <w:rsid w:val="00AB25FC"/>
    <w:rsid w:val="00AB38B7"/>
    <w:rsid w:val="00AB4BB9"/>
    <w:rsid w:val="00AB5229"/>
    <w:rsid w:val="00AB77F4"/>
    <w:rsid w:val="00AC0282"/>
    <w:rsid w:val="00AC0C39"/>
    <w:rsid w:val="00AC2812"/>
    <w:rsid w:val="00AC34C3"/>
    <w:rsid w:val="00AC463B"/>
    <w:rsid w:val="00AC5C34"/>
    <w:rsid w:val="00AD09CA"/>
    <w:rsid w:val="00AD1120"/>
    <w:rsid w:val="00AD1862"/>
    <w:rsid w:val="00AD476F"/>
    <w:rsid w:val="00AD62B6"/>
    <w:rsid w:val="00AE1F8E"/>
    <w:rsid w:val="00AE319A"/>
    <w:rsid w:val="00AF1089"/>
    <w:rsid w:val="00AF1A41"/>
    <w:rsid w:val="00AF4B6D"/>
    <w:rsid w:val="00B05C75"/>
    <w:rsid w:val="00B15D37"/>
    <w:rsid w:val="00B1744C"/>
    <w:rsid w:val="00B23F33"/>
    <w:rsid w:val="00B25892"/>
    <w:rsid w:val="00B27436"/>
    <w:rsid w:val="00B30E67"/>
    <w:rsid w:val="00B32957"/>
    <w:rsid w:val="00B37189"/>
    <w:rsid w:val="00B40986"/>
    <w:rsid w:val="00B40D2E"/>
    <w:rsid w:val="00B42C23"/>
    <w:rsid w:val="00B431B1"/>
    <w:rsid w:val="00B435B5"/>
    <w:rsid w:val="00B437E4"/>
    <w:rsid w:val="00B43E90"/>
    <w:rsid w:val="00B51C9E"/>
    <w:rsid w:val="00B52BBB"/>
    <w:rsid w:val="00B54BA6"/>
    <w:rsid w:val="00B60B45"/>
    <w:rsid w:val="00B60CFE"/>
    <w:rsid w:val="00B60DBC"/>
    <w:rsid w:val="00B615CB"/>
    <w:rsid w:val="00B6166A"/>
    <w:rsid w:val="00B62917"/>
    <w:rsid w:val="00B634AE"/>
    <w:rsid w:val="00B63794"/>
    <w:rsid w:val="00B63FE8"/>
    <w:rsid w:val="00B71815"/>
    <w:rsid w:val="00B77AD8"/>
    <w:rsid w:val="00B81813"/>
    <w:rsid w:val="00B83489"/>
    <w:rsid w:val="00B837D7"/>
    <w:rsid w:val="00B8456D"/>
    <w:rsid w:val="00B84B4C"/>
    <w:rsid w:val="00B878BA"/>
    <w:rsid w:val="00B90F62"/>
    <w:rsid w:val="00B929AA"/>
    <w:rsid w:val="00B93BBD"/>
    <w:rsid w:val="00B9655C"/>
    <w:rsid w:val="00BA18F2"/>
    <w:rsid w:val="00BA2F4A"/>
    <w:rsid w:val="00BA3C4D"/>
    <w:rsid w:val="00BA4B27"/>
    <w:rsid w:val="00BA6BAE"/>
    <w:rsid w:val="00BB2D1B"/>
    <w:rsid w:val="00BB2D5C"/>
    <w:rsid w:val="00BB3BAB"/>
    <w:rsid w:val="00BB3CFA"/>
    <w:rsid w:val="00BB4CB9"/>
    <w:rsid w:val="00BB5DA4"/>
    <w:rsid w:val="00BB7FBA"/>
    <w:rsid w:val="00BC16B3"/>
    <w:rsid w:val="00BC26BB"/>
    <w:rsid w:val="00BC26C0"/>
    <w:rsid w:val="00BC3AC6"/>
    <w:rsid w:val="00BC6A97"/>
    <w:rsid w:val="00BD072C"/>
    <w:rsid w:val="00BD1018"/>
    <w:rsid w:val="00BD1713"/>
    <w:rsid w:val="00BD2B3E"/>
    <w:rsid w:val="00BD2DEF"/>
    <w:rsid w:val="00BD6648"/>
    <w:rsid w:val="00BD6A45"/>
    <w:rsid w:val="00BF2F5E"/>
    <w:rsid w:val="00BF700B"/>
    <w:rsid w:val="00C04090"/>
    <w:rsid w:val="00C05578"/>
    <w:rsid w:val="00C06D5C"/>
    <w:rsid w:val="00C0726C"/>
    <w:rsid w:val="00C12CEC"/>
    <w:rsid w:val="00C13119"/>
    <w:rsid w:val="00C138F3"/>
    <w:rsid w:val="00C14BE0"/>
    <w:rsid w:val="00C14F1B"/>
    <w:rsid w:val="00C15955"/>
    <w:rsid w:val="00C22AF5"/>
    <w:rsid w:val="00C27B79"/>
    <w:rsid w:val="00C30DA6"/>
    <w:rsid w:val="00C31827"/>
    <w:rsid w:val="00C32D58"/>
    <w:rsid w:val="00C3725A"/>
    <w:rsid w:val="00C378E5"/>
    <w:rsid w:val="00C40E9C"/>
    <w:rsid w:val="00C4104F"/>
    <w:rsid w:val="00C43BF7"/>
    <w:rsid w:val="00C4401A"/>
    <w:rsid w:val="00C46964"/>
    <w:rsid w:val="00C472AB"/>
    <w:rsid w:val="00C477F7"/>
    <w:rsid w:val="00C54474"/>
    <w:rsid w:val="00C546B5"/>
    <w:rsid w:val="00C54A2F"/>
    <w:rsid w:val="00C62483"/>
    <w:rsid w:val="00C62688"/>
    <w:rsid w:val="00C6310D"/>
    <w:rsid w:val="00C6568E"/>
    <w:rsid w:val="00C731CC"/>
    <w:rsid w:val="00C740D5"/>
    <w:rsid w:val="00C743B4"/>
    <w:rsid w:val="00C80443"/>
    <w:rsid w:val="00C81992"/>
    <w:rsid w:val="00C83EAC"/>
    <w:rsid w:val="00C83EBC"/>
    <w:rsid w:val="00C861F6"/>
    <w:rsid w:val="00C874F1"/>
    <w:rsid w:val="00C87899"/>
    <w:rsid w:val="00C87FE8"/>
    <w:rsid w:val="00C92FCD"/>
    <w:rsid w:val="00C9549D"/>
    <w:rsid w:val="00C95CD5"/>
    <w:rsid w:val="00CA1726"/>
    <w:rsid w:val="00CA5AAF"/>
    <w:rsid w:val="00CA669E"/>
    <w:rsid w:val="00CA73CB"/>
    <w:rsid w:val="00CC1829"/>
    <w:rsid w:val="00CC21B0"/>
    <w:rsid w:val="00CC3104"/>
    <w:rsid w:val="00CD03BF"/>
    <w:rsid w:val="00CD75B0"/>
    <w:rsid w:val="00CE575C"/>
    <w:rsid w:val="00CE5F77"/>
    <w:rsid w:val="00CE61E2"/>
    <w:rsid w:val="00CF1132"/>
    <w:rsid w:val="00CF70F4"/>
    <w:rsid w:val="00CF72CB"/>
    <w:rsid w:val="00D035D0"/>
    <w:rsid w:val="00D04779"/>
    <w:rsid w:val="00D126A2"/>
    <w:rsid w:val="00D12F77"/>
    <w:rsid w:val="00D15DBB"/>
    <w:rsid w:val="00D160B7"/>
    <w:rsid w:val="00D16B1C"/>
    <w:rsid w:val="00D20E1D"/>
    <w:rsid w:val="00D21733"/>
    <w:rsid w:val="00D22869"/>
    <w:rsid w:val="00D31190"/>
    <w:rsid w:val="00D31FFA"/>
    <w:rsid w:val="00D348D8"/>
    <w:rsid w:val="00D34B03"/>
    <w:rsid w:val="00D36F82"/>
    <w:rsid w:val="00D448FC"/>
    <w:rsid w:val="00D463A0"/>
    <w:rsid w:val="00D47013"/>
    <w:rsid w:val="00D50903"/>
    <w:rsid w:val="00D511EE"/>
    <w:rsid w:val="00D55A82"/>
    <w:rsid w:val="00D6069B"/>
    <w:rsid w:val="00D6747F"/>
    <w:rsid w:val="00D7105B"/>
    <w:rsid w:val="00D71A83"/>
    <w:rsid w:val="00D71E08"/>
    <w:rsid w:val="00D72807"/>
    <w:rsid w:val="00D75B5E"/>
    <w:rsid w:val="00D76E80"/>
    <w:rsid w:val="00D77301"/>
    <w:rsid w:val="00D77C88"/>
    <w:rsid w:val="00D80D87"/>
    <w:rsid w:val="00D816FE"/>
    <w:rsid w:val="00D838A3"/>
    <w:rsid w:val="00D85609"/>
    <w:rsid w:val="00D876DB"/>
    <w:rsid w:val="00D9008B"/>
    <w:rsid w:val="00D94E5E"/>
    <w:rsid w:val="00D94ECE"/>
    <w:rsid w:val="00D953F3"/>
    <w:rsid w:val="00D96C89"/>
    <w:rsid w:val="00DA1D01"/>
    <w:rsid w:val="00DA2F35"/>
    <w:rsid w:val="00DA3829"/>
    <w:rsid w:val="00DA4D9B"/>
    <w:rsid w:val="00DA5BC6"/>
    <w:rsid w:val="00DA7D40"/>
    <w:rsid w:val="00DB0E21"/>
    <w:rsid w:val="00DB15F3"/>
    <w:rsid w:val="00DB7572"/>
    <w:rsid w:val="00DC112F"/>
    <w:rsid w:val="00DC1A2B"/>
    <w:rsid w:val="00DC493D"/>
    <w:rsid w:val="00DC5EA3"/>
    <w:rsid w:val="00DD29D5"/>
    <w:rsid w:val="00DD2D3E"/>
    <w:rsid w:val="00DD4704"/>
    <w:rsid w:val="00DD4EDE"/>
    <w:rsid w:val="00DD7F3F"/>
    <w:rsid w:val="00DE02B7"/>
    <w:rsid w:val="00DE07D6"/>
    <w:rsid w:val="00DE1057"/>
    <w:rsid w:val="00DE126D"/>
    <w:rsid w:val="00DE1693"/>
    <w:rsid w:val="00DE2CAD"/>
    <w:rsid w:val="00DF0AFF"/>
    <w:rsid w:val="00DF0CF0"/>
    <w:rsid w:val="00DF1007"/>
    <w:rsid w:val="00DF1473"/>
    <w:rsid w:val="00DF344A"/>
    <w:rsid w:val="00DF35CD"/>
    <w:rsid w:val="00DF7071"/>
    <w:rsid w:val="00E00739"/>
    <w:rsid w:val="00E01052"/>
    <w:rsid w:val="00E03801"/>
    <w:rsid w:val="00E15374"/>
    <w:rsid w:val="00E155B8"/>
    <w:rsid w:val="00E17B1F"/>
    <w:rsid w:val="00E17E86"/>
    <w:rsid w:val="00E211F0"/>
    <w:rsid w:val="00E245B8"/>
    <w:rsid w:val="00E26B83"/>
    <w:rsid w:val="00E30726"/>
    <w:rsid w:val="00E323BD"/>
    <w:rsid w:val="00E40783"/>
    <w:rsid w:val="00E4112E"/>
    <w:rsid w:val="00E42ECC"/>
    <w:rsid w:val="00E458F1"/>
    <w:rsid w:val="00E47D8B"/>
    <w:rsid w:val="00E501A4"/>
    <w:rsid w:val="00E526C7"/>
    <w:rsid w:val="00E5273E"/>
    <w:rsid w:val="00E52F43"/>
    <w:rsid w:val="00E562B9"/>
    <w:rsid w:val="00E56308"/>
    <w:rsid w:val="00E65686"/>
    <w:rsid w:val="00E67FBE"/>
    <w:rsid w:val="00E73B53"/>
    <w:rsid w:val="00E73C0C"/>
    <w:rsid w:val="00E76A2C"/>
    <w:rsid w:val="00E8195B"/>
    <w:rsid w:val="00E81998"/>
    <w:rsid w:val="00E90406"/>
    <w:rsid w:val="00E90855"/>
    <w:rsid w:val="00E91E50"/>
    <w:rsid w:val="00E926ED"/>
    <w:rsid w:val="00E92A65"/>
    <w:rsid w:val="00E936A6"/>
    <w:rsid w:val="00E96FEE"/>
    <w:rsid w:val="00E97846"/>
    <w:rsid w:val="00EA15F4"/>
    <w:rsid w:val="00EA4155"/>
    <w:rsid w:val="00EA5F2B"/>
    <w:rsid w:val="00EA60A7"/>
    <w:rsid w:val="00EA74AF"/>
    <w:rsid w:val="00EB4279"/>
    <w:rsid w:val="00EB4B8C"/>
    <w:rsid w:val="00EB7ABC"/>
    <w:rsid w:val="00EB7C76"/>
    <w:rsid w:val="00EC21EC"/>
    <w:rsid w:val="00EC2587"/>
    <w:rsid w:val="00ED0622"/>
    <w:rsid w:val="00ED536C"/>
    <w:rsid w:val="00ED5C34"/>
    <w:rsid w:val="00ED74F5"/>
    <w:rsid w:val="00ED7E43"/>
    <w:rsid w:val="00EE1EB5"/>
    <w:rsid w:val="00EE5A28"/>
    <w:rsid w:val="00EE6C70"/>
    <w:rsid w:val="00EF7145"/>
    <w:rsid w:val="00F0050A"/>
    <w:rsid w:val="00F02006"/>
    <w:rsid w:val="00F02B0F"/>
    <w:rsid w:val="00F05420"/>
    <w:rsid w:val="00F1237D"/>
    <w:rsid w:val="00F15425"/>
    <w:rsid w:val="00F20ADE"/>
    <w:rsid w:val="00F22524"/>
    <w:rsid w:val="00F227C7"/>
    <w:rsid w:val="00F23583"/>
    <w:rsid w:val="00F316BD"/>
    <w:rsid w:val="00F341A6"/>
    <w:rsid w:val="00F36965"/>
    <w:rsid w:val="00F4078E"/>
    <w:rsid w:val="00F42C6F"/>
    <w:rsid w:val="00F43F99"/>
    <w:rsid w:val="00F44919"/>
    <w:rsid w:val="00F4754B"/>
    <w:rsid w:val="00F50F18"/>
    <w:rsid w:val="00F55280"/>
    <w:rsid w:val="00F55F02"/>
    <w:rsid w:val="00F57D32"/>
    <w:rsid w:val="00F62939"/>
    <w:rsid w:val="00F65F67"/>
    <w:rsid w:val="00F71323"/>
    <w:rsid w:val="00F7310C"/>
    <w:rsid w:val="00F73540"/>
    <w:rsid w:val="00F746CA"/>
    <w:rsid w:val="00F75666"/>
    <w:rsid w:val="00F75AF0"/>
    <w:rsid w:val="00F75D55"/>
    <w:rsid w:val="00F80074"/>
    <w:rsid w:val="00F826E8"/>
    <w:rsid w:val="00F842B6"/>
    <w:rsid w:val="00F857D8"/>
    <w:rsid w:val="00F873FC"/>
    <w:rsid w:val="00F9288F"/>
    <w:rsid w:val="00F92F2B"/>
    <w:rsid w:val="00F947BF"/>
    <w:rsid w:val="00FA1336"/>
    <w:rsid w:val="00FA2BBA"/>
    <w:rsid w:val="00FA3151"/>
    <w:rsid w:val="00FA3C17"/>
    <w:rsid w:val="00FA3EC3"/>
    <w:rsid w:val="00FB0F3D"/>
    <w:rsid w:val="00FB468F"/>
    <w:rsid w:val="00FB66F9"/>
    <w:rsid w:val="00FB6F5C"/>
    <w:rsid w:val="00FB77E2"/>
    <w:rsid w:val="00FC0FC9"/>
    <w:rsid w:val="00FC5542"/>
    <w:rsid w:val="00FC5F06"/>
    <w:rsid w:val="00FC79C1"/>
    <w:rsid w:val="00FD029E"/>
    <w:rsid w:val="00FD1ED7"/>
    <w:rsid w:val="00FD51D1"/>
    <w:rsid w:val="00FD63F1"/>
    <w:rsid w:val="00FD797D"/>
    <w:rsid w:val="00FE006B"/>
    <w:rsid w:val="00FE2675"/>
    <w:rsid w:val="00FE2CF6"/>
    <w:rsid w:val="00FE795B"/>
    <w:rsid w:val="00FE7A65"/>
    <w:rsid w:val="00FF3C58"/>
    <w:rsid w:val="00FF76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A588"/>
  <w15:docId w15:val="{3CF75E4C-837B-44AB-908E-63E401EE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B0D9D"/>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Heading3">
    <w:name w:val="heading 3"/>
    <w:basedOn w:val="Normal"/>
    <w:next w:val="Normal"/>
    <w:link w:val="Heading3Char"/>
    <w:uiPriority w:val="9"/>
    <w:unhideWhenUsed/>
    <w:qFormat/>
    <w:rsid w:val="00213B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3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3F33"/>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23F33"/>
    <w:rPr>
      <w:rFonts w:ascii="Arial" w:eastAsia="Arial" w:hAnsi="Arial" w:cs="Arial"/>
      <w:sz w:val="24"/>
      <w:szCs w:val="24"/>
    </w:rPr>
  </w:style>
  <w:style w:type="paragraph" w:styleId="ListParagraph">
    <w:name w:val="List Paragraph"/>
    <w:basedOn w:val="Normal"/>
    <w:uiPriority w:val="34"/>
    <w:qFormat/>
    <w:rsid w:val="00B23F33"/>
    <w:pPr>
      <w:widowControl w:val="0"/>
      <w:autoSpaceDE w:val="0"/>
      <w:autoSpaceDN w:val="0"/>
      <w:spacing w:after="0" w:line="240" w:lineRule="auto"/>
      <w:ind w:left="1360" w:right="313" w:hanging="360"/>
    </w:pPr>
    <w:rPr>
      <w:rFonts w:ascii="Arial" w:eastAsia="Arial" w:hAnsi="Arial" w:cs="Arial"/>
    </w:rPr>
  </w:style>
  <w:style w:type="paragraph" w:styleId="FootnoteText">
    <w:name w:val="footnote text"/>
    <w:basedOn w:val="Normal"/>
    <w:link w:val="FootnoteTextChar"/>
    <w:uiPriority w:val="99"/>
    <w:unhideWhenUsed/>
    <w:rsid w:val="00927475"/>
    <w:pPr>
      <w:spacing w:after="0"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rsid w:val="00927475"/>
    <w:rPr>
      <w:rFonts w:ascii="Times New Roman" w:hAnsi="Times New Roman" w:cs="Times New Roman"/>
      <w:sz w:val="24"/>
      <w:szCs w:val="24"/>
    </w:rPr>
  </w:style>
  <w:style w:type="character" w:styleId="FootnoteReference">
    <w:name w:val="footnote reference"/>
    <w:basedOn w:val="DefaultParagraphFont"/>
    <w:uiPriority w:val="99"/>
    <w:unhideWhenUsed/>
    <w:rsid w:val="00927475"/>
    <w:rPr>
      <w:vertAlign w:val="superscript"/>
    </w:rPr>
  </w:style>
  <w:style w:type="character" w:styleId="Emphasis">
    <w:name w:val="Emphasis"/>
    <w:basedOn w:val="DefaultParagraphFont"/>
    <w:uiPriority w:val="20"/>
    <w:qFormat/>
    <w:rsid w:val="00927475"/>
    <w:rPr>
      <w:i/>
      <w:iCs/>
    </w:rPr>
  </w:style>
  <w:style w:type="character" w:styleId="Hyperlink">
    <w:name w:val="Hyperlink"/>
    <w:basedOn w:val="DefaultParagraphFont"/>
    <w:uiPriority w:val="99"/>
    <w:unhideWhenUsed/>
    <w:rsid w:val="00560ECF"/>
    <w:rPr>
      <w:color w:val="0000FF"/>
      <w:u w:val="single"/>
    </w:rPr>
  </w:style>
  <w:style w:type="character" w:customStyle="1" w:styleId="casename">
    <w:name w:val="case_name"/>
    <w:basedOn w:val="DefaultParagraphFont"/>
    <w:rsid w:val="00560ECF"/>
  </w:style>
  <w:style w:type="paragraph" w:styleId="BalloonText">
    <w:name w:val="Balloon Text"/>
    <w:basedOn w:val="Normal"/>
    <w:link w:val="BalloonTextChar"/>
    <w:uiPriority w:val="99"/>
    <w:semiHidden/>
    <w:unhideWhenUsed/>
    <w:rsid w:val="004C5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589F"/>
    <w:rPr>
      <w:rFonts w:ascii="Segoe UI" w:hAnsi="Segoe UI" w:cs="Segoe UI"/>
      <w:sz w:val="18"/>
      <w:szCs w:val="18"/>
    </w:rPr>
  </w:style>
  <w:style w:type="paragraph" w:customStyle="1" w:styleId="Default">
    <w:name w:val="Default"/>
    <w:rsid w:val="004C589F"/>
    <w:pPr>
      <w:autoSpaceDE w:val="0"/>
      <w:autoSpaceDN w:val="0"/>
      <w:adjustRightInd w:val="0"/>
      <w:spacing w:after="0" w:line="240" w:lineRule="auto"/>
    </w:pPr>
    <w:rPr>
      <w:rFonts w:ascii="Calibri" w:eastAsia="Calibri" w:hAnsi="Calibri" w:cs="Calibri"/>
      <w:color w:val="000000"/>
      <w:sz w:val="24"/>
      <w:szCs w:val="24"/>
      <w:lang w:bidi="he-IL"/>
    </w:rPr>
  </w:style>
  <w:style w:type="character" w:customStyle="1" w:styleId="apple-converted-space">
    <w:name w:val="apple-converted-space"/>
    <w:rsid w:val="00561510"/>
  </w:style>
  <w:style w:type="paragraph" w:styleId="Header">
    <w:name w:val="header"/>
    <w:basedOn w:val="Normal"/>
    <w:link w:val="HeaderChar"/>
    <w:uiPriority w:val="99"/>
    <w:unhideWhenUsed/>
    <w:rsid w:val="0061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9B2"/>
  </w:style>
  <w:style w:type="paragraph" w:styleId="Footer">
    <w:name w:val="footer"/>
    <w:basedOn w:val="Normal"/>
    <w:link w:val="FooterChar"/>
    <w:uiPriority w:val="99"/>
    <w:unhideWhenUsed/>
    <w:rsid w:val="0061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9B2"/>
  </w:style>
  <w:style w:type="paragraph" w:styleId="NormalWeb">
    <w:name w:val="Normal (Web)"/>
    <w:basedOn w:val="Normal"/>
    <w:uiPriority w:val="99"/>
    <w:unhideWhenUsed/>
    <w:rsid w:val="00B8456D"/>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254DD9"/>
    <w:rPr>
      <w:sz w:val="18"/>
      <w:szCs w:val="18"/>
    </w:rPr>
  </w:style>
  <w:style w:type="paragraph" w:styleId="CommentText">
    <w:name w:val="annotation text"/>
    <w:basedOn w:val="Normal"/>
    <w:link w:val="CommentTextChar"/>
    <w:uiPriority w:val="99"/>
    <w:unhideWhenUsed/>
    <w:rsid w:val="00254DD9"/>
    <w:pPr>
      <w:spacing w:line="240" w:lineRule="auto"/>
    </w:pPr>
    <w:rPr>
      <w:sz w:val="24"/>
      <w:szCs w:val="24"/>
    </w:rPr>
  </w:style>
  <w:style w:type="character" w:customStyle="1" w:styleId="CommentTextChar">
    <w:name w:val="Comment Text Char"/>
    <w:basedOn w:val="DefaultParagraphFont"/>
    <w:link w:val="CommentText"/>
    <w:uiPriority w:val="99"/>
    <w:rsid w:val="00254DD9"/>
    <w:rPr>
      <w:sz w:val="24"/>
      <w:szCs w:val="24"/>
    </w:rPr>
  </w:style>
  <w:style w:type="paragraph" w:styleId="CommentSubject">
    <w:name w:val="annotation subject"/>
    <w:basedOn w:val="CommentText"/>
    <w:next w:val="CommentText"/>
    <w:link w:val="CommentSubjectChar"/>
    <w:uiPriority w:val="99"/>
    <w:semiHidden/>
    <w:unhideWhenUsed/>
    <w:rsid w:val="00254DD9"/>
    <w:rPr>
      <w:b/>
      <w:bCs/>
      <w:sz w:val="20"/>
      <w:szCs w:val="20"/>
    </w:rPr>
  </w:style>
  <w:style w:type="character" w:customStyle="1" w:styleId="CommentSubjectChar">
    <w:name w:val="Comment Subject Char"/>
    <w:basedOn w:val="CommentTextChar"/>
    <w:link w:val="CommentSubject"/>
    <w:uiPriority w:val="99"/>
    <w:semiHidden/>
    <w:rsid w:val="00254DD9"/>
    <w:rPr>
      <w:b/>
      <w:bCs/>
      <w:sz w:val="20"/>
      <w:szCs w:val="20"/>
    </w:rPr>
  </w:style>
  <w:style w:type="character" w:styleId="FollowedHyperlink">
    <w:name w:val="FollowedHyperlink"/>
    <w:basedOn w:val="DefaultParagraphFont"/>
    <w:uiPriority w:val="99"/>
    <w:semiHidden/>
    <w:unhideWhenUsed/>
    <w:rsid w:val="004D0449"/>
    <w:rPr>
      <w:color w:val="954F72" w:themeColor="followedHyperlink"/>
      <w:u w:val="single"/>
    </w:rPr>
  </w:style>
  <w:style w:type="paragraph" w:styleId="Revision">
    <w:name w:val="Revision"/>
    <w:hidden/>
    <w:uiPriority w:val="99"/>
    <w:semiHidden/>
    <w:rsid w:val="00053B39"/>
    <w:pPr>
      <w:spacing w:after="0" w:line="240" w:lineRule="auto"/>
    </w:pPr>
  </w:style>
  <w:style w:type="character" w:customStyle="1" w:styleId="Heading2Char">
    <w:name w:val="Heading 2 Char"/>
    <w:basedOn w:val="DefaultParagraphFont"/>
    <w:link w:val="Heading2"/>
    <w:uiPriority w:val="9"/>
    <w:rsid w:val="004B0D9D"/>
    <w:rPr>
      <w:rFonts w:ascii="Times New Roman" w:eastAsia="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213B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13B60"/>
    <w:rPr>
      <w:rFonts w:asciiTheme="majorHAnsi" w:eastAsiaTheme="majorEastAsia" w:hAnsiTheme="majorHAnsi" w:cstheme="majorBidi"/>
      <w:i/>
      <w:iCs/>
      <w:color w:val="2F5496" w:themeColor="accent1" w:themeShade="BF"/>
    </w:rPr>
  </w:style>
  <w:style w:type="character" w:customStyle="1" w:styleId="cosmallcaps">
    <w:name w:val="co_smallcaps"/>
    <w:basedOn w:val="DefaultParagraphFont"/>
    <w:rsid w:val="00D7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03731">
      <w:bodyDiv w:val="1"/>
      <w:marLeft w:val="0"/>
      <w:marRight w:val="0"/>
      <w:marTop w:val="0"/>
      <w:marBottom w:val="0"/>
      <w:divBdr>
        <w:top w:val="none" w:sz="0" w:space="0" w:color="auto"/>
        <w:left w:val="none" w:sz="0" w:space="0" w:color="auto"/>
        <w:bottom w:val="none" w:sz="0" w:space="0" w:color="auto"/>
        <w:right w:val="none" w:sz="0" w:space="0" w:color="auto"/>
      </w:divBdr>
    </w:div>
    <w:div w:id="810096424">
      <w:bodyDiv w:val="1"/>
      <w:marLeft w:val="0"/>
      <w:marRight w:val="0"/>
      <w:marTop w:val="0"/>
      <w:marBottom w:val="0"/>
      <w:divBdr>
        <w:top w:val="none" w:sz="0" w:space="0" w:color="auto"/>
        <w:left w:val="none" w:sz="0" w:space="0" w:color="auto"/>
        <w:bottom w:val="none" w:sz="0" w:space="0" w:color="auto"/>
        <w:right w:val="none" w:sz="0" w:space="0" w:color="auto"/>
      </w:divBdr>
    </w:div>
    <w:div w:id="995494779">
      <w:bodyDiv w:val="1"/>
      <w:marLeft w:val="0"/>
      <w:marRight w:val="0"/>
      <w:marTop w:val="0"/>
      <w:marBottom w:val="0"/>
      <w:divBdr>
        <w:top w:val="none" w:sz="0" w:space="0" w:color="auto"/>
        <w:left w:val="none" w:sz="0" w:space="0" w:color="auto"/>
        <w:bottom w:val="none" w:sz="0" w:space="0" w:color="auto"/>
        <w:right w:val="none" w:sz="0" w:space="0" w:color="auto"/>
      </w:divBdr>
    </w:div>
    <w:div w:id="1169563273">
      <w:bodyDiv w:val="1"/>
      <w:marLeft w:val="0"/>
      <w:marRight w:val="0"/>
      <w:marTop w:val="0"/>
      <w:marBottom w:val="0"/>
      <w:divBdr>
        <w:top w:val="none" w:sz="0" w:space="0" w:color="auto"/>
        <w:left w:val="none" w:sz="0" w:space="0" w:color="auto"/>
        <w:bottom w:val="none" w:sz="0" w:space="0" w:color="auto"/>
        <w:right w:val="none" w:sz="0" w:space="0" w:color="auto"/>
      </w:divBdr>
    </w:div>
    <w:div w:id="1674523981">
      <w:bodyDiv w:val="1"/>
      <w:marLeft w:val="0"/>
      <w:marRight w:val="0"/>
      <w:marTop w:val="0"/>
      <w:marBottom w:val="0"/>
      <w:divBdr>
        <w:top w:val="none" w:sz="0" w:space="0" w:color="auto"/>
        <w:left w:val="none" w:sz="0" w:space="0" w:color="auto"/>
        <w:bottom w:val="none" w:sz="0" w:space="0" w:color="auto"/>
        <w:right w:val="none" w:sz="0" w:space="0" w:color="auto"/>
      </w:divBdr>
    </w:div>
    <w:div w:id="195185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prospect.org/article/task-rabbit-economy" TargetMode="External"/><Relationship Id="rId3" Type="http://schemas.openxmlformats.org/officeDocument/2006/relationships/hyperlink" Target="https://www.ftc.gov/system/files/documents/reports/sharing-economy-issues-facing-platforms-participants-regulators-federal-trade-commission-staff/p151200_ftc_staff_report_on_the_sharing_economy.pdf" TargetMode="External"/><Relationship Id="rId7" Type="http://schemas.openxmlformats.org/officeDocument/2006/relationships/hyperlink" Target="https://www.curbed.com/2017/6/14/15803138/austin-uber-lyft-transportation-ride-hailing-return" TargetMode="External"/><Relationship Id="rId12" Type="http://schemas.openxmlformats.org/officeDocument/2006/relationships/hyperlink" Target="https://www.forbes.com/forbes/welcome/?toURL=https://www.forbes.com/sites/ronhirson/2015/03/23/uber-the-big-data-company/&amp;refURL=&amp;referrer" TargetMode="External"/><Relationship Id="rId2" Type="http://schemas.openxmlformats.org/officeDocument/2006/relationships/hyperlink" Target="http://www.cnbc.com/2017/03/09/airbnb-closes-1-billion-round-31-billion-valuation-profitable.html" TargetMode="External"/><Relationship Id="rId1" Type="http://schemas.openxmlformats.org/officeDocument/2006/relationships/hyperlink" Target="https://www.forbes.com/sites/bernardmarr/2016/10/21/the-sharing-economy-what-it-is-examples-and-how-big-data-platforms-and-algorithms-fuel/" TargetMode="External"/><Relationship Id="rId6" Type="http://schemas.openxmlformats.org/officeDocument/2006/relationships/hyperlink" Target="https://www.cnbc.com/2016/08/18/what-happened-in-austin-after-uber-and-lyft-got-up-and-left.html" TargetMode="External"/><Relationship Id="rId11" Type="http://schemas.openxmlformats.org/officeDocument/2006/relationships/hyperlink" Target="http://pwc.blogs.com/press_room/2014/08/five-key-sharing-economy-sectors-could-generate-9-billion-of-uk-revenues-by-2025.html" TargetMode="External"/><Relationship Id="rId5" Type="http://schemas.openxmlformats.org/officeDocument/2006/relationships/hyperlink" Target="http://web2.westlaw.com/find/default.wl?rs=WLW8.01&amp;serialnum=0101617287&amp;fn=_top&amp;sv=Split&amp;tc=-1&amp;findtype=Y&amp;tf=-1&amp;db=1282&amp;vr=2.0&amp;rp=%2ffind%2fdefault.wl&amp;mt=LawSchoolPractitioner" TargetMode="External"/><Relationship Id="rId10" Type="http://schemas.openxmlformats.org/officeDocument/2006/relationships/hyperlink" Target="https://www.bloomberg.com/news/articles/2016-06-20/city-mayors-worldwide-forge-alliance-in-response-to-airbnb-uber" TargetMode="External"/><Relationship Id="rId4" Type="http://schemas.openxmlformats.org/officeDocument/2006/relationships/hyperlink" Target="http://www.huffingtonpost.com/entry/online-talent-platforms_us_55a03545e4b0b8145f72ccf6?ncid=engmodushpmg00000004" TargetMode="External"/><Relationship Id="rId9" Type="http://schemas.openxmlformats.org/officeDocument/2006/relationships/hyperlink" Target="https://www.bloomberglaw.com/product/tech/document/X3AHG5DC000000?bc=W1siU2VhcmNoIFJlc3VsdHMiLCIvcHJvZHVjdC90ZWNoL3NlYXJjaC9yZXN1bHRzLzQ3MjdiNjMxNzY5Yjc5YzI4MmZkY2Y5MzU2OThmNWNhIl1d--6936480fbc7404c45fb15622a09a57e695085dd1&amp;search32=OyPRDY_N1BIJpQQMy18fSQ%3D%3D1f4diVk3bl_NuJsG2lNr7AHooApJAhdIrpV_qGd8lvpfE-J7cbkchphhq0g6aB-FLdDjKSvgtgVPuvpxDVtZELuW60xgC-Ff5SDJc3KEk2p3W0SZ12kvXg04t0cSpb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D695CDE7-C91E-4D9B-BF3E-82C67338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5078</Words>
  <Characters>28592</Characters>
  <Application>Microsoft Office Word</Application>
  <DocSecurity>0</DocSecurity>
  <Lines>402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lobel@sandiego.edu</dc:creator>
  <cp:lastModifiedBy>Orly</cp:lastModifiedBy>
  <cp:revision>2</cp:revision>
  <cp:lastPrinted>2017-09-06T20:36:00Z</cp:lastPrinted>
  <dcterms:created xsi:type="dcterms:W3CDTF">2019-01-17T21:56:00Z</dcterms:created>
  <dcterms:modified xsi:type="dcterms:W3CDTF">2019-01-17T21:56:00Z</dcterms:modified>
</cp:coreProperties>
</file>