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057C9" w14:textId="77777777" w:rsidR="001A7682" w:rsidRPr="004347C9" w:rsidRDefault="001A7682" w:rsidP="00E50B7A">
      <w:pPr>
        <w:spacing w:line="480" w:lineRule="auto"/>
        <w:jc w:val="center"/>
        <w:outlineLvl w:val="0"/>
        <w:rPr>
          <w:rFonts w:ascii="Times" w:hAnsi="Times"/>
        </w:rPr>
      </w:pPr>
      <w:bookmarkStart w:id="0" w:name="_GoBack"/>
      <w:bookmarkEnd w:id="0"/>
      <w:r w:rsidRPr="004347C9">
        <w:rPr>
          <w:rFonts w:ascii="Times" w:hAnsi="Times"/>
        </w:rPr>
        <w:t>Familiality of Gender Nonconformity Among Homosexual Men</w:t>
      </w:r>
    </w:p>
    <w:p w14:paraId="2979DE71" w14:textId="56D50349" w:rsidR="001A7682" w:rsidRPr="000C55EE" w:rsidRDefault="000F4906" w:rsidP="00A36216">
      <w:pPr>
        <w:spacing w:line="480" w:lineRule="auto"/>
        <w:outlineLvl w:val="0"/>
        <w:rPr>
          <w:rFonts w:ascii="Times" w:hAnsi="Times"/>
          <w:b/>
        </w:rPr>
      </w:pPr>
      <w:r w:rsidRPr="000C55EE">
        <w:rPr>
          <w:rFonts w:ascii="Times" w:hAnsi="Times"/>
          <w:b/>
        </w:rPr>
        <w:t>Abstract</w:t>
      </w:r>
    </w:p>
    <w:p w14:paraId="00B2DB63" w14:textId="1DE34E1F" w:rsidR="001A7682" w:rsidRDefault="005C4C0C" w:rsidP="00535727">
      <w:pPr>
        <w:spacing w:line="480" w:lineRule="auto"/>
        <w:rPr>
          <w:rFonts w:ascii="Times" w:hAnsi="Times"/>
        </w:rPr>
      </w:pPr>
      <w:r>
        <w:rPr>
          <w:rFonts w:ascii="Times" w:hAnsi="Times"/>
        </w:rPr>
        <w:t xml:space="preserve">Gender nonconformity–both in childhood and in adulthood–is a strong correlate of male sexual orientation, with homosexual men showing greater gender nonconformity during </w:t>
      </w:r>
      <w:r w:rsidR="004008C5">
        <w:rPr>
          <w:rFonts w:ascii="Times" w:hAnsi="Times"/>
        </w:rPr>
        <w:t xml:space="preserve">both periods. Gender nonconformity also tends to be markedly variable, with some </w:t>
      </w:r>
      <w:r w:rsidR="00D3530E">
        <w:rPr>
          <w:rFonts w:ascii="Times" w:hAnsi="Times"/>
        </w:rPr>
        <w:t xml:space="preserve">homosexual men </w:t>
      </w:r>
      <w:r w:rsidR="004008C5">
        <w:rPr>
          <w:rFonts w:ascii="Times" w:hAnsi="Times"/>
        </w:rPr>
        <w:t xml:space="preserve">being </w:t>
      </w:r>
      <w:r w:rsidR="00D3530E">
        <w:rPr>
          <w:rFonts w:ascii="Times" w:hAnsi="Times"/>
        </w:rPr>
        <w:t xml:space="preserve">more </w:t>
      </w:r>
      <w:r w:rsidR="004008C5">
        <w:rPr>
          <w:rFonts w:ascii="Times" w:hAnsi="Times"/>
        </w:rPr>
        <w:t>feminine</w:t>
      </w:r>
      <w:r w:rsidR="00D3530E">
        <w:rPr>
          <w:rFonts w:ascii="Times" w:hAnsi="Times"/>
        </w:rPr>
        <w:t>, or less masculine,</w:t>
      </w:r>
      <w:r w:rsidR="004008C5">
        <w:rPr>
          <w:rFonts w:ascii="Times" w:hAnsi="Times"/>
        </w:rPr>
        <w:t xml:space="preserve"> </w:t>
      </w:r>
      <w:r w:rsidR="00D3530E">
        <w:rPr>
          <w:rFonts w:ascii="Times" w:hAnsi="Times"/>
        </w:rPr>
        <w:t xml:space="preserve">than </w:t>
      </w:r>
      <w:r w:rsidR="004008C5">
        <w:rPr>
          <w:rFonts w:ascii="Times" w:hAnsi="Times"/>
        </w:rPr>
        <w:t>others.</w:t>
      </w:r>
      <w:r w:rsidR="00A903AF">
        <w:rPr>
          <w:rFonts w:ascii="Times" w:hAnsi="Times"/>
        </w:rPr>
        <w:t xml:space="preserve"> We replicated large differences in self-reported childhood and adult gender nonconformity between homosexual and heterosexual men. Subsequently, we examined the extent to which homosexual men’s variation in gender nonconformity runs in families by examining pairs of </w:t>
      </w:r>
      <w:r w:rsidR="00EF5E96">
        <w:rPr>
          <w:rFonts w:ascii="Times" w:hAnsi="Times"/>
        </w:rPr>
        <w:t xml:space="preserve">genetic </w:t>
      </w:r>
      <w:r w:rsidR="00A903AF">
        <w:rPr>
          <w:rFonts w:ascii="Times" w:hAnsi="Times"/>
        </w:rPr>
        <w:t>brothers</w:t>
      </w:r>
      <w:r w:rsidR="000F7798">
        <w:rPr>
          <w:rFonts w:ascii="Times" w:hAnsi="Times"/>
        </w:rPr>
        <w:t xml:space="preserve"> who were either</w:t>
      </w:r>
      <w:r w:rsidR="00A903AF">
        <w:rPr>
          <w:rFonts w:ascii="Times" w:hAnsi="Times"/>
        </w:rPr>
        <w:t xml:space="preserve"> both homosexual </w:t>
      </w:r>
      <w:r w:rsidR="008E0679">
        <w:rPr>
          <w:rFonts w:ascii="Times" w:hAnsi="Times"/>
        </w:rPr>
        <w:t xml:space="preserve">(concordant pairs) </w:t>
      </w:r>
      <w:r w:rsidR="000F7798">
        <w:rPr>
          <w:rFonts w:ascii="Times" w:hAnsi="Times"/>
        </w:rPr>
        <w:t>or</w:t>
      </w:r>
      <w:r w:rsidR="00A903AF">
        <w:rPr>
          <w:rFonts w:ascii="Times" w:hAnsi="Times"/>
        </w:rPr>
        <w:t xml:space="preserve"> had </w:t>
      </w:r>
      <w:r w:rsidR="008E0679">
        <w:rPr>
          <w:rFonts w:ascii="Times" w:hAnsi="Times"/>
        </w:rPr>
        <w:t>different</w:t>
      </w:r>
      <w:r w:rsidR="00A903AF">
        <w:rPr>
          <w:rFonts w:ascii="Times" w:hAnsi="Times"/>
        </w:rPr>
        <w:t xml:space="preserve"> sexual orientation</w:t>
      </w:r>
      <w:r w:rsidR="008E0679">
        <w:rPr>
          <w:rFonts w:ascii="Times" w:hAnsi="Times"/>
        </w:rPr>
        <w:t>s (discordant pairs)</w:t>
      </w:r>
      <w:r w:rsidR="00A903AF">
        <w:rPr>
          <w:rFonts w:ascii="Times" w:hAnsi="Times"/>
        </w:rPr>
        <w:t xml:space="preserve">. </w:t>
      </w:r>
      <w:r w:rsidR="006C308F">
        <w:rPr>
          <w:rFonts w:ascii="Times" w:hAnsi="Times"/>
        </w:rPr>
        <w:t xml:space="preserve">Both </w:t>
      </w:r>
      <w:r w:rsidR="000F7798">
        <w:rPr>
          <w:rFonts w:ascii="Times" w:hAnsi="Times"/>
        </w:rPr>
        <w:t>concordant and discordant pairs</w:t>
      </w:r>
      <w:r w:rsidR="006C308F">
        <w:rPr>
          <w:rFonts w:ascii="Times" w:hAnsi="Times"/>
        </w:rPr>
        <w:t xml:space="preserve"> yielded modest positive correlations consistent with </w:t>
      </w:r>
      <w:r w:rsidR="005138D5">
        <w:rPr>
          <w:rFonts w:ascii="Times" w:hAnsi="Times"/>
        </w:rPr>
        <w:t xml:space="preserve">moderate </w:t>
      </w:r>
      <w:r w:rsidR="006C308F">
        <w:rPr>
          <w:rFonts w:ascii="Times" w:hAnsi="Times"/>
        </w:rPr>
        <w:t xml:space="preserve">genetic and/or familial environmental effects on gender nonconformity. </w:t>
      </w:r>
      <w:r w:rsidR="00415682">
        <w:rPr>
          <w:rFonts w:ascii="Times" w:hAnsi="Times"/>
        </w:rPr>
        <w:t xml:space="preserve">Our results support the feasibility of supplementing genetic studies of male sexual orientation with analyses of gender nonconformity variation. </w:t>
      </w:r>
    </w:p>
    <w:p w14:paraId="42E77751" w14:textId="2B8E67F2" w:rsidR="000C55EE" w:rsidRPr="002A4F85" w:rsidRDefault="000C55EE" w:rsidP="000C55EE">
      <w:pPr>
        <w:widowControl w:val="0"/>
        <w:spacing w:line="480" w:lineRule="auto"/>
      </w:pPr>
      <w:r w:rsidRPr="00117E84">
        <w:rPr>
          <w:b/>
        </w:rPr>
        <w:t>KEY WORDS:</w:t>
      </w:r>
      <w:r>
        <w:t xml:space="preserve"> sexual orientation; homosexuality; gender nonconformity; familiality; genetics</w:t>
      </w:r>
    </w:p>
    <w:p w14:paraId="492F9EAF" w14:textId="77777777" w:rsidR="000C55EE" w:rsidRPr="004347C9" w:rsidRDefault="000C55EE" w:rsidP="00535727">
      <w:pPr>
        <w:spacing w:line="480" w:lineRule="auto"/>
        <w:rPr>
          <w:rFonts w:ascii="Times" w:hAnsi="Times"/>
        </w:rPr>
      </w:pPr>
    </w:p>
    <w:p w14:paraId="68971165" w14:textId="77777777" w:rsidR="001A7682" w:rsidRPr="004347C9" w:rsidRDefault="001A7682" w:rsidP="000F4906">
      <w:pPr>
        <w:spacing w:line="480" w:lineRule="auto"/>
        <w:rPr>
          <w:rFonts w:ascii="Times" w:hAnsi="Times"/>
        </w:rPr>
      </w:pPr>
    </w:p>
    <w:p w14:paraId="068344E2" w14:textId="77777777" w:rsidR="001A7682" w:rsidRPr="004347C9" w:rsidRDefault="001A7682" w:rsidP="000F4906">
      <w:pPr>
        <w:spacing w:line="480" w:lineRule="auto"/>
        <w:rPr>
          <w:rFonts w:ascii="Times" w:hAnsi="Times"/>
        </w:rPr>
      </w:pPr>
    </w:p>
    <w:p w14:paraId="74F65456" w14:textId="77777777" w:rsidR="001A7682" w:rsidRPr="004347C9" w:rsidRDefault="001A7682" w:rsidP="000F4906">
      <w:pPr>
        <w:spacing w:line="480" w:lineRule="auto"/>
        <w:rPr>
          <w:rFonts w:ascii="Times" w:hAnsi="Times"/>
        </w:rPr>
      </w:pPr>
    </w:p>
    <w:p w14:paraId="290E56F6" w14:textId="77777777" w:rsidR="001A7682" w:rsidRPr="004347C9" w:rsidRDefault="001A7682" w:rsidP="000F4906">
      <w:pPr>
        <w:spacing w:line="480" w:lineRule="auto"/>
        <w:rPr>
          <w:rFonts w:ascii="Times" w:hAnsi="Times"/>
        </w:rPr>
      </w:pPr>
    </w:p>
    <w:p w14:paraId="262AEE9D" w14:textId="77777777" w:rsidR="000F4906" w:rsidRDefault="000F4906">
      <w:pPr>
        <w:rPr>
          <w:rFonts w:ascii="Times" w:hAnsi="Times"/>
        </w:rPr>
      </w:pPr>
      <w:r>
        <w:rPr>
          <w:rFonts w:ascii="Times" w:hAnsi="Times"/>
        </w:rPr>
        <w:br w:type="page"/>
      </w:r>
    </w:p>
    <w:p w14:paraId="74AD5FD5" w14:textId="77777777" w:rsidR="000C55EE" w:rsidRPr="00CB0D20" w:rsidRDefault="000C55EE" w:rsidP="000C55EE">
      <w:pPr>
        <w:widowControl w:val="0"/>
        <w:spacing w:line="480" w:lineRule="auto"/>
        <w:rPr>
          <w:b/>
        </w:rPr>
      </w:pPr>
      <w:r>
        <w:rPr>
          <w:b/>
        </w:rPr>
        <w:lastRenderedPageBreak/>
        <w:t>INTRODUCTION</w:t>
      </w:r>
    </w:p>
    <w:p w14:paraId="17EDCE1D" w14:textId="75F36BE8" w:rsidR="001A7682" w:rsidRPr="004347C9" w:rsidRDefault="001A7682" w:rsidP="000C55EE">
      <w:pPr>
        <w:spacing w:line="480" w:lineRule="auto"/>
        <w:ind w:firstLine="720"/>
        <w:rPr>
          <w:rFonts w:ascii="Times" w:hAnsi="Times"/>
        </w:rPr>
      </w:pPr>
      <w:r w:rsidRPr="004347C9">
        <w:rPr>
          <w:rFonts w:ascii="Times" w:hAnsi="Times"/>
        </w:rPr>
        <w:t xml:space="preserve">Gender nonconformity is </w:t>
      </w:r>
      <w:r w:rsidR="00094CDF">
        <w:rPr>
          <w:rFonts w:ascii="Times" w:hAnsi="Times"/>
        </w:rPr>
        <w:t>one of</w:t>
      </w:r>
      <w:r w:rsidR="00094CDF" w:rsidRPr="004347C9">
        <w:rPr>
          <w:rFonts w:ascii="Times" w:hAnsi="Times"/>
        </w:rPr>
        <w:t xml:space="preserve"> </w:t>
      </w:r>
      <w:r w:rsidRPr="004347C9">
        <w:rPr>
          <w:rFonts w:ascii="Times" w:hAnsi="Times"/>
        </w:rPr>
        <w:t>the strongest correlate</w:t>
      </w:r>
      <w:r w:rsidR="00316EFA">
        <w:rPr>
          <w:rFonts w:ascii="Times" w:hAnsi="Times"/>
        </w:rPr>
        <w:t>s</w:t>
      </w:r>
      <w:r w:rsidRPr="004347C9">
        <w:rPr>
          <w:rFonts w:ascii="Times" w:hAnsi="Times"/>
        </w:rPr>
        <w:t xml:space="preserve"> of </w:t>
      </w:r>
      <w:r w:rsidR="00D82442">
        <w:rPr>
          <w:rFonts w:ascii="Times" w:hAnsi="Times"/>
        </w:rPr>
        <w:t>homosexuality</w:t>
      </w:r>
      <w:r w:rsidRPr="004347C9">
        <w:rPr>
          <w:rFonts w:ascii="Times" w:hAnsi="Times"/>
        </w:rPr>
        <w:t>, especially among males</w:t>
      </w:r>
      <w:r w:rsidR="00263565">
        <w:rPr>
          <w:rFonts w:ascii="Times" w:hAnsi="Times"/>
        </w:rPr>
        <w:t xml:space="preserve"> (Bailey, Vasey, Diamond, Breedlove, Vilain, &amp; Eprecht, 2016)</w:t>
      </w:r>
      <w:r w:rsidR="004B544A" w:rsidRPr="004347C9">
        <w:rPr>
          <w:rFonts w:ascii="Times" w:hAnsi="Times"/>
        </w:rPr>
        <w:t xml:space="preserve">. </w:t>
      </w:r>
      <w:r w:rsidR="00DB2525" w:rsidRPr="004347C9">
        <w:rPr>
          <w:rFonts w:ascii="Times" w:hAnsi="Times"/>
        </w:rPr>
        <w:t xml:space="preserve">Robust sexual orientation differences in childhood gender nonconformity have been established in both prospective and retrospective studies (Bailey &amp; Zucker, 1995). </w:t>
      </w:r>
      <w:r w:rsidR="00E371BE" w:rsidRPr="004347C9">
        <w:rPr>
          <w:rFonts w:ascii="Times" w:hAnsi="Times"/>
        </w:rPr>
        <w:t>These</w:t>
      </w:r>
      <w:r w:rsidR="0034105D" w:rsidRPr="004347C9">
        <w:rPr>
          <w:rFonts w:ascii="Times" w:hAnsi="Times"/>
        </w:rPr>
        <w:t xml:space="preserve"> differences occur quite early</w:t>
      </w:r>
      <w:r w:rsidR="00E371BE" w:rsidRPr="004347C9">
        <w:rPr>
          <w:rFonts w:ascii="Times" w:hAnsi="Times"/>
        </w:rPr>
        <w:t xml:space="preserve"> and often persist into adulthood</w:t>
      </w:r>
      <w:r w:rsidR="00263565" w:rsidRPr="004347C9" w:rsidDel="00263565">
        <w:rPr>
          <w:rFonts w:ascii="Times" w:hAnsi="Times"/>
        </w:rPr>
        <w:t xml:space="preserve"> </w:t>
      </w:r>
      <w:r w:rsidR="00DB2525" w:rsidRPr="004347C9">
        <w:rPr>
          <w:rFonts w:ascii="Times" w:hAnsi="Times"/>
        </w:rPr>
        <w:t>(Bailey</w:t>
      </w:r>
      <w:r w:rsidR="00263565">
        <w:rPr>
          <w:rFonts w:ascii="Times" w:hAnsi="Times"/>
        </w:rPr>
        <w:t xml:space="preserve"> et al.</w:t>
      </w:r>
      <w:r w:rsidR="00DB2525" w:rsidRPr="004347C9">
        <w:rPr>
          <w:rFonts w:ascii="Times" w:hAnsi="Times"/>
        </w:rPr>
        <w:t xml:space="preserve">, 2016; </w:t>
      </w:r>
      <w:r w:rsidR="00316EFA">
        <w:rPr>
          <w:rFonts w:ascii="Times" w:hAnsi="Times"/>
        </w:rPr>
        <w:t xml:space="preserve">Li, Kung, &amp; Hines, 2017; </w:t>
      </w:r>
      <w:r w:rsidR="00DB2525" w:rsidRPr="004347C9">
        <w:rPr>
          <w:rFonts w:ascii="Times" w:hAnsi="Times"/>
        </w:rPr>
        <w:t xml:space="preserve">Lippa, 2005; </w:t>
      </w:r>
      <w:r w:rsidR="00316EFA">
        <w:rPr>
          <w:rFonts w:ascii="Times" w:hAnsi="Times" w:cs="Arial"/>
          <w:color w:val="222222"/>
          <w:shd w:val="clear" w:color="auto" w:fill="FFFFFF"/>
        </w:rPr>
        <w:t xml:space="preserve">Rieger, Linsenmeier, Gygax, &amp; Bailey, 2008; </w:t>
      </w:r>
      <w:r w:rsidR="00DB2525" w:rsidRPr="004347C9">
        <w:rPr>
          <w:rFonts w:ascii="Times" w:hAnsi="Times"/>
        </w:rPr>
        <w:t>Rieger, Linsenmeier, Gygax, Garcia, &amp; Bailey, 2010)</w:t>
      </w:r>
      <w:r w:rsidR="00E371BE" w:rsidRPr="004347C9">
        <w:rPr>
          <w:rFonts w:ascii="Times" w:hAnsi="Times"/>
        </w:rPr>
        <w:t xml:space="preserve">. </w:t>
      </w:r>
    </w:p>
    <w:p w14:paraId="1908DBCB" w14:textId="16F41E89" w:rsidR="00DB2525" w:rsidRPr="004347C9" w:rsidRDefault="00DB2525" w:rsidP="000F4906">
      <w:pPr>
        <w:spacing w:line="480" w:lineRule="auto"/>
        <w:rPr>
          <w:rFonts w:ascii="Times" w:hAnsi="Times"/>
        </w:rPr>
      </w:pPr>
      <w:r w:rsidRPr="004347C9">
        <w:rPr>
          <w:rFonts w:ascii="Times" w:hAnsi="Times"/>
        </w:rPr>
        <w:tab/>
      </w:r>
      <w:r w:rsidR="00625932" w:rsidRPr="004347C9">
        <w:rPr>
          <w:rFonts w:ascii="Times" w:hAnsi="Times"/>
        </w:rPr>
        <w:t xml:space="preserve">Although homosexual men tend to be more gender nonconforming than heterosexual men, </w:t>
      </w:r>
      <w:r w:rsidR="00BB027D">
        <w:rPr>
          <w:rFonts w:ascii="Times" w:hAnsi="Times"/>
        </w:rPr>
        <w:t>there is considerable variation within both groups, with substantial overlap</w:t>
      </w:r>
      <w:r w:rsidR="00625932" w:rsidRPr="004347C9">
        <w:rPr>
          <w:rFonts w:ascii="Times" w:hAnsi="Times"/>
        </w:rPr>
        <w:t xml:space="preserve">. </w:t>
      </w:r>
      <w:r w:rsidR="004C17DC" w:rsidRPr="004347C9">
        <w:rPr>
          <w:rFonts w:ascii="Times" w:hAnsi="Times"/>
        </w:rPr>
        <w:t>Furthermore, the</w:t>
      </w:r>
      <w:r w:rsidR="004B544A" w:rsidRPr="004347C9">
        <w:rPr>
          <w:rFonts w:ascii="Times" w:hAnsi="Times"/>
        </w:rPr>
        <w:t xml:space="preserve"> variance among </w:t>
      </w:r>
      <w:r w:rsidR="004C17DC" w:rsidRPr="004347C9">
        <w:rPr>
          <w:rFonts w:ascii="Times" w:hAnsi="Times"/>
        </w:rPr>
        <w:t>homosexual men’s retrospectively reported childhood gender nonconformity greatly exceeds that of heterosexual men’s (Bailey &amp; Zucker, 1995)</w:t>
      </w:r>
      <w:r w:rsidR="004B544A" w:rsidRPr="004347C9">
        <w:rPr>
          <w:rFonts w:ascii="Times" w:hAnsi="Times"/>
        </w:rPr>
        <w:t xml:space="preserve">. </w:t>
      </w:r>
      <w:r w:rsidR="00316EFA">
        <w:rPr>
          <w:rFonts w:ascii="Times" w:hAnsi="Times"/>
        </w:rPr>
        <w:t>T</w:t>
      </w:r>
      <w:r w:rsidR="00316EFA" w:rsidRPr="004347C9">
        <w:rPr>
          <w:rFonts w:ascii="Times" w:hAnsi="Times"/>
        </w:rPr>
        <w:t xml:space="preserve">he </w:t>
      </w:r>
      <w:r w:rsidR="004B544A" w:rsidRPr="004347C9">
        <w:rPr>
          <w:rFonts w:ascii="Times" w:hAnsi="Times"/>
        </w:rPr>
        <w:t xml:space="preserve">validity of </w:t>
      </w:r>
      <w:r w:rsidR="00BB027D">
        <w:rPr>
          <w:rFonts w:ascii="Times" w:hAnsi="Times"/>
        </w:rPr>
        <w:t>homosexual</w:t>
      </w:r>
      <w:r w:rsidR="00BB027D" w:rsidRPr="004347C9">
        <w:rPr>
          <w:rFonts w:ascii="Times" w:hAnsi="Times"/>
        </w:rPr>
        <w:t xml:space="preserve"> </w:t>
      </w:r>
      <w:r w:rsidR="008D363B" w:rsidRPr="004347C9">
        <w:rPr>
          <w:rFonts w:ascii="Times" w:hAnsi="Times"/>
        </w:rPr>
        <w:t xml:space="preserve">men’s differing childhood </w:t>
      </w:r>
      <w:r w:rsidR="007A06C9" w:rsidRPr="004347C9">
        <w:rPr>
          <w:rFonts w:ascii="Times" w:hAnsi="Times"/>
        </w:rPr>
        <w:t>memories</w:t>
      </w:r>
      <w:r w:rsidR="008D363B" w:rsidRPr="004347C9">
        <w:rPr>
          <w:rFonts w:ascii="Times" w:hAnsi="Times"/>
        </w:rPr>
        <w:t xml:space="preserve">–with some </w:t>
      </w:r>
      <w:r w:rsidR="007A06C9" w:rsidRPr="004347C9">
        <w:rPr>
          <w:rFonts w:ascii="Times" w:hAnsi="Times"/>
        </w:rPr>
        <w:t xml:space="preserve">reporting that they were </w:t>
      </w:r>
      <w:r w:rsidR="006E2217">
        <w:rPr>
          <w:rFonts w:ascii="Times" w:hAnsi="Times"/>
        </w:rPr>
        <w:t>very</w:t>
      </w:r>
      <w:r w:rsidR="006E2217" w:rsidRPr="004347C9">
        <w:rPr>
          <w:rFonts w:ascii="Times" w:hAnsi="Times"/>
        </w:rPr>
        <w:t xml:space="preserve"> </w:t>
      </w:r>
      <w:r w:rsidR="008D363B" w:rsidRPr="004347C9">
        <w:rPr>
          <w:rFonts w:ascii="Times" w:hAnsi="Times"/>
        </w:rPr>
        <w:t xml:space="preserve">feminine and others </w:t>
      </w:r>
      <w:r w:rsidR="007A06C9" w:rsidRPr="004347C9">
        <w:rPr>
          <w:rFonts w:ascii="Times" w:hAnsi="Times"/>
        </w:rPr>
        <w:t xml:space="preserve">reporting that they were </w:t>
      </w:r>
      <w:r w:rsidR="008D363B" w:rsidRPr="004347C9">
        <w:rPr>
          <w:rFonts w:ascii="Times" w:hAnsi="Times"/>
        </w:rPr>
        <w:t xml:space="preserve">typically masculine–was supported by a study in which both mothers and their </w:t>
      </w:r>
      <w:r w:rsidR="006E2217">
        <w:rPr>
          <w:rFonts w:ascii="Times" w:hAnsi="Times"/>
        </w:rPr>
        <w:t>homosexual</w:t>
      </w:r>
      <w:r w:rsidR="006E2217" w:rsidRPr="004347C9">
        <w:rPr>
          <w:rFonts w:ascii="Times" w:hAnsi="Times"/>
        </w:rPr>
        <w:t xml:space="preserve"> </w:t>
      </w:r>
      <w:r w:rsidR="008D363B" w:rsidRPr="004347C9">
        <w:rPr>
          <w:rFonts w:ascii="Times" w:hAnsi="Times"/>
        </w:rPr>
        <w:t xml:space="preserve">sons recalled the sons’ childhood behavior. The correlation </w:t>
      </w:r>
      <w:r w:rsidR="007A06C9" w:rsidRPr="004347C9">
        <w:rPr>
          <w:rFonts w:ascii="Times" w:hAnsi="Times"/>
        </w:rPr>
        <w:t>between mothers’ and sons’</w:t>
      </w:r>
      <w:r w:rsidR="008D363B" w:rsidRPr="004347C9">
        <w:rPr>
          <w:rFonts w:ascii="Times" w:hAnsi="Times"/>
        </w:rPr>
        <w:t xml:space="preserve"> memories was .69</w:t>
      </w:r>
      <w:r w:rsidR="004B544A" w:rsidRPr="004347C9">
        <w:rPr>
          <w:rFonts w:ascii="Times" w:hAnsi="Times"/>
        </w:rPr>
        <w:t xml:space="preserve"> (Bai</w:t>
      </w:r>
      <w:r w:rsidR="008D2CF0" w:rsidRPr="004347C9">
        <w:rPr>
          <w:rFonts w:ascii="Times" w:hAnsi="Times"/>
        </w:rPr>
        <w:t xml:space="preserve">ley, Nothnagel, &amp; Wolfe, 1995). </w:t>
      </w:r>
      <w:r w:rsidR="00EC5F31" w:rsidRPr="004347C9">
        <w:rPr>
          <w:rFonts w:ascii="Times" w:hAnsi="Times"/>
        </w:rPr>
        <w:t xml:space="preserve">Adult gender nonconformity also tends to vary more among homosexual than among heterosexual </w:t>
      </w:r>
      <w:r w:rsidR="00415CE0">
        <w:rPr>
          <w:rFonts w:ascii="Times" w:hAnsi="Times"/>
        </w:rPr>
        <w:t xml:space="preserve">men </w:t>
      </w:r>
      <w:r w:rsidR="008D2CF0" w:rsidRPr="004347C9">
        <w:rPr>
          <w:rFonts w:ascii="Times" w:hAnsi="Times"/>
        </w:rPr>
        <w:t xml:space="preserve">(Rieger et al., 2010). </w:t>
      </w:r>
    </w:p>
    <w:p w14:paraId="03E4C980" w14:textId="5E3F41CF" w:rsidR="005B1185" w:rsidRPr="004347C9" w:rsidRDefault="00C76BE0" w:rsidP="000F4906">
      <w:pPr>
        <w:spacing w:line="480" w:lineRule="auto"/>
        <w:rPr>
          <w:rFonts w:ascii="Times" w:hAnsi="Times"/>
        </w:rPr>
      </w:pPr>
      <w:r w:rsidRPr="004347C9">
        <w:rPr>
          <w:rFonts w:ascii="Times" w:hAnsi="Times"/>
        </w:rPr>
        <w:tab/>
      </w:r>
      <w:r w:rsidR="00BB027D">
        <w:rPr>
          <w:rFonts w:ascii="Times" w:hAnsi="Times"/>
        </w:rPr>
        <w:t>Group d</w:t>
      </w:r>
      <w:r w:rsidR="00BB027D" w:rsidRPr="004347C9">
        <w:rPr>
          <w:rFonts w:ascii="Times" w:hAnsi="Times"/>
        </w:rPr>
        <w:t>ifferences</w:t>
      </w:r>
      <w:r w:rsidRPr="004347C9">
        <w:rPr>
          <w:rFonts w:ascii="Times" w:hAnsi="Times"/>
        </w:rPr>
        <w:t xml:space="preserve"> in gender nonconformity between homosexual and heterosexual men have strongly influenced theories of the origins of sexual orientation (Bailey et al.</w:t>
      </w:r>
      <w:r w:rsidR="000826B1" w:rsidRPr="004347C9">
        <w:rPr>
          <w:rFonts w:ascii="Times" w:hAnsi="Times"/>
        </w:rPr>
        <w:t xml:space="preserve">, 2016). In contrast, the fact that homosexual men are </w:t>
      </w:r>
      <w:r w:rsidR="006E2217">
        <w:rPr>
          <w:rFonts w:ascii="Times" w:hAnsi="Times"/>
        </w:rPr>
        <w:t>substantially</w:t>
      </w:r>
      <w:r w:rsidR="006E2217" w:rsidRPr="004347C9">
        <w:rPr>
          <w:rFonts w:ascii="Times" w:hAnsi="Times"/>
        </w:rPr>
        <w:t xml:space="preserve"> </w:t>
      </w:r>
      <w:r w:rsidR="000826B1" w:rsidRPr="004347C9">
        <w:rPr>
          <w:rFonts w:ascii="Times" w:hAnsi="Times"/>
        </w:rPr>
        <w:t xml:space="preserve">variable in their degree of </w:t>
      </w:r>
      <w:r w:rsidR="00B96630" w:rsidRPr="004347C9">
        <w:rPr>
          <w:rFonts w:ascii="Times" w:hAnsi="Times"/>
        </w:rPr>
        <w:t xml:space="preserve">gender nonconformity has received little scientific attention. </w:t>
      </w:r>
      <w:r w:rsidR="00EC5F31" w:rsidRPr="004347C9">
        <w:rPr>
          <w:rFonts w:ascii="Times" w:hAnsi="Times"/>
        </w:rPr>
        <w:t>At least three different</w:t>
      </w:r>
      <w:r w:rsidR="009303E3">
        <w:rPr>
          <w:rFonts w:ascii="Times" w:hAnsi="Times"/>
        </w:rPr>
        <w:t xml:space="preserve"> (but not mutually exclusive)</w:t>
      </w:r>
      <w:r w:rsidR="009303E3" w:rsidRPr="004347C9">
        <w:rPr>
          <w:rFonts w:ascii="Times" w:hAnsi="Times"/>
        </w:rPr>
        <w:t xml:space="preserve"> </w:t>
      </w:r>
      <w:r w:rsidR="00EC5F31" w:rsidRPr="004347C9">
        <w:rPr>
          <w:rFonts w:ascii="Times" w:hAnsi="Times"/>
        </w:rPr>
        <w:t xml:space="preserve">explanations of the within-orientation variation </w:t>
      </w:r>
      <w:r w:rsidR="00727593" w:rsidRPr="004347C9">
        <w:rPr>
          <w:rFonts w:ascii="Times" w:hAnsi="Times"/>
        </w:rPr>
        <w:t xml:space="preserve">in gender nonconformity </w:t>
      </w:r>
      <w:r w:rsidR="00EC5F31" w:rsidRPr="004347C9">
        <w:rPr>
          <w:rFonts w:ascii="Times" w:hAnsi="Times"/>
        </w:rPr>
        <w:t xml:space="preserve">are </w:t>
      </w:r>
      <w:r w:rsidR="00727593" w:rsidRPr="004347C9">
        <w:rPr>
          <w:rFonts w:ascii="Times" w:hAnsi="Times"/>
        </w:rPr>
        <w:lastRenderedPageBreak/>
        <w:t>plausible</w:t>
      </w:r>
      <w:r w:rsidR="00EC5F31" w:rsidRPr="004347C9">
        <w:rPr>
          <w:rFonts w:ascii="Times" w:hAnsi="Times"/>
        </w:rPr>
        <w:t xml:space="preserve">. First, the variation may reflect etiologic heterogeneity. That is, there may be different </w:t>
      </w:r>
      <w:r w:rsidR="00263565">
        <w:rPr>
          <w:rFonts w:ascii="Times" w:hAnsi="Times"/>
        </w:rPr>
        <w:t>causal pathways to</w:t>
      </w:r>
      <w:r w:rsidR="00EC5F31" w:rsidRPr="004347C9">
        <w:rPr>
          <w:rFonts w:ascii="Times" w:hAnsi="Times"/>
        </w:rPr>
        <w:t xml:space="preserve"> male homosexuality, and </w:t>
      </w:r>
      <w:r w:rsidR="00263565">
        <w:rPr>
          <w:rFonts w:ascii="Times" w:hAnsi="Times"/>
        </w:rPr>
        <w:t>these</w:t>
      </w:r>
      <w:r w:rsidR="00EC5F31" w:rsidRPr="004347C9">
        <w:rPr>
          <w:rFonts w:ascii="Times" w:hAnsi="Times"/>
        </w:rPr>
        <w:t xml:space="preserve"> may vary in the degree to which gender nonconformity </w:t>
      </w:r>
      <w:r w:rsidR="00263565">
        <w:rPr>
          <w:rFonts w:ascii="Times" w:hAnsi="Times"/>
        </w:rPr>
        <w:t>co</w:t>
      </w:r>
      <w:r w:rsidR="00EC5F31" w:rsidRPr="004347C9">
        <w:rPr>
          <w:rFonts w:ascii="Times" w:hAnsi="Times"/>
        </w:rPr>
        <w:t>occurs</w:t>
      </w:r>
      <w:r w:rsidR="00263565">
        <w:rPr>
          <w:rFonts w:ascii="Times" w:hAnsi="Times"/>
        </w:rPr>
        <w:t xml:space="preserve"> with it</w:t>
      </w:r>
      <w:r w:rsidR="00EC5F31" w:rsidRPr="004347C9">
        <w:rPr>
          <w:rFonts w:ascii="Times" w:hAnsi="Times"/>
        </w:rPr>
        <w:t xml:space="preserve">. Second, </w:t>
      </w:r>
      <w:r w:rsidR="00835637" w:rsidRPr="004347C9">
        <w:rPr>
          <w:rFonts w:ascii="Times" w:hAnsi="Times"/>
        </w:rPr>
        <w:t>it</w:t>
      </w:r>
      <w:r w:rsidR="00EC5F31" w:rsidRPr="004347C9">
        <w:rPr>
          <w:rFonts w:ascii="Times" w:hAnsi="Times"/>
        </w:rPr>
        <w:t xml:space="preserve"> may reflect a dosage effect, with greater gender nonconformity </w:t>
      </w:r>
      <w:r w:rsidR="00791E80" w:rsidRPr="004347C9">
        <w:rPr>
          <w:rFonts w:ascii="Times" w:hAnsi="Times"/>
        </w:rPr>
        <w:t>reflecting a higher dose of relevant causal factors</w:t>
      </w:r>
      <w:r w:rsidR="002D5533">
        <w:rPr>
          <w:rFonts w:ascii="Times" w:hAnsi="Times"/>
        </w:rPr>
        <w:t>,</w:t>
      </w:r>
      <w:r w:rsidR="00BB027D">
        <w:rPr>
          <w:rFonts w:ascii="Times" w:hAnsi="Times"/>
        </w:rPr>
        <w:t xml:space="preserve"> such as</w:t>
      </w:r>
      <w:r w:rsidR="002D5533">
        <w:rPr>
          <w:rFonts w:ascii="Times" w:hAnsi="Times"/>
        </w:rPr>
        <w:t xml:space="preserve"> </w:t>
      </w:r>
      <w:r w:rsidR="00BB027D">
        <w:rPr>
          <w:rFonts w:ascii="Times" w:hAnsi="Times"/>
        </w:rPr>
        <w:t xml:space="preserve">genetic variants that </w:t>
      </w:r>
      <w:r w:rsidR="00791E80" w:rsidRPr="004347C9">
        <w:rPr>
          <w:rFonts w:ascii="Times" w:hAnsi="Times"/>
        </w:rPr>
        <w:t xml:space="preserve">contribute to </w:t>
      </w:r>
      <w:r w:rsidR="00263565">
        <w:rPr>
          <w:rFonts w:ascii="Times" w:hAnsi="Times"/>
        </w:rPr>
        <w:t>homosexuality</w:t>
      </w:r>
      <w:r w:rsidR="00791E80" w:rsidRPr="004347C9">
        <w:rPr>
          <w:rFonts w:ascii="Times" w:hAnsi="Times"/>
        </w:rPr>
        <w:t xml:space="preserve">. </w:t>
      </w:r>
      <w:r w:rsidR="009303E3">
        <w:rPr>
          <w:rFonts w:ascii="Times" w:hAnsi="Times"/>
        </w:rPr>
        <w:t xml:space="preserve">(This would not necessarily imply that </w:t>
      </w:r>
      <w:r w:rsidR="00EB7930">
        <w:rPr>
          <w:rFonts w:ascii="Times" w:hAnsi="Times"/>
        </w:rPr>
        <w:t xml:space="preserve">homosexual men with less gender nonconformity are more bisexual than men with more gender nonconformity.) </w:t>
      </w:r>
      <w:r w:rsidR="00791E80" w:rsidRPr="004347C9">
        <w:rPr>
          <w:rFonts w:ascii="Times" w:hAnsi="Times"/>
        </w:rPr>
        <w:t xml:space="preserve">Third, </w:t>
      </w:r>
      <w:r w:rsidR="00835637" w:rsidRPr="004347C9">
        <w:rPr>
          <w:rFonts w:ascii="Times" w:hAnsi="Times"/>
        </w:rPr>
        <w:t>it</w:t>
      </w:r>
      <w:r w:rsidR="00791E80" w:rsidRPr="004347C9">
        <w:rPr>
          <w:rFonts w:ascii="Times" w:hAnsi="Times"/>
        </w:rPr>
        <w:t xml:space="preserve"> could reflect variation in developmental </w:t>
      </w:r>
      <w:r w:rsidR="00835637" w:rsidRPr="004347C9">
        <w:rPr>
          <w:rFonts w:ascii="Times" w:hAnsi="Times"/>
        </w:rPr>
        <w:t xml:space="preserve">timing of </w:t>
      </w:r>
      <w:r w:rsidR="00D32DCD" w:rsidRPr="004347C9">
        <w:rPr>
          <w:rFonts w:ascii="Times" w:hAnsi="Times"/>
        </w:rPr>
        <w:t>factors that cause homosexuality. For example, if</w:t>
      </w:r>
      <w:r w:rsidR="00D019B8">
        <w:rPr>
          <w:rFonts w:ascii="Times" w:hAnsi="Times"/>
        </w:rPr>
        <w:t xml:space="preserve"> some males</w:t>
      </w:r>
      <w:r w:rsidR="00BB027D">
        <w:rPr>
          <w:rFonts w:ascii="Times" w:hAnsi="Times"/>
        </w:rPr>
        <w:t xml:space="preserve"> have </w:t>
      </w:r>
      <w:r w:rsidR="009C6D61">
        <w:rPr>
          <w:rFonts w:ascii="Times" w:hAnsi="Times"/>
        </w:rPr>
        <w:t xml:space="preserve">contributory </w:t>
      </w:r>
      <w:r w:rsidR="00BB027D">
        <w:rPr>
          <w:rFonts w:ascii="Times" w:hAnsi="Times"/>
        </w:rPr>
        <w:t>hormonal events that persist long enough</w:t>
      </w:r>
      <w:r w:rsidR="009C6D61">
        <w:rPr>
          <w:rFonts w:ascii="Times" w:hAnsi="Times"/>
        </w:rPr>
        <w:t xml:space="preserve"> during neurodevelopment</w:t>
      </w:r>
      <w:r w:rsidR="00BB027D">
        <w:rPr>
          <w:rFonts w:ascii="Times" w:hAnsi="Times"/>
        </w:rPr>
        <w:t xml:space="preserve"> to </w:t>
      </w:r>
      <w:r w:rsidR="009C6D61">
        <w:rPr>
          <w:rFonts w:ascii="Times" w:hAnsi="Times"/>
        </w:rPr>
        <w:t>influence</w:t>
      </w:r>
      <w:r w:rsidR="00BB027D">
        <w:rPr>
          <w:rFonts w:ascii="Times" w:hAnsi="Times"/>
        </w:rPr>
        <w:t xml:space="preserve"> differentiation of both sexual orientation and gender-typical behavior,</w:t>
      </w:r>
      <w:r w:rsidR="00D32DCD" w:rsidRPr="004347C9">
        <w:rPr>
          <w:rFonts w:ascii="Times" w:hAnsi="Times"/>
        </w:rPr>
        <w:t xml:space="preserve"> </w:t>
      </w:r>
      <w:r w:rsidR="00D019B8">
        <w:rPr>
          <w:rFonts w:ascii="Times" w:hAnsi="Times"/>
        </w:rPr>
        <w:t>but for</w:t>
      </w:r>
      <w:r w:rsidR="00D019B8" w:rsidRPr="004347C9">
        <w:rPr>
          <w:rFonts w:ascii="Times" w:hAnsi="Times"/>
        </w:rPr>
        <w:t xml:space="preserve"> </w:t>
      </w:r>
      <w:r w:rsidR="00F0740E">
        <w:rPr>
          <w:rFonts w:ascii="Times" w:hAnsi="Times"/>
        </w:rPr>
        <w:t xml:space="preserve">other </w:t>
      </w:r>
      <w:r w:rsidR="00D019B8">
        <w:rPr>
          <w:rFonts w:ascii="Times" w:hAnsi="Times"/>
        </w:rPr>
        <w:t>males</w:t>
      </w:r>
      <w:r w:rsidR="00D019B8" w:rsidRPr="004347C9">
        <w:rPr>
          <w:rFonts w:ascii="Times" w:hAnsi="Times"/>
        </w:rPr>
        <w:t xml:space="preserve"> </w:t>
      </w:r>
      <w:r w:rsidR="002D5533">
        <w:rPr>
          <w:rFonts w:ascii="Times" w:hAnsi="Times"/>
        </w:rPr>
        <w:t xml:space="preserve">the factors </w:t>
      </w:r>
      <w:r w:rsidR="00BB027D">
        <w:rPr>
          <w:rFonts w:ascii="Times" w:hAnsi="Times"/>
        </w:rPr>
        <w:t>are more temporally circumscribed,</w:t>
      </w:r>
      <w:r w:rsidR="002D5533">
        <w:rPr>
          <w:rFonts w:ascii="Times" w:hAnsi="Times"/>
        </w:rPr>
        <w:t xml:space="preserve"> </w:t>
      </w:r>
      <w:r w:rsidR="00D32DCD" w:rsidRPr="004347C9">
        <w:rPr>
          <w:rFonts w:ascii="Times" w:hAnsi="Times"/>
        </w:rPr>
        <w:t xml:space="preserve">this would result in gender nonconformity variation among </w:t>
      </w:r>
      <w:r w:rsidR="009C6D61">
        <w:rPr>
          <w:rFonts w:ascii="Times" w:hAnsi="Times"/>
        </w:rPr>
        <w:t xml:space="preserve">homosexual </w:t>
      </w:r>
      <w:r w:rsidR="00D32DCD" w:rsidRPr="004347C9">
        <w:rPr>
          <w:rFonts w:ascii="Times" w:hAnsi="Times"/>
        </w:rPr>
        <w:t xml:space="preserve">males. </w:t>
      </w:r>
      <w:r w:rsidR="0064081A">
        <w:rPr>
          <w:rFonts w:ascii="Times" w:hAnsi="Times"/>
        </w:rPr>
        <w:t xml:space="preserve">All three of these hypotheses </w:t>
      </w:r>
      <w:r w:rsidR="000423F0">
        <w:rPr>
          <w:rFonts w:ascii="Times" w:hAnsi="Times"/>
        </w:rPr>
        <w:t>would be</w:t>
      </w:r>
      <w:r w:rsidR="0064081A">
        <w:rPr>
          <w:rFonts w:ascii="Times" w:hAnsi="Times"/>
        </w:rPr>
        <w:t xml:space="preserve"> </w:t>
      </w:r>
      <w:r w:rsidR="000423F0">
        <w:rPr>
          <w:rFonts w:ascii="Times" w:hAnsi="Times"/>
        </w:rPr>
        <w:t>important</w:t>
      </w:r>
      <w:r w:rsidR="0064081A">
        <w:rPr>
          <w:rFonts w:ascii="Times" w:hAnsi="Times"/>
        </w:rPr>
        <w:t xml:space="preserve"> </w:t>
      </w:r>
      <w:r w:rsidR="000423F0">
        <w:rPr>
          <w:rFonts w:ascii="Times" w:hAnsi="Times"/>
        </w:rPr>
        <w:t xml:space="preserve">if confirmed, </w:t>
      </w:r>
      <w:r w:rsidR="0064081A">
        <w:rPr>
          <w:rFonts w:ascii="Times" w:hAnsi="Times"/>
        </w:rPr>
        <w:t xml:space="preserve">but only </w:t>
      </w:r>
      <w:r w:rsidR="009F162B">
        <w:rPr>
          <w:rFonts w:ascii="Times" w:hAnsi="Times"/>
        </w:rPr>
        <w:t>the second</w:t>
      </w:r>
      <w:r w:rsidR="0064081A">
        <w:rPr>
          <w:rFonts w:ascii="Times" w:hAnsi="Times"/>
        </w:rPr>
        <w:t xml:space="preserve"> has been investigated. Bailey and Pillard (1991) showed that among </w:t>
      </w:r>
      <w:r w:rsidR="00946BD1">
        <w:rPr>
          <w:rFonts w:ascii="Times" w:hAnsi="Times"/>
        </w:rPr>
        <w:t>monozygotic (</w:t>
      </w:r>
      <w:r w:rsidR="0064081A">
        <w:rPr>
          <w:rFonts w:ascii="Times" w:hAnsi="Times"/>
        </w:rPr>
        <w:t>MZ</w:t>
      </w:r>
      <w:r w:rsidR="00946BD1">
        <w:rPr>
          <w:rFonts w:ascii="Times" w:hAnsi="Times"/>
        </w:rPr>
        <w:t>)</w:t>
      </w:r>
      <w:r w:rsidR="0064081A">
        <w:rPr>
          <w:rFonts w:ascii="Times" w:hAnsi="Times"/>
        </w:rPr>
        <w:t xml:space="preserve"> twins the probability of concordance for homosexuality was unrelated to degree of</w:t>
      </w:r>
      <w:r w:rsidR="00BA00F4">
        <w:rPr>
          <w:rFonts w:ascii="Times" w:hAnsi="Times"/>
        </w:rPr>
        <w:t xml:space="preserve"> the</w:t>
      </w:r>
      <w:r w:rsidR="0064081A">
        <w:rPr>
          <w:rFonts w:ascii="Times" w:hAnsi="Times"/>
        </w:rPr>
        <w:t xml:space="preserve"> probands’ </w:t>
      </w:r>
      <w:r w:rsidR="00F1292D">
        <w:rPr>
          <w:rFonts w:ascii="Times" w:hAnsi="Times"/>
        </w:rPr>
        <w:t>degree of childhood gender nonconformity. Thus, variation in homosexual men’s childhood gender nonconformity is unlikely to reflect</w:t>
      </w:r>
      <w:r w:rsidR="00EF5E96">
        <w:rPr>
          <w:rFonts w:ascii="Times" w:hAnsi="Times"/>
        </w:rPr>
        <w:t xml:space="preserve"> dosage of</w:t>
      </w:r>
      <w:r w:rsidR="00F1292D">
        <w:rPr>
          <w:rFonts w:ascii="Times" w:hAnsi="Times"/>
        </w:rPr>
        <w:t xml:space="preserve"> </w:t>
      </w:r>
      <w:r w:rsidR="00BA00F4">
        <w:rPr>
          <w:rFonts w:ascii="Times" w:hAnsi="Times"/>
        </w:rPr>
        <w:t xml:space="preserve">genetic variation </w:t>
      </w:r>
      <w:r w:rsidR="00C13180">
        <w:rPr>
          <w:rFonts w:ascii="Times" w:hAnsi="Times"/>
        </w:rPr>
        <w:t>contributing to</w:t>
      </w:r>
      <w:r w:rsidR="00F1292D">
        <w:rPr>
          <w:rFonts w:ascii="Times" w:hAnsi="Times"/>
        </w:rPr>
        <w:t xml:space="preserve"> homosexuality.</w:t>
      </w:r>
    </w:p>
    <w:p w14:paraId="7B12E34D" w14:textId="099A2772" w:rsidR="00EB16A1" w:rsidRPr="004347C9" w:rsidRDefault="00F549A8" w:rsidP="00EB7930">
      <w:pPr>
        <w:spacing w:line="480" w:lineRule="auto"/>
        <w:rPr>
          <w:rFonts w:ascii="Times" w:hAnsi="Times"/>
        </w:rPr>
      </w:pPr>
      <w:r w:rsidRPr="004347C9">
        <w:rPr>
          <w:rFonts w:ascii="Times" w:hAnsi="Times"/>
        </w:rPr>
        <w:tab/>
        <w:t xml:space="preserve">Three studies have explored variation in </w:t>
      </w:r>
      <w:r w:rsidR="00D438EF" w:rsidRPr="004347C9">
        <w:rPr>
          <w:rFonts w:ascii="Times" w:hAnsi="Times"/>
        </w:rPr>
        <w:t xml:space="preserve">self-reported childhood </w:t>
      </w:r>
      <w:r w:rsidRPr="004347C9">
        <w:rPr>
          <w:rFonts w:ascii="Times" w:hAnsi="Times"/>
        </w:rPr>
        <w:t>gender nonconformity</w:t>
      </w:r>
      <w:r w:rsidR="00FC10F1" w:rsidRPr="004347C9">
        <w:rPr>
          <w:rFonts w:ascii="Times" w:hAnsi="Times"/>
        </w:rPr>
        <w:t xml:space="preserve"> among homose</w:t>
      </w:r>
      <w:r w:rsidR="009A5CE7">
        <w:rPr>
          <w:rFonts w:ascii="Times" w:hAnsi="Times"/>
        </w:rPr>
        <w:t>xual men using a family-genetic</w:t>
      </w:r>
      <w:r w:rsidR="00FC10F1" w:rsidRPr="004347C9">
        <w:rPr>
          <w:rFonts w:ascii="Times" w:hAnsi="Times"/>
        </w:rPr>
        <w:t xml:space="preserve"> approach</w:t>
      </w:r>
      <w:r w:rsidR="00B1366D">
        <w:rPr>
          <w:rFonts w:ascii="Times" w:hAnsi="Times"/>
        </w:rPr>
        <w:t xml:space="preserve"> (</w:t>
      </w:r>
      <w:r w:rsidRPr="004347C9">
        <w:rPr>
          <w:rFonts w:ascii="Times" w:hAnsi="Times"/>
        </w:rPr>
        <w:t>Table 1</w:t>
      </w:r>
      <w:r w:rsidR="00B1366D">
        <w:rPr>
          <w:rFonts w:ascii="Times" w:hAnsi="Times"/>
        </w:rPr>
        <w:t>)</w:t>
      </w:r>
      <w:r w:rsidRPr="004347C9">
        <w:rPr>
          <w:rFonts w:ascii="Times" w:hAnsi="Times"/>
        </w:rPr>
        <w:t xml:space="preserve">. </w:t>
      </w:r>
      <w:r w:rsidR="00D438EF" w:rsidRPr="004347C9">
        <w:rPr>
          <w:rFonts w:ascii="Times" w:hAnsi="Times"/>
        </w:rPr>
        <w:t xml:space="preserve">Although these studies were small, two generalizations are apparent. First, </w:t>
      </w:r>
      <w:r w:rsidR="00C6180B" w:rsidRPr="004347C9">
        <w:rPr>
          <w:rFonts w:ascii="Times" w:hAnsi="Times"/>
        </w:rPr>
        <w:t xml:space="preserve">genetically-related </w:t>
      </w:r>
      <w:r w:rsidR="00D438EF" w:rsidRPr="004347C9">
        <w:rPr>
          <w:rFonts w:ascii="Times" w:hAnsi="Times"/>
        </w:rPr>
        <w:t xml:space="preserve">brothers concordant for homosexuality were </w:t>
      </w:r>
      <w:r w:rsidR="00E040ED" w:rsidRPr="004347C9">
        <w:rPr>
          <w:rFonts w:ascii="Times" w:hAnsi="Times"/>
        </w:rPr>
        <w:t>somewhat</w:t>
      </w:r>
      <w:r w:rsidR="00D438EF" w:rsidRPr="004347C9">
        <w:rPr>
          <w:rFonts w:ascii="Times" w:hAnsi="Times"/>
        </w:rPr>
        <w:t xml:space="preserve"> similar in their degree of recalled childhood gender nonconformity. </w:t>
      </w:r>
      <w:r w:rsidR="004E4EFF">
        <w:rPr>
          <w:rFonts w:ascii="Times" w:hAnsi="Times"/>
        </w:rPr>
        <w:t>For these concordant pairs, c</w:t>
      </w:r>
      <w:r w:rsidR="004E4EFF" w:rsidRPr="004347C9">
        <w:rPr>
          <w:rFonts w:ascii="Times" w:hAnsi="Times"/>
        </w:rPr>
        <w:t xml:space="preserve">orrelations </w:t>
      </w:r>
      <w:r w:rsidR="00D438EF" w:rsidRPr="004347C9">
        <w:rPr>
          <w:rFonts w:ascii="Times" w:hAnsi="Times"/>
        </w:rPr>
        <w:t xml:space="preserve">were higher for </w:t>
      </w:r>
      <w:r w:rsidR="00C6180B" w:rsidRPr="004347C9">
        <w:rPr>
          <w:rFonts w:ascii="Times" w:hAnsi="Times"/>
        </w:rPr>
        <w:t>MZ</w:t>
      </w:r>
      <w:r w:rsidR="00D438EF" w:rsidRPr="004347C9">
        <w:rPr>
          <w:rFonts w:ascii="Times" w:hAnsi="Times"/>
        </w:rPr>
        <w:t xml:space="preserve"> twins than for dizygotic </w:t>
      </w:r>
      <w:r w:rsidR="00C6180B" w:rsidRPr="004347C9">
        <w:rPr>
          <w:rFonts w:ascii="Times" w:hAnsi="Times"/>
        </w:rPr>
        <w:t xml:space="preserve">(DZ) </w:t>
      </w:r>
      <w:r w:rsidR="00D438EF" w:rsidRPr="004347C9">
        <w:rPr>
          <w:rFonts w:ascii="Times" w:hAnsi="Times"/>
        </w:rPr>
        <w:t xml:space="preserve">twins or </w:t>
      </w:r>
      <w:r w:rsidR="00C6180B" w:rsidRPr="004347C9">
        <w:rPr>
          <w:rFonts w:ascii="Times" w:hAnsi="Times"/>
        </w:rPr>
        <w:t xml:space="preserve">for </w:t>
      </w:r>
      <w:r w:rsidR="00D438EF" w:rsidRPr="004347C9">
        <w:rPr>
          <w:rFonts w:ascii="Times" w:hAnsi="Times"/>
        </w:rPr>
        <w:t>non</w:t>
      </w:r>
      <w:r w:rsidR="00C6180B" w:rsidRPr="004347C9">
        <w:rPr>
          <w:rFonts w:ascii="Times" w:hAnsi="Times"/>
        </w:rPr>
        <w:t>-</w:t>
      </w:r>
      <w:r w:rsidR="00D438EF" w:rsidRPr="004347C9">
        <w:rPr>
          <w:rFonts w:ascii="Times" w:hAnsi="Times"/>
        </w:rPr>
        <w:t xml:space="preserve">twin genetic brothers, </w:t>
      </w:r>
      <w:r w:rsidR="001E53A7" w:rsidRPr="004347C9">
        <w:rPr>
          <w:rFonts w:ascii="Times" w:hAnsi="Times"/>
        </w:rPr>
        <w:t xml:space="preserve">but </w:t>
      </w:r>
      <w:r w:rsidR="00D438EF" w:rsidRPr="004347C9">
        <w:rPr>
          <w:rFonts w:ascii="Times" w:hAnsi="Times"/>
        </w:rPr>
        <w:t>they were a</w:t>
      </w:r>
      <w:r w:rsidR="001E53A7" w:rsidRPr="004347C9">
        <w:rPr>
          <w:rFonts w:ascii="Times" w:hAnsi="Times"/>
        </w:rPr>
        <w:t>lso a</w:t>
      </w:r>
      <w:r w:rsidR="00D438EF" w:rsidRPr="004347C9">
        <w:rPr>
          <w:rFonts w:ascii="Times" w:hAnsi="Times"/>
        </w:rPr>
        <w:t xml:space="preserve">ppreciable for the latter two kinds of relatives. </w:t>
      </w:r>
      <w:r w:rsidR="00C6180B" w:rsidRPr="004347C9">
        <w:rPr>
          <w:rFonts w:ascii="Times" w:hAnsi="Times"/>
        </w:rPr>
        <w:t xml:space="preserve">Second, brothers discordant for homosexuality </w:t>
      </w:r>
      <w:r w:rsidR="00BC03B4">
        <w:rPr>
          <w:rFonts w:ascii="Times" w:hAnsi="Times"/>
        </w:rPr>
        <w:t xml:space="preserve">showed no </w:t>
      </w:r>
      <w:r w:rsidR="00BC03B4">
        <w:rPr>
          <w:rFonts w:ascii="Times" w:hAnsi="Times"/>
        </w:rPr>
        <w:lastRenderedPageBreak/>
        <w:t>appreciable correlation</w:t>
      </w:r>
      <w:r w:rsidR="004E4EFF" w:rsidRPr="004347C9">
        <w:rPr>
          <w:rFonts w:ascii="Times" w:hAnsi="Times"/>
        </w:rPr>
        <w:t xml:space="preserve"> </w:t>
      </w:r>
      <w:r w:rsidR="00C6180B" w:rsidRPr="004347C9">
        <w:rPr>
          <w:rFonts w:ascii="Times" w:hAnsi="Times"/>
        </w:rPr>
        <w:t xml:space="preserve">in their degree of childhood gender nonconformity, even if they were MZ twins. </w:t>
      </w:r>
      <w:r w:rsidR="00354DD6" w:rsidRPr="004347C9">
        <w:rPr>
          <w:rFonts w:ascii="Times" w:hAnsi="Times"/>
        </w:rPr>
        <w:t>T</w:t>
      </w:r>
      <w:r w:rsidR="00EB16A1" w:rsidRPr="004347C9">
        <w:rPr>
          <w:rFonts w:ascii="Times" w:hAnsi="Times"/>
        </w:rPr>
        <w:t xml:space="preserve">hese findings </w:t>
      </w:r>
      <w:r w:rsidR="00354DD6" w:rsidRPr="004347C9">
        <w:rPr>
          <w:rFonts w:ascii="Times" w:hAnsi="Times"/>
        </w:rPr>
        <w:t>are consistent with</w:t>
      </w:r>
      <w:r w:rsidR="00EB16A1" w:rsidRPr="004347C9">
        <w:rPr>
          <w:rFonts w:ascii="Times" w:hAnsi="Times"/>
        </w:rPr>
        <w:t xml:space="preserve">–but </w:t>
      </w:r>
      <w:r w:rsidR="00354DD6" w:rsidRPr="004347C9">
        <w:rPr>
          <w:rFonts w:ascii="Times" w:hAnsi="Times"/>
        </w:rPr>
        <w:t xml:space="preserve">do not prove–two hypotheses. </w:t>
      </w:r>
      <w:r w:rsidR="00BC40CB" w:rsidRPr="004347C9">
        <w:rPr>
          <w:rFonts w:ascii="Times" w:hAnsi="Times"/>
        </w:rPr>
        <w:t>First, t</w:t>
      </w:r>
      <w:r w:rsidR="00354DD6" w:rsidRPr="004347C9">
        <w:rPr>
          <w:rFonts w:ascii="Times" w:hAnsi="Times"/>
        </w:rPr>
        <w:t xml:space="preserve">he </w:t>
      </w:r>
      <w:r w:rsidR="00E040ED" w:rsidRPr="004347C9">
        <w:rPr>
          <w:rFonts w:ascii="Times" w:hAnsi="Times"/>
        </w:rPr>
        <w:t xml:space="preserve">substantial </w:t>
      </w:r>
      <w:r w:rsidR="00354DD6" w:rsidRPr="004347C9">
        <w:rPr>
          <w:rFonts w:ascii="Times" w:hAnsi="Times"/>
        </w:rPr>
        <w:t>familiality of childhood gender nonconformity</w:t>
      </w:r>
      <w:r w:rsidR="003A0134" w:rsidRPr="004347C9">
        <w:rPr>
          <w:rFonts w:ascii="Times" w:hAnsi="Times"/>
        </w:rPr>
        <w:t xml:space="preserve"> </w:t>
      </w:r>
      <w:r w:rsidR="00723E8E" w:rsidRPr="004347C9">
        <w:rPr>
          <w:rFonts w:ascii="Times" w:hAnsi="Times"/>
        </w:rPr>
        <w:t xml:space="preserve">suggests that genetic factors may differentiate homosexual men with higher and lower degrees of gender nonconformity. </w:t>
      </w:r>
      <w:r w:rsidR="00BC40CB" w:rsidRPr="004347C9">
        <w:rPr>
          <w:rFonts w:ascii="Times" w:hAnsi="Times"/>
        </w:rPr>
        <w:t xml:space="preserve">Second, the fact that familial resemblance for childhood gender nonconformity </w:t>
      </w:r>
      <w:r w:rsidR="00A43F07">
        <w:rPr>
          <w:rFonts w:ascii="Times" w:hAnsi="Times"/>
        </w:rPr>
        <w:t>appears higher</w:t>
      </w:r>
      <w:r w:rsidR="00A43F07" w:rsidRPr="004347C9">
        <w:rPr>
          <w:rFonts w:ascii="Times" w:hAnsi="Times"/>
        </w:rPr>
        <w:t xml:space="preserve"> </w:t>
      </w:r>
      <w:r w:rsidR="00BC40CB" w:rsidRPr="004347C9">
        <w:rPr>
          <w:rFonts w:ascii="Times" w:hAnsi="Times"/>
        </w:rPr>
        <w:t xml:space="preserve">among genetic brothers who are concordant for homosexuality </w:t>
      </w:r>
      <w:r w:rsidR="00A43F07">
        <w:rPr>
          <w:rFonts w:ascii="Times" w:hAnsi="Times"/>
        </w:rPr>
        <w:t>than</w:t>
      </w:r>
      <w:r w:rsidR="00BC40CB" w:rsidRPr="004347C9">
        <w:rPr>
          <w:rFonts w:ascii="Times" w:hAnsi="Times"/>
        </w:rPr>
        <w:t xml:space="preserve"> among those who are discordant </w:t>
      </w:r>
      <w:r w:rsidR="009E25B3" w:rsidRPr="004347C9">
        <w:rPr>
          <w:rFonts w:ascii="Times" w:hAnsi="Times"/>
        </w:rPr>
        <w:t>suggests that</w:t>
      </w:r>
      <w:r w:rsidR="00F54F65" w:rsidRPr="004347C9">
        <w:rPr>
          <w:rFonts w:ascii="Times" w:hAnsi="Times"/>
        </w:rPr>
        <w:t xml:space="preserve"> </w:t>
      </w:r>
      <w:r w:rsidR="00F36112">
        <w:rPr>
          <w:rFonts w:ascii="Times" w:hAnsi="Times"/>
        </w:rPr>
        <w:t>gender nonconformity variation may be differently explained in homosexual and heterosexual men.</w:t>
      </w:r>
      <w:r w:rsidR="00E8485C">
        <w:rPr>
          <w:rFonts w:ascii="Times" w:hAnsi="Times"/>
        </w:rPr>
        <w:t xml:space="preserve">  </w:t>
      </w:r>
    </w:p>
    <w:p w14:paraId="1EA6FCD5" w14:textId="667E95F6" w:rsidR="00EB16A1" w:rsidRPr="004347C9" w:rsidRDefault="00EB16A1" w:rsidP="000F4906">
      <w:pPr>
        <w:spacing w:line="480" w:lineRule="auto"/>
        <w:rPr>
          <w:rFonts w:ascii="Times" w:hAnsi="Times"/>
        </w:rPr>
      </w:pPr>
      <w:r w:rsidRPr="004347C9">
        <w:rPr>
          <w:rFonts w:ascii="Times" w:hAnsi="Times"/>
        </w:rPr>
        <w:tab/>
      </w:r>
      <w:r w:rsidR="004D694A">
        <w:rPr>
          <w:rFonts w:ascii="Times" w:hAnsi="Times"/>
        </w:rPr>
        <w:t xml:space="preserve">Although the results of studies in Table 1 are intriguing, the studies are all small, and the estimates they provide are subject to substantial sampling error. </w:t>
      </w:r>
      <w:r w:rsidR="00E8485C">
        <w:rPr>
          <w:rFonts w:ascii="Times" w:hAnsi="Times" w:cs="Arial"/>
          <w:color w:val="222222"/>
          <w:shd w:val="clear" w:color="auto" w:fill="FFFFFF"/>
        </w:rPr>
        <w:t xml:space="preserve">The number of concordant homosexual </w:t>
      </w:r>
      <w:r w:rsidR="00C13180">
        <w:rPr>
          <w:rFonts w:ascii="Times" w:hAnsi="Times" w:cs="Arial"/>
          <w:color w:val="222222"/>
          <w:shd w:val="clear" w:color="auto" w:fill="FFFFFF"/>
        </w:rPr>
        <w:t xml:space="preserve">genetic </w:t>
      </w:r>
      <w:r w:rsidR="00E8485C">
        <w:rPr>
          <w:rFonts w:ascii="Times" w:hAnsi="Times" w:cs="Arial"/>
          <w:color w:val="222222"/>
          <w:shd w:val="clear" w:color="auto" w:fill="FFFFFF"/>
        </w:rPr>
        <w:t xml:space="preserve">brother pairs included in Table 1 is </w:t>
      </w:r>
      <w:r w:rsidR="00D616E1">
        <w:rPr>
          <w:rFonts w:ascii="Times" w:hAnsi="Times" w:cs="Arial"/>
          <w:color w:val="222222"/>
          <w:shd w:val="clear" w:color="auto" w:fill="FFFFFF"/>
        </w:rPr>
        <w:t>84</w:t>
      </w:r>
      <w:r w:rsidR="00E8485C">
        <w:rPr>
          <w:rFonts w:ascii="Times" w:hAnsi="Times" w:cs="Arial"/>
          <w:color w:val="222222"/>
          <w:shd w:val="clear" w:color="auto" w:fill="FFFFFF"/>
        </w:rPr>
        <w:t xml:space="preserve">, </w:t>
      </w:r>
      <w:r w:rsidR="00383876">
        <w:rPr>
          <w:rFonts w:ascii="Times" w:hAnsi="Times" w:cs="Arial"/>
          <w:color w:val="222222"/>
          <w:shd w:val="clear" w:color="auto" w:fill="FFFFFF"/>
        </w:rPr>
        <w:t xml:space="preserve">and the number of discordant </w:t>
      </w:r>
      <w:r w:rsidR="000F0476">
        <w:rPr>
          <w:rFonts w:ascii="Times" w:hAnsi="Times" w:cs="Arial"/>
          <w:color w:val="222222"/>
          <w:shd w:val="clear" w:color="auto" w:fill="FFFFFF"/>
        </w:rPr>
        <w:t>genetic brother</w:t>
      </w:r>
      <w:r w:rsidR="00C13180">
        <w:rPr>
          <w:rFonts w:ascii="Times" w:hAnsi="Times" w:cs="Arial"/>
          <w:color w:val="222222"/>
          <w:shd w:val="clear" w:color="auto" w:fill="FFFFFF"/>
        </w:rPr>
        <w:t xml:space="preserve"> pairs</w:t>
      </w:r>
      <w:r w:rsidR="00383876">
        <w:rPr>
          <w:rFonts w:ascii="Times" w:hAnsi="Times" w:cs="Arial"/>
          <w:color w:val="222222"/>
          <w:shd w:val="clear" w:color="auto" w:fill="FFFFFF"/>
        </w:rPr>
        <w:t xml:space="preserve"> is </w:t>
      </w:r>
      <w:r w:rsidR="000F0476">
        <w:rPr>
          <w:rFonts w:ascii="Times" w:hAnsi="Times" w:cs="Arial"/>
          <w:color w:val="222222"/>
          <w:shd w:val="clear" w:color="auto" w:fill="FFFFFF"/>
        </w:rPr>
        <w:t>81</w:t>
      </w:r>
      <w:r w:rsidR="00383876">
        <w:rPr>
          <w:rFonts w:ascii="Times" w:hAnsi="Times" w:cs="Arial"/>
          <w:color w:val="222222"/>
          <w:shd w:val="clear" w:color="auto" w:fill="FFFFFF"/>
        </w:rPr>
        <w:t xml:space="preserve"> </w:t>
      </w:r>
      <w:r w:rsidR="00E8485C">
        <w:rPr>
          <w:rFonts w:ascii="Times" w:hAnsi="Times" w:cs="Arial"/>
          <w:color w:val="222222"/>
          <w:shd w:val="clear" w:color="auto" w:fill="FFFFFF"/>
        </w:rPr>
        <w:t>across</w:t>
      </w:r>
      <w:r w:rsidR="00383876">
        <w:rPr>
          <w:rFonts w:ascii="Times" w:hAnsi="Times" w:cs="Arial"/>
          <w:color w:val="222222"/>
          <w:shd w:val="clear" w:color="auto" w:fill="FFFFFF"/>
        </w:rPr>
        <w:t xml:space="preserve"> the</w:t>
      </w:r>
      <w:r w:rsidR="00E8485C">
        <w:rPr>
          <w:rFonts w:ascii="Times" w:hAnsi="Times" w:cs="Arial"/>
          <w:color w:val="222222"/>
          <w:shd w:val="clear" w:color="auto" w:fill="FFFFFF"/>
        </w:rPr>
        <w:t xml:space="preserve"> three studies. </w:t>
      </w:r>
      <w:r w:rsidRPr="004347C9">
        <w:rPr>
          <w:rFonts w:ascii="Times" w:hAnsi="Times"/>
        </w:rPr>
        <w:t xml:space="preserve">The current study </w:t>
      </w:r>
      <w:r w:rsidR="00AF635A">
        <w:rPr>
          <w:rFonts w:ascii="Times" w:hAnsi="Times"/>
        </w:rPr>
        <w:t>investiga</w:t>
      </w:r>
      <w:r w:rsidR="00220A19">
        <w:rPr>
          <w:rFonts w:ascii="Times" w:hAnsi="Times"/>
        </w:rPr>
        <w:t>tes familial resemblance in gender nonconformity</w:t>
      </w:r>
      <w:r w:rsidRPr="004347C9">
        <w:rPr>
          <w:rFonts w:ascii="Times" w:hAnsi="Times"/>
        </w:rPr>
        <w:t xml:space="preserve"> using a much larger sample of </w:t>
      </w:r>
      <w:r w:rsidR="00755FF3">
        <w:rPr>
          <w:rFonts w:ascii="Times" w:hAnsi="Times"/>
        </w:rPr>
        <w:t>genetic</w:t>
      </w:r>
      <w:r w:rsidR="0013715B" w:rsidRPr="004347C9">
        <w:rPr>
          <w:rFonts w:ascii="Times" w:hAnsi="Times"/>
        </w:rPr>
        <w:t xml:space="preserve"> brother pairs</w:t>
      </w:r>
      <w:r w:rsidR="00A046F9">
        <w:rPr>
          <w:rFonts w:ascii="Times" w:hAnsi="Times"/>
        </w:rPr>
        <w:t xml:space="preserve"> including more than 700 pairs concordant for homosexuality</w:t>
      </w:r>
      <w:r w:rsidR="00474389">
        <w:rPr>
          <w:rFonts w:ascii="Times" w:hAnsi="Times"/>
        </w:rPr>
        <w:t>.</w:t>
      </w:r>
      <w:r w:rsidR="00383876">
        <w:rPr>
          <w:rFonts w:ascii="Times" w:hAnsi="Times"/>
        </w:rPr>
        <w:t xml:space="preserve"> </w:t>
      </w:r>
    </w:p>
    <w:p w14:paraId="073E3499" w14:textId="7F1A2B56" w:rsidR="004347C9" w:rsidRPr="00583909" w:rsidRDefault="001C4E21" w:rsidP="000C55EE">
      <w:pPr>
        <w:spacing w:line="480" w:lineRule="auto"/>
        <w:outlineLvl w:val="0"/>
        <w:rPr>
          <w:rFonts w:ascii="Times" w:hAnsi="Times" w:cs="Arial"/>
          <w:b/>
          <w:color w:val="222222"/>
          <w:shd w:val="clear" w:color="auto" w:fill="FFFFFF"/>
        </w:rPr>
      </w:pPr>
      <w:r>
        <w:rPr>
          <w:rFonts w:ascii="Times" w:hAnsi="Times" w:cs="Arial"/>
          <w:b/>
          <w:color w:val="222222"/>
          <w:shd w:val="clear" w:color="auto" w:fill="FFFFFF"/>
        </w:rPr>
        <w:t>METHOD</w:t>
      </w:r>
    </w:p>
    <w:p w14:paraId="7874946A" w14:textId="21DE18C6" w:rsidR="004347C9" w:rsidRDefault="000C55EE" w:rsidP="00A36216">
      <w:pPr>
        <w:spacing w:line="480" w:lineRule="auto"/>
        <w:outlineLvl w:val="0"/>
        <w:rPr>
          <w:rFonts w:ascii="Times" w:hAnsi="Times" w:cs="Arial"/>
          <w:b/>
          <w:color w:val="222222"/>
          <w:shd w:val="clear" w:color="auto" w:fill="FFFFFF"/>
        </w:rPr>
      </w:pPr>
      <w:r>
        <w:rPr>
          <w:rFonts w:ascii="Times" w:hAnsi="Times" w:cs="Arial"/>
          <w:b/>
          <w:color w:val="222222"/>
          <w:shd w:val="clear" w:color="auto" w:fill="FFFFFF"/>
        </w:rPr>
        <w:t>Participants</w:t>
      </w:r>
    </w:p>
    <w:p w14:paraId="7621D9FF" w14:textId="3DD74ABF" w:rsidR="00787A89" w:rsidRDefault="000423F0" w:rsidP="00176084">
      <w:pPr>
        <w:spacing w:line="480" w:lineRule="auto"/>
        <w:rPr>
          <w:rFonts w:ascii="Times" w:hAnsi="Times" w:cs="Arial"/>
          <w:color w:val="222222"/>
          <w:shd w:val="clear" w:color="auto" w:fill="FFFFFF"/>
        </w:rPr>
      </w:pPr>
      <w:r>
        <w:rPr>
          <w:rFonts w:ascii="Times" w:hAnsi="Times" w:cs="Arial"/>
          <w:color w:val="222222"/>
          <w:shd w:val="clear" w:color="auto" w:fill="FFFFFF"/>
        </w:rPr>
        <w:tab/>
        <w:t>Homosexual men with homosexual brothers were recruited</w:t>
      </w:r>
      <w:r w:rsidR="00755FF3">
        <w:rPr>
          <w:rFonts w:ascii="Times" w:hAnsi="Times" w:cs="Arial"/>
          <w:color w:val="222222"/>
          <w:shd w:val="clear" w:color="auto" w:fill="FFFFFF"/>
        </w:rPr>
        <w:t xml:space="preserve"> </w:t>
      </w:r>
      <w:r w:rsidR="00263138">
        <w:rPr>
          <w:rFonts w:ascii="Times" w:hAnsi="Times" w:cs="Arial"/>
          <w:color w:val="222222"/>
          <w:shd w:val="clear" w:color="auto" w:fill="FFFFFF"/>
        </w:rPr>
        <w:t xml:space="preserve">from </w:t>
      </w:r>
      <w:r w:rsidR="00230EFB">
        <w:rPr>
          <w:rFonts w:ascii="Times" w:hAnsi="Times" w:cs="Arial"/>
          <w:color w:val="222222"/>
          <w:shd w:val="clear" w:color="auto" w:fill="FFFFFF"/>
        </w:rPr>
        <w:t xml:space="preserve">2004 </w:t>
      </w:r>
      <w:r w:rsidR="00263138">
        <w:rPr>
          <w:rFonts w:ascii="Times" w:hAnsi="Times" w:cs="Arial"/>
          <w:color w:val="222222"/>
          <w:shd w:val="clear" w:color="auto" w:fill="FFFFFF"/>
        </w:rPr>
        <w:t xml:space="preserve">through </w:t>
      </w:r>
      <w:r w:rsidR="00230EFB">
        <w:rPr>
          <w:rFonts w:ascii="Times" w:hAnsi="Times" w:cs="Arial"/>
          <w:color w:val="222222"/>
          <w:shd w:val="clear" w:color="auto" w:fill="FFFFFF"/>
        </w:rPr>
        <w:t xml:space="preserve">2008, </w:t>
      </w:r>
      <w:r w:rsidR="00263138">
        <w:rPr>
          <w:rFonts w:ascii="Times" w:hAnsi="Times" w:cs="Arial"/>
          <w:color w:val="222222"/>
          <w:shd w:val="clear" w:color="auto" w:fill="FFFFFF"/>
        </w:rPr>
        <w:t xml:space="preserve">for a molecular genetics study of male sexual orientation. </w:t>
      </w:r>
      <w:r w:rsidR="00755FF3">
        <w:rPr>
          <w:rFonts w:ascii="Times" w:hAnsi="Times" w:cs="Arial"/>
          <w:color w:val="222222"/>
          <w:shd w:val="clear" w:color="auto" w:fill="FFFFFF"/>
        </w:rPr>
        <w:t xml:space="preserve">Probands were recruited opportunistically, mostly during Gay Pride festivals, supplemented by </w:t>
      </w:r>
      <w:r w:rsidR="00755FF3">
        <w:t>online and homophile media, advertisements, and organizational announcements.</w:t>
      </w:r>
      <w:r w:rsidR="00755FF3">
        <w:rPr>
          <w:rFonts w:ascii="Times" w:hAnsi="Times" w:cs="Arial"/>
          <w:color w:val="222222"/>
          <w:shd w:val="clear" w:color="auto" w:fill="FFFFFF"/>
        </w:rPr>
        <w:t xml:space="preserve"> </w:t>
      </w:r>
      <w:r w:rsidR="00CA7BA5">
        <w:rPr>
          <w:rFonts w:ascii="Times" w:hAnsi="Times" w:cs="Arial"/>
          <w:color w:val="222222"/>
          <w:shd w:val="clear" w:color="auto" w:fill="FFFFFF"/>
        </w:rPr>
        <w:t>Almost all</w:t>
      </w:r>
      <w:r w:rsidR="00755FF3">
        <w:rPr>
          <w:rFonts w:ascii="Times" w:hAnsi="Times" w:cs="Arial"/>
          <w:color w:val="222222"/>
          <w:shd w:val="clear" w:color="auto" w:fill="FFFFFF"/>
        </w:rPr>
        <w:t xml:space="preserve"> probands </w:t>
      </w:r>
      <w:r w:rsidR="0048002E">
        <w:rPr>
          <w:rFonts w:ascii="Times" w:hAnsi="Times" w:cs="Arial"/>
          <w:color w:val="222222"/>
          <w:shd w:val="clear" w:color="auto" w:fill="FFFFFF"/>
        </w:rPr>
        <w:t xml:space="preserve">were </w:t>
      </w:r>
      <w:r w:rsidR="00755FF3">
        <w:rPr>
          <w:rFonts w:ascii="Times" w:hAnsi="Times" w:cs="Arial"/>
          <w:color w:val="222222"/>
          <w:shd w:val="clear" w:color="auto" w:fill="FFFFFF"/>
        </w:rPr>
        <w:t xml:space="preserve">from the United States </w:t>
      </w:r>
      <w:r w:rsidR="0048002E">
        <w:rPr>
          <w:rFonts w:ascii="Times" w:hAnsi="Times" w:cs="Arial"/>
          <w:color w:val="222222"/>
          <w:shd w:val="clear" w:color="auto" w:fill="FFFFFF"/>
        </w:rPr>
        <w:t>(</w:t>
      </w:r>
      <w:r w:rsidR="00755FF3">
        <w:rPr>
          <w:rFonts w:ascii="Times" w:hAnsi="Times" w:cs="Arial"/>
          <w:color w:val="222222"/>
          <w:shd w:val="clear" w:color="auto" w:fill="FFFFFF"/>
        </w:rPr>
        <w:t>98%</w:t>
      </w:r>
      <w:r w:rsidR="0048002E">
        <w:rPr>
          <w:rFonts w:ascii="Times" w:hAnsi="Times" w:cs="Arial"/>
          <w:color w:val="222222"/>
          <w:shd w:val="clear" w:color="auto" w:fill="FFFFFF"/>
        </w:rPr>
        <w:t>)</w:t>
      </w:r>
      <w:r w:rsidR="00755FF3">
        <w:rPr>
          <w:rFonts w:ascii="Times" w:hAnsi="Times" w:cs="Arial"/>
          <w:color w:val="222222"/>
          <w:shd w:val="clear" w:color="auto" w:fill="FFFFFF"/>
        </w:rPr>
        <w:t xml:space="preserve">. </w:t>
      </w:r>
      <w:r w:rsidR="000737FB">
        <w:rPr>
          <w:rFonts w:ascii="Times" w:hAnsi="Times" w:cs="Arial"/>
          <w:color w:val="222222"/>
          <w:shd w:val="clear" w:color="auto" w:fill="FFFFFF"/>
        </w:rPr>
        <w:t>T</w:t>
      </w:r>
      <w:r w:rsidR="00263138">
        <w:rPr>
          <w:rFonts w:ascii="Times" w:hAnsi="Times" w:cs="Arial"/>
          <w:color w:val="222222"/>
          <w:shd w:val="clear" w:color="auto" w:fill="FFFFFF"/>
        </w:rPr>
        <w:t>o reduce genetic heterogeneity, Caucasian samples were especially targeted and comprised approximately 98% of the final sample (Sanders et al., 201</w:t>
      </w:r>
      <w:r w:rsidR="00230EFB">
        <w:rPr>
          <w:rFonts w:ascii="Times" w:hAnsi="Times" w:cs="Arial"/>
          <w:color w:val="222222"/>
          <w:shd w:val="clear" w:color="auto" w:fill="FFFFFF"/>
        </w:rPr>
        <w:t>5</w:t>
      </w:r>
      <w:r w:rsidR="00263138">
        <w:rPr>
          <w:rFonts w:ascii="Times" w:hAnsi="Times" w:cs="Arial"/>
          <w:color w:val="222222"/>
          <w:shd w:val="clear" w:color="auto" w:fill="FFFFFF"/>
        </w:rPr>
        <w:t xml:space="preserve">). Although homosexual men comprised the target population, other family members </w:t>
      </w:r>
      <w:r w:rsidR="00230EFB">
        <w:rPr>
          <w:rFonts w:ascii="Times" w:hAnsi="Times" w:cs="Arial"/>
          <w:color w:val="222222"/>
          <w:shd w:val="clear" w:color="auto" w:fill="FFFFFF"/>
        </w:rPr>
        <w:t>(brothers and parents) were encouraged to</w:t>
      </w:r>
      <w:r w:rsidR="00263138">
        <w:rPr>
          <w:rFonts w:ascii="Times" w:hAnsi="Times" w:cs="Arial"/>
          <w:color w:val="222222"/>
          <w:shd w:val="clear" w:color="auto" w:fill="FFFFFF"/>
        </w:rPr>
        <w:t xml:space="preserve"> enroll. </w:t>
      </w:r>
      <w:r w:rsidR="00787A89">
        <w:rPr>
          <w:rFonts w:ascii="Times" w:hAnsi="Times" w:cs="Arial"/>
          <w:color w:val="222222"/>
          <w:shd w:val="clear" w:color="auto" w:fill="FFFFFF"/>
        </w:rPr>
        <w:t xml:space="preserve">Although full siblings were targeted, smaller subsamples of half siblings </w:t>
      </w:r>
      <w:r w:rsidR="00787A89">
        <w:rPr>
          <w:rFonts w:ascii="Times" w:hAnsi="Times" w:cs="Arial"/>
          <w:color w:val="222222"/>
          <w:shd w:val="clear" w:color="auto" w:fill="FFFFFF"/>
        </w:rPr>
        <w:lastRenderedPageBreak/>
        <w:t xml:space="preserve">and of MZ twins also participated, and we also report their results herein. </w:t>
      </w:r>
      <w:r w:rsidR="00BC03B4" w:rsidRPr="00BC03B4">
        <w:t xml:space="preserve"> </w:t>
      </w:r>
      <w:r w:rsidR="00BC03B4">
        <w:t xml:space="preserve">We included all participants returning a questionnaire, which were more than those whose DNA we were able to obtain and study for linkage (Sanders et al., 2015). </w:t>
      </w:r>
      <w:r w:rsidR="00176084" w:rsidRPr="00176084">
        <w:rPr>
          <w:rFonts w:ascii="Times" w:hAnsi="Times" w:cs="Arial"/>
          <w:color w:val="222222"/>
          <w:shd w:val="clear" w:color="auto" w:fill="FFFFFF"/>
        </w:rPr>
        <w:t>We obtained institutional review</w:t>
      </w:r>
      <w:r w:rsidR="00176084">
        <w:rPr>
          <w:rFonts w:ascii="Times" w:hAnsi="Times" w:cs="Arial"/>
          <w:color w:val="222222"/>
          <w:shd w:val="clear" w:color="auto" w:fill="FFFFFF"/>
        </w:rPr>
        <w:t xml:space="preserve"> </w:t>
      </w:r>
      <w:r w:rsidR="00176084" w:rsidRPr="00176084">
        <w:rPr>
          <w:rFonts w:ascii="Times" w:hAnsi="Times" w:cs="Arial"/>
          <w:color w:val="222222"/>
          <w:shd w:val="clear" w:color="auto" w:fill="FFFFFF"/>
        </w:rPr>
        <w:t>board approval from NorthShore University</w:t>
      </w:r>
      <w:r w:rsidR="00176084">
        <w:rPr>
          <w:rFonts w:ascii="Times" w:hAnsi="Times" w:cs="Arial"/>
          <w:color w:val="222222"/>
          <w:shd w:val="clear" w:color="auto" w:fill="FFFFFF"/>
        </w:rPr>
        <w:t xml:space="preserve"> </w:t>
      </w:r>
      <w:r w:rsidR="00176084" w:rsidRPr="00176084">
        <w:rPr>
          <w:rFonts w:ascii="Times" w:hAnsi="Times" w:cs="Arial"/>
          <w:color w:val="222222"/>
          <w:shd w:val="clear" w:color="auto" w:fill="FFFFFF"/>
        </w:rPr>
        <w:t>HealthSystem</w:t>
      </w:r>
      <w:r w:rsidR="00176084">
        <w:rPr>
          <w:rFonts w:ascii="Times" w:hAnsi="Times" w:cs="Arial"/>
          <w:color w:val="222222"/>
          <w:shd w:val="clear" w:color="auto" w:fill="FFFFFF"/>
        </w:rPr>
        <w:t>, and all participants</w:t>
      </w:r>
      <w:r w:rsidR="00176084" w:rsidRPr="00176084">
        <w:rPr>
          <w:rFonts w:ascii="Times" w:hAnsi="Times" w:cs="Arial"/>
          <w:color w:val="222222"/>
          <w:shd w:val="clear" w:color="auto" w:fill="FFFFFF"/>
        </w:rPr>
        <w:t xml:space="preserve"> provided</w:t>
      </w:r>
      <w:r w:rsidR="00176084">
        <w:rPr>
          <w:rFonts w:ascii="Times" w:hAnsi="Times" w:cs="Arial"/>
          <w:color w:val="222222"/>
          <w:shd w:val="clear" w:color="auto" w:fill="FFFFFF"/>
        </w:rPr>
        <w:t xml:space="preserve"> </w:t>
      </w:r>
      <w:r w:rsidR="00176084" w:rsidRPr="00176084">
        <w:rPr>
          <w:rFonts w:ascii="Times" w:hAnsi="Times" w:cs="Arial"/>
          <w:color w:val="222222"/>
          <w:shd w:val="clear" w:color="auto" w:fill="FFFFFF"/>
        </w:rPr>
        <w:t>informed consent.</w:t>
      </w:r>
      <w:r w:rsidR="00787A89">
        <w:rPr>
          <w:rFonts w:ascii="Times" w:hAnsi="Times" w:cs="Arial"/>
          <w:color w:val="222222"/>
          <w:shd w:val="clear" w:color="auto" w:fill="FFFFFF"/>
        </w:rPr>
        <w:t xml:space="preserve"> </w:t>
      </w:r>
    </w:p>
    <w:p w14:paraId="4F20E450" w14:textId="77777777" w:rsidR="004347C9" w:rsidRPr="00583909" w:rsidRDefault="004347C9" w:rsidP="00A36216">
      <w:pPr>
        <w:spacing w:line="480" w:lineRule="auto"/>
        <w:outlineLvl w:val="0"/>
        <w:rPr>
          <w:rFonts w:ascii="Times" w:hAnsi="Times"/>
          <w:b/>
        </w:rPr>
      </w:pPr>
      <w:r w:rsidRPr="00583909">
        <w:rPr>
          <w:rFonts w:ascii="Times" w:hAnsi="Times" w:cs="Arial"/>
          <w:b/>
          <w:color w:val="222222"/>
          <w:shd w:val="clear" w:color="auto" w:fill="FFFFFF"/>
        </w:rPr>
        <w:t>Measures</w:t>
      </w:r>
    </w:p>
    <w:p w14:paraId="3BE3A655" w14:textId="4237E68E" w:rsidR="00FD62C6" w:rsidRPr="00FD62C6" w:rsidRDefault="00FD62C6" w:rsidP="00E91E9B">
      <w:pPr>
        <w:spacing w:line="480" w:lineRule="auto"/>
        <w:ind w:firstLine="720"/>
        <w:rPr>
          <w:rFonts w:ascii="Times" w:hAnsi="Times" w:cs="Arial"/>
          <w:color w:val="222222"/>
          <w:shd w:val="clear" w:color="auto" w:fill="FFFFFF"/>
        </w:rPr>
      </w:pPr>
      <w:r w:rsidRPr="000C55EE">
        <w:rPr>
          <w:rFonts w:ascii="Times" w:hAnsi="Times" w:cs="Arial"/>
          <w:i/>
          <w:color w:val="222222"/>
          <w:shd w:val="clear" w:color="auto" w:fill="FFFFFF"/>
        </w:rPr>
        <w:t>Sexual Orientation.</w:t>
      </w:r>
      <w:r>
        <w:rPr>
          <w:rFonts w:ascii="Times" w:hAnsi="Times" w:cs="Arial"/>
          <w:b/>
          <w:color w:val="222222"/>
          <w:shd w:val="clear" w:color="auto" w:fill="FFFFFF"/>
        </w:rPr>
        <w:t xml:space="preserve"> </w:t>
      </w:r>
      <w:r w:rsidR="0019485C">
        <w:rPr>
          <w:rFonts w:ascii="Times" w:hAnsi="Times" w:cs="Arial"/>
          <w:color w:val="222222"/>
          <w:shd w:val="clear" w:color="auto" w:fill="FFFFFF"/>
        </w:rPr>
        <w:t>W</w:t>
      </w:r>
      <w:r>
        <w:rPr>
          <w:rFonts w:ascii="Times" w:hAnsi="Times" w:cs="Arial"/>
          <w:color w:val="222222"/>
          <w:shd w:val="clear" w:color="auto" w:fill="FFFFFF"/>
        </w:rPr>
        <w:t xml:space="preserve">e distinguished sexual orientations </w:t>
      </w:r>
      <w:r w:rsidR="0019485C">
        <w:rPr>
          <w:rFonts w:ascii="Times" w:hAnsi="Times" w:cs="Arial"/>
          <w:color w:val="222222"/>
          <w:shd w:val="clear" w:color="auto" w:fill="FFFFFF"/>
        </w:rPr>
        <w:t>by participants’</w:t>
      </w:r>
      <w:r>
        <w:rPr>
          <w:rFonts w:ascii="Times" w:hAnsi="Times" w:cs="Arial"/>
          <w:color w:val="222222"/>
          <w:shd w:val="clear" w:color="auto" w:fill="FFFFFF"/>
        </w:rPr>
        <w:t xml:space="preserve"> sexual identities: </w:t>
      </w:r>
      <w:r w:rsidR="00E925B5">
        <w:rPr>
          <w:rFonts w:ascii="Times" w:hAnsi="Times" w:cs="Arial"/>
          <w:color w:val="222222"/>
          <w:shd w:val="clear" w:color="auto" w:fill="FFFFFF"/>
        </w:rPr>
        <w:t>h</w:t>
      </w:r>
      <w:r>
        <w:rPr>
          <w:rFonts w:ascii="Times" w:hAnsi="Times" w:cs="Arial"/>
          <w:color w:val="222222"/>
          <w:shd w:val="clear" w:color="auto" w:fill="FFFFFF"/>
        </w:rPr>
        <w:t xml:space="preserve">eterosexual or </w:t>
      </w:r>
      <w:r w:rsidR="00E925B5">
        <w:rPr>
          <w:rFonts w:ascii="Times" w:hAnsi="Times" w:cs="Arial"/>
          <w:color w:val="222222"/>
          <w:shd w:val="clear" w:color="auto" w:fill="FFFFFF"/>
        </w:rPr>
        <w:t>homosexual</w:t>
      </w:r>
      <w:r>
        <w:rPr>
          <w:rFonts w:ascii="Times" w:hAnsi="Times" w:cs="Arial"/>
          <w:color w:val="222222"/>
          <w:shd w:val="clear" w:color="auto" w:fill="FFFFFF"/>
        </w:rPr>
        <w:t xml:space="preserve">. </w:t>
      </w:r>
      <w:r w:rsidR="00755FF3">
        <w:rPr>
          <w:rFonts w:ascii="Times" w:hAnsi="Times" w:cs="Arial"/>
          <w:color w:val="222222"/>
          <w:shd w:val="clear" w:color="auto" w:fill="FFFFFF"/>
        </w:rPr>
        <w:t xml:space="preserve">(We excluded participants who identified as bisexual.) </w:t>
      </w:r>
      <w:r w:rsidR="00023561">
        <w:rPr>
          <w:rFonts w:ascii="Times" w:hAnsi="Times" w:cs="Arial"/>
          <w:color w:val="222222"/>
          <w:shd w:val="clear" w:color="auto" w:fill="FFFFFF"/>
        </w:rPr>
        <w:t>We</w:t>
      </w:r>
      <w:r>
        <w:rPr>
          <w:rFonts w:ascii="Times" w:hAnsi="Times" w:cs="Arial"/>
          <w:color w:val="222222"/>
          <w:shd w:val="clear" w:color="auto" w:fill="FFFFFF"/>
        </w:rPr>
        <w:t xml:space="preserve"> check</w:t>
      </w:r>
      <w:r w:rsidR="00023561">
        <w:rPr>
          <w:rFonts w:ascii="Times" w:hAnsi="Times" w:cs="Arial"/>
          <w:color w:val="222222"/>
          <w:shd w:val="clear" w:color="auto" w:fill="FFFFFF"/>
        </w:rPr>
        <w:t>ed</w:t>
      </w:r>
      <w:r>
        <w:rPr>
          <w:rFonts w:ascii="Times" w:hAnsi="Times" w:cs="Arial"/>
          <w:color w:val="222222"/>
          <w:shd w:val="clear" w:color="auto" w:fill="FFFFFF"/>
        </w:rPr>
        <w:t xml:space="preserve"> that these identities were consistent with their self-reported sexual feelings, assessed by seven-point Kinsey ratings (from 0=sexual attraction only to women to 6=sexual attraction only to men</w:t>
      </w:r>
      <w:r w:rsidR="00140738">
        <w:rPr>
          <w:rFonts w:ascii="Times" w:hAnsi="Times" w:cs="Arial"/>
          <w:color w:val="222222"/>
          <w:shd w:val="clear" w:color="auto" w:fill="FFFFFF"/>
        </w:rPr>
        <w:t>; Kinsey et al., 1948</w:t>
      </w:r>
      <w:r>
        <w:rPr>
          <w:rFonts w:ascii="Times" w:hAnsi="Times" w:cs="Arial"/>
          <w:color w:val="222222"/>
          <w:shd w:val="clear" w:color="auto" w:fill="FFFFFF"/>
        </w:rPr>
        <w:t>)</w:t>
      </w:r>
      <w:r w:rsidR="00474389">
        <w:rPr>
          <w:rFonts w:ascii="Times" w:hAnsi="Times" w:cs="Arial"/>
          <w:color w:val="222222"/>
          <w:shd w:val="clear" w:color="auto" w:fill="FFFFFF"/>
        </w:rPr>
        <w:t xml:space="preserve"> and by two </w:t>
      </w:r>
      <w:r w:rsidR="005F29E1">
        <w:rPr>
          <w:rFonts w:ascii="Times" w:hAnsi="Times" w:cs="Arial"/>
          <w:color w:val="222222"/>
          <w:shd w:val="clear" w:color="auto" w:fill="FFFFFF"/>
        </w:rPr>
        <w:t xml:space="preserve">five-point </w:t>
      </w:r>
      <w:r w:rsidR="00474389">
        <w:rPr>
          <w:rFonts w:ascii="Times" w:hAnsi="Times" w:cs="Arial"/>
          <w:color w:val="222222"/>
          <w:shd w:val="clear" w:color="auto" w:fill="FFFFFF"/>
        </w:rPr>
        <w:t>items in which participants rated their separate feelings about having sex with men or with women</w:t>
      </w:r>
      <w:r w:rsidR="005F29E1">
        <w:rPr>
          <w:rFonts w:ascii="Times" w:hAnsi="Times" w:cs="Arial"/>
          <w:color w:val="222222"/>
          <w:shd w:val="clear" w:color="auto" w:fill="FFFFFF"/>
        </w:rPr>
        <w:t xml:space="preserve"> (1=disgusting</w:t>
      </w:r>
      <w:r w:rsidR="00390DFF">
        <w:rPr>
          <w:rFonts w:ascii="Times" w:hAnsi="Times" w:cs="Arial"/>
          <w:color w:val="222222"/>
          <w:shd w:val="clear" w:color="auto" w:fill="FFFFFF"/>
        </w:rPr>
        <w:t>; 2=unpleasant; 3=neutral; 4=moderately exciting;</w:t>
      </w:r>
      <w:r w:rsidR="005F29E1">
        <w:rPr>
          <w:rFonts w:ascii="Times" w:hAnsi="Times" w:cs="Arial"/>
          <w:color w:val="222222"/>
          <w:shd w:val="clear" w:color="auto" w:fill="FFFFFF"/>
        </w:rPr>
        <w:t xml:space="preserve"> 5=very sexually exciting)</w:t>
      </w:r>
      <w:r>
        <w:rPr>
          <w:rFonts w:ascii="Times" w:hAnsi="Times" w:cs="Arial"/>
          <w:color w:val="222222"/>
          <w:shd w:val="clear" w:color="auto" w:fill="FFFFFF"/>
        </w:rPr>
        <w:t xml:space="preserve">. </w:t>
      </w:r>
      <w:r w:rsidR="00755FF3">
        <w:rPr>
          <w:rFonts w:ascii="Times" w:hAnsi="Times" w:cs="Arial"/>
          <w:color w:val="222222"/>
          <w:shd w:val="clear" w:color="auto" w:fill="FFFFFF"/>
        </w:rPr>
        <w:t xml:space="preserve">Heterosexual men’s Kinsey ratings were required to be 0 or 1, and homosexual men’s Kinsey ratings were required to be 5 or 6. </w:t>
      </w:r>
      <w:r w:rsidR="00474389">
        <w:rPr>
          <w:rFonts w:ascii="Times" w:hAnsi="Times" w:cs="Arial"/>
          <w:color w:val="222222"/>
          <w:shd w:val="clear" w:color="auto" w:fill="FFFFFF"/>
        </w:rPr>
        <w:t xml:space="preserve">Eight </w:t>
      </w:r>
      <w:r>
        <w:rPr>
          <w:rFonts w:ascii="Times" w:hAnsi="Times" w:cs="Arial"/>
          <w:color w:val="222222"/>
          <w:shd w:val="clear" w:color="auto" w:fill="FFFFFF"/>
        </w:rPr>
        <w:t xml:space="preserve">men’s sexual identities (all heterosexual) were inconsistent with their </w:t>
      </w:r>
      <w:r w:rsidR="00140738">
        <w:rPr>
          <w:rFonts w:ascii="Times" w:hAnsi="Times" w:cs="Arial"/>
          <w:color w:val="222222"/>
          <w:shd w:val="clear" w:color="auto" w:fill="FFFFFF"/>
        </w:rPr>
        <w:t xml:space="preserve">reported </w:t>
      </w:r>
      <w:r>
        <w:rPr>
          <w:rFonts w:ascii="Times" w:hAnsi="Times" w:cs="Arial"/>
          <w:color w:val="222222"/>
          <w:shd w:val="clear" w:color="auto" w:fill="FFFFFF"/>
        </w:rPr>
        <w:t>sexual feelings</w:t>
      </w:r>
      <w:r w:rsidR="00092A04">
        <w:rPr>
          <w:rFonts w:ascii="Times" w:hAnsi="Times" w:cs="Arial"/>
          <w:color w:val="222222"/>
          <w:shd w:val="clear" w:color="auto" w:fill="FFFFFF"/>
        </w:rPr>
        <w:t xml:space="preserve"> (based on any of the three aforementioned scales)</w:t>
      </w:r>
      <w:r w:rsidR="00474389">
        <w:rPr>
          <w:rFonts w:ascii="Times" w:hAnsi="Times" w:cs="Arial"/>
          <w:color w:val="222222"/>
          <w:shd w:val="clear" w:color="auto" w:fill="FFFFFF"/>
        </w:rPr>
        <w:t>,</w:t>
      </w:r>
      <w:r>
        <w:rPr>
          <w:rFonts w:ascii="Times" w:hAnsi="Times" w:cs="Arial"/>
          <w:color w:val="222222"/>
          <w:shd w:val="clear" w:color="auto" w:fill="FFFFFF"/>
        </w:rPr>
        <w:t xml:space="preserve"> and were excluded</w:t>
      </w:r>
      <w:r w:rsidR="00474389">
        <w:rPr>
          <w:rFonts w:ascii="Times" w:hAnsi="Times" w:cs="Arial"/>
          <w:color w:val="222222"/>
          <w:shd w:val="clear" w:color="auto" w:fill="FFFFFF"/>
        </w:rPr>
        <w:t xml:space="preserve"> from the present study</w:t>
      </w:r>
      <w:r>
        <w:rPr>
          <w:rFonts w:ascii="Times" w:hAnsi="Times" w:cs="Arial"/>
          <w:color w:val="222222"/>
          <w:shd w:val="clear" w:color="auto" w:fill="FFFFFF"/>
        </w:rPr>
        <w:t xml:space="preserve">. </w:t>
      </w:r>
    </w:p>
    <w:p w14:paraId="2770D97B" w14:textId="19D390B9" w:rsidR="00DC6F29" w:rsidRPr="004347C9" w:rsidRDefault="00583909" w:rsidP="00E91E9B">
      <w:pPr>
        <w:spacing w:line="480" w:lineRule="auto"/>
        <w:ind w:firstLine="720"/>
        <w:rPr>
          <w:rFonts w:ascii="Times" w:hAnsi="Times"/>
        </w:rPr>
      </w:pPr>
      <w:r w:rsidRPr="000C55EE">
        <w:rPr>
          <w:rFonts w:ascii="Times" w:hAnsi="Times" w:cs="Arial"/>
          <w:i/>
          <w:color w:val="222222"/>
          <w:shd w:val="clear" w:color="auto" w:fill="FFFFFF"/>
        </w:rPr>
        <w:t>Childhood Gender Nonconformity</w:t>
      </w:r>
      <w:r w:rsidR="00F41A93" w:rsidRPr="000C55EE">
        <w:rPr>
          <w:rFonts w:ascii="Times" w:hAnsi="Times" w:cs="Arial"/>
          <w:i/>
          <w:color w:val="222222"/>
          <w:shd w:val="clear" w:color="auto" w:fill="FFFFFF"/>
        </w:rPr>
        <w:t>.</w:t>
      </w:r>
      <w:r w:rsidRPr="000C55EE">
        <w:rPr>
          <w:rFonts w:ascii="Times" w:hAnsi="Times" w:cs="Arial"/>
          <w:i/>
          <w:color w:val="222222"/>
          <w:shd w:val="clear" w:color="auto" w:fill="FFFFFF"/>
        </w:rPr>
        <w:t xml:space="preserve"> </w:t>
      </w:r>
      <w:r w:rsidR="00DC6F29" w:rsidRPr="004347C9">
        <w:rPr>
          <w:rFonts w:ascii="Times" w:hAnsi="Times"/>
        </w:rPr>
        <w:t xml:space="preserve">This measure used the 23 items from </w:t>
      </w:r>
      <w:r w:rsidR="00DC6F29" w:rsidRPr="004347C9">
        <w:rPr>
          <w:rFonts w:ascii="Times" w:hAnsi="Times" w:cs="Arial"/>
          <w:color w:val="222222"/>
          <w:shd w:val="clear" w:color="auto" w:fill="FFFFFF"/>
        </w:rPr>
        <w:t>The Recalled Childhood</w:t>
      </w:r>
      <w:r w:rsidR="00DC6F29" w:rsidRPr="004347C9">
        <w:rPr>
          <w:rStyle w:val="apple-converted-space"/>
          <w:rFonts w:ascii="Times" w:hAnsi="Times" w:cs="Arial"/>
          <w:color w:val="222222"/>
          <w:shd w:val="clear" w:color="auto" w:fill="FFFFFF"/>
        </w:rPr>
        <w:t> </w:t>
      </w:r>
      <w:r w:rsidR="00DC6F29" w:rsidRPr="004347C9">
        <w:rPr>
          <w:rFonts w:ascii="Times" w:hAnsi="Times" w:cs="Arial"/>
          <w:color w:val="222222"/>
          <w:shd w:val="clear" w:color="auto" w:fill="FFFFFF"/>
        </w:rPr>
        <w:t xml:space="preserve">Gender Identity/Gender Role Questionnaire (Zucker, Mitchell, Bradley, Tkachuk, Cantor, &amp; Allin, 2006). </w:t>
      </w:r>
      <w:r w:rsidR="008E7726">
        <w:rPr>
          <w:rFonts w:ascii="Times" w:hAnsi="Times" w:cs="Arial"/>
          <w:color w:val="222222"/>
          <w:shd w:val="clear" w:color="auto" w:fill="FFFFFF"/>
        </w:rPr>
        <w:t xml:space="preserve">Items were standardized </w:t>
      </w:r>
      <w:r w:rsidR="00280897">
        <w:rPr>
          <w:rFonts w:ascii="Times" w:hAnsi="Times" w:cs="Arial"/>
          <w:color w:val="222222"/>
          <w:shd w:val="clear" w:color="auto" w:fill="FFFFFF"/>
        </w:rPr>
        <w:t xml:space="preserve">(for the sake of computational </w:t>
      </w:r>
      <w:r w:rsidR="003A3F21">
        <w:rPr>
          <w:rFonts w:ascii="Times" w:hAnsi="Times" w:cs="Arial"/>
          <w:color w:val="222222"/>
          <w:shd w:val="clear" w:color="auto" w:fill="FFFFFF"/>
        </w:rPr>
        <w:t xml:space="preserve">simplicity) </w:t>
      </w:r>
      <w:r w:rsidR="008E7726">
        <w:rPr>
          <w:rFonts w:ascii="Times" w:hAnsi="Times" w:cs="Arial"/>
          <w:color w:val="222222"/>
          <w:shd w:val="clear" w:color="auto" w:fill="FFFFFF"/>
        </w:rPr>
        <w:t>and then averaged</w:t>
      </w:r>
      <w:r w:rsidR="004347C9" w:rsidRPr="004347C9">
        <w:rPr>
          <w:rFonts w:ascii="Times" w:hAnsi="Times" w:cs="Arial"/>
          <w:color w:val="222222"/>
          <w:shd w:val="clear" w:color="auto" w:fill="FFFFFF"/>
        </w:rPr>
        <w:t>. Higher scores represented greater degrees of childhood gender nonconformity. Reliability (coefficient alpha) was</w:t>
      </w:r>
      <w:r w:rsidR="001E4276">
        <w:rPr>
          <w:rFonts w:ascii="Times" w:hAnsi="Times" w:cs="Arial"/>
          <w:color w:val="222222"/>
          <w:shd w:val="clear" w:color="auto" w:fill="FFFFFF"/>
        </w:rPr>
        <w:t xml:space="preserve"> </w:t>
      </w:r>
      <w:r w:rsidR="004347C9" w:rsidRPr="004347C9">
        <w:rPr>
          <w:rFonts w:ascii="Times" w:hAnsi="Times" w:cs="Arial"/>
          <w:color w:val="222222"/>
          <w:shd w:val="clear" w:color="auto" w:fill="FFFFFF"/>
        </w:rPr>
        <w:t>.91.</w:t>
      </w:r>
    </w:p>
    <w:p w14:paraId="2F540BEA" w14:textId="167FA31D" w:rsidR="004347C9" w:rsidRPr="004347C9" w:rsidRDefault="00583909" w:rsidP="00E91E9B">
      <w:pPr>
        <w:spacing w:line="480" w:lineRule="auto"/>
        <w:ind w:firstLine="720"/>
        <w:rPr>
          <w:rFonts w:ascii="Times" w:hAnsi="Times"/>
        </w:rPr>
      </w:pPr>
      <w:r w:rsidRPr="000C55EE">
        <w:rPr>
          <w:rFonts w:ascii="Times" w:hAnsi="Times" w:cs="Arial"/>
          <w:i/>
          <w:color w:val="222222"/>
          <w:shd w:val="clear" w:color="auto" w:fill="FFFFFF"/>
        </w:rPr>
        <w:lastRenderedPageBreak/>
        <w:t>Adult Gender Nonconformity</w:t>
      </w:r>
      <w:r w:rsidR="004347C9" w:rsidRPr="000C55EE">
        <w:rPr>
          <w:rFonts w:ascii="Times" w:hAnsi="Times" w:cs="Arial"/>
          <w:i/>
          <w:color w:val="222222"/>
          <w:shd w:val="clear" w:color="auto" w:fill="FFFFFF"/>
        </w:rPr>
        <w:t>.</w:t>
      </w:r>
      <w:r w:rsidR="004347C9" w:rsidRPr="004347C9">
        <w:rPr>
          <w:rFonts w:ascii="Times" w:hAnsi="Times" w:cs="Arial"/>
          <w:color w:val="222222"/>
          <w:shd w:val="clear" w:color="auto" w:fill="FFFFFF"/>
        </w:rPr>
        <w:t xml:space="preserve"> This measure</w:t>
      </w:r>
      <w:r>
        <w:rPr>
          <w:rFonts w:ascii="Times" w:hAnsi="Times" w:cs="Arial"/>
          <w:color w:val="222222"/>
          <w:shd w:val="clear" w:color="auto" w:fill="FFFFFF"/>
        </w:rPr>
        <w:t>, previously called the Adulthood Continuous</w:t>
      </w:r>
      <w:r w:rsidR="004347C9" w:rsidRPr="004347C9">
        <w:rPr>
          <w:rFonts w:ascii="Times" w:hAnsi="Times" w:cs="Arial"/>
          <w:color w:val="222222"/>
          <w:shd w:val="clear" w:color="auto" w:fill="FFFFFF"/>
        </w:rPr>
        <w:t xml:space="preserve"> </w:t>
      </w:r>
      <w:r>
        <w:rPr>
          <w:rFonts w:ascii="Times" w:hAnsi="Times" w:cs="Arial"/>
          <w:color w:val="222222"/>
          <w:shd w:val="clear" w:color="auto" w:fill="FFFFFF"/>
        </w:rPr>
        <w:t>Gender Identity Scale</w:t>
      </w:r>
      <w:r w:rsidR="004347C9" w:rsidRPr="004347C9">
        <w:rPr>
          <w:rFonts w:ascii="Times" w:hAnsi="Times" w:cs="Arial"/>
          <w:color w:val="222222"/>
          <w:shd w:val="clear" w:color="auto" w:fill="FFFFFF"/>
        </w:rPr>
        <w:t xml:space="preserve"> </w:t>
      </w:r>
      <w:r>
        <w:rPr>
          <w:rFonts w:ascii="Times" w:hAnsi="Times" w:cs="Arial"/>
          <w:color w:val="222222"/>
          <w:shd w:val="clear" w:color="auto" w:fill="FFFFFF"/>
        </w:rPr>
        <w:t>(</w:t>
      </w:r>
      <w:r w:rsidR="00316EFA">
        <w:rPr>
          <w:rFonts w:ascii="Times" w:hAnsi="Times" w:cs="Arial"/>
          <w:color w:val="222222"/>
          <w:shd w:val="clear" w:color="auto" w:fill="FFFFFF"/>
        </w:rPr>
        <w:t>Rieger et al., 2008</w:t>
      </w:r>
      <w:r>
        <w:rPr>
          <w:rFonts w:ascii="Times" w:hAnsi="Times" w:cs="Arial"/>
          <w:color w:val="222222"/>
          <w:shd w:val="clear" w:color="auto" w:fill="FFFFFF"/>
        </w:rPr>
        <w:t>) included eight items regarding the degree to which the respondent report</w:t>
      </w:r>
      <w:r w:rsidR="00CB2669">
        <w:rPr>
          <w:rFonts w:ascii="Times" w:hAnsi="Times" w:cs="Arial"/>
          <w:color w:val="222222"/>
          <w:shd w:val="clear" w:color="auto" w:fill="FFFFFF"/>
        </w:rPr>
        <w:t>ed</w:t>
      </w:r>
      <w:r>
        <w:rPr>
          <w:rFonts w:ascii="Times" w:hAnsi="Times" w:cs="Arial"/>
          <w:color w:val="222222"/>
          <w:shd w:val="clear" w:color="auto" w:fill="FFFFFF"/>
        </w:rPr>
        <w:t xml:space="preserve"> feeling </w:t>
      </w:r>
      <w:r w:rsidR="00BC03B4">
        <w:rPr>
          <w:rFonts w:ascii="Times" w:hAnsi="Times" w:cs="Arial"/>
          <w:color w:val="222222"/>
          <w:shd w:val="clear" w:color="auto" w:fill="FFFFFF"/>
        </w:rPr>
        <w:t>more feminine and less masculine</w:t>
      </w:r>
      <w:r>
        <w:rPr>
          <w:rFonts w:ascii="Times" w:hAnsi="Times" w:cs="Arial"/>
          <w:color w:val="222222"/>
          <w:shd w:val="clear" w:color="auto" w:fill="FFFFFF"/>
        </w:rPr>
        <w:t>. Each item used a seven-point rating scale, and higher scores represented increased femininity. Coefficient alpha was</w:t>
      </w:r>
      <w:r w:rsidR="001E4276">
        <w:rPr>
          <w:rFonts w:ascii="Times" w:hAnsi="Times" w:cs="Arial"/>
          <w:color w:val="222222"/>
          <w:shd w:val="clear" w:color="auto" w:fill="FFFFFF"/>
        </w:rPr>
        <w:t xml:space="preserve"> </w:t>
      </w:r>
      <w:r>
        <w:rPr>
          <w:rFonts w:ascii="Times" w:hAnsi="Times" w:cs="Arial"/>
          <w:color w:val="222222"/>
          <w:shd w:val="clear" w:color="auto" w:fill="FFFFFF"/>
        </w:rPr>
        <w:t xml:space="preserve">.76. </w:t>
      </w:r>
    </w:p>
    <w:p w14:paraId="64C3F607" w14:textId="62041253" w:rsidR="00E856AF" w:rsidRDefault="00583909" w:rsidP="00E91E9B">
      <w:pPr>
        <w:spacing w:line="480" w:lineRule="auto"/>
        <w:ind w:firstLine="720"/>
        <w:rPr>
          <w:rFonts w:ascii="Times" w:hAnsi="Times" w:cs="Arial"/>
          <w:color w:val="222222"/>
          <w:shd w:val="clear" w:color="auto" w:fill="FFFFFF"/>
        </w:rPr>
      </w:pPr>
      <w:r w:rsidRPr="000C55EE">
        <w:rPr>
          <w:rFonts w:ascii="Times" w:hAnsi="Times" w:cs="Arial"/>
          <w:i/>
          <w:color w:val="222222"/>
          <w:shd w:val="clear" w:color="auto" w:fill="FFFFFF"/>
        </w:rPr>
        <w:t>Demographic Information.</w:t>
      </w:r>
      <w:r>
        <w:rPr>
          <w:rFonts w:ascii="Times" w:hAnsi="Times" w:cs="Arial"/>
          <w:b/>
          <w:color w:val="222222"/>
          <w:shd w:val="clear" w:color="auto" w:fill="FFFFFF"/>
        </w:rPr>
        <w:t xml:space="preserve"> </w:t>
      </w:r>
      <w:r w:rsidR="007F6788">
        <w:rPr>
          <w:rFonts w:ascii="Times" w:hAnsi="Times" w:cs="Arial"/>
          <w:color w:val="222222"/>
          <w:shd w:val="clear" w:color="auto" w:fill="FFFFFF"/>
        </w:rPr>
        <w:t>We examined year of birth</w:t>
      </w:r>
      <w:r w:rsidR="005216F9">
        <w:rPr>
          <w:rFonts w:ascii="Times" w:hAnsi="Times" w:cs="Arial"/>
          <w:color w:val="222222"/>
          <w:shd w:val="clear" w:color="auto" w:fill="FFFFFF"/>
        </w:rPr>
        <w:t xml:space="preserve"> as one potential correlate of childhood gender nonconformity</w:t>
      </w:r>
      <w:r w:rsidR="00FA5B77">
        <w:rPr>
          <w:rFonts w:ascii="Times" w:hAnsi="Times" w:cs="Arial"/>
          <w:color w:val="222222"/>
          <w:shd w:val="clear" w:color="auto" w:fill="FFFFFF"/>
        </w:rPr>
        <w:t>.</w:t>
      </w:r>
      <w:r w:rsidR="005216F9">
        <w:rPr>
          <w:rFonts w:ascii="Times" w:hAnsi="Times" w:cs="Arial"/>
          <w:color w:val="222222"/>
          <w:shd w:val="clear" w:color="auto" w:fill="FFFFFF"/>
        </w:rPr>
        <w:t xml:space="preserve"> This variable is obviously highly correlated with age at which data were provided, but in a multi-year study such as this one, these variables are not perfectly correlated. </w:t>
      </w:r>
      <w:r w:rsidR="007A6E58">
        <w:rPr>
          <w:rFonts w:ascii="Times" w:hAnsi="Times" w:cs="Arial"/>
          <w:color w:val="222222"/>
          <w:shd w:val="clear" w:color="auto" w:fill="FFFFFF"/>
        </w:rPr>
        <w:t xml:space="preserve">Year of birth allowed us to examine whether there are age or cohort effects in the expression (or </w:t>
      </w:r>
      <w:r w:rsidR="00865F40">
        <w:rPr>
          <w:rFonts w:ascii="Times" w:hAnsi="Times" w:cs="Arial"/>
          <w:color w:val="222222"/>
          <w:shd w:val="clear" w:color="auto" w:fill="FFFFFF"/>
        </w:rPr>
        <w:t>reporting</w:t>
      </w:r>
      <w:r w:rsidR="007A6E58">
        <w:rPr>
          <w:rFonts w:ascii="Times" w:hAnsi="Times" w:cs="Arial"/>
          <w:color w:val="222222"/>
          <w:shd w:val="clear" w:color="auto" w:fill="FFFFFF"/>
        </w:rPr>
        <w:t>) of gender nonconformity</w:t>
      </w:r>
      <w:r w:rsidR="00865F40">
        <w:rPr>
          <w:rFonts w:ascii="Times" w:hAnsi="Times" w:cs="Arial"/>
          <w:color w:val="222222"/>
          <w:shd w:val="clear" w:color="auto" w:fill="FFFFFF"/>
        </w:rPr>
        <w:t>. (Cross sectional data do not allow the separation of age and cohort effects</w:t>
      </w:r>
      <w:r w:rsidR="00A2326D">
        <w:rPr>
          <w:rFonts w:ascii="Times" w:hAnsi="Times" w:cs="Arial"/>
          <w:color w:val="222222"/>
          <w:shd w:val="clear" w:color="auto" w:fill="FFFFFF"/>
        </w:rPr>
        <w:t xml:space="preserve">; </w:t>
      </w:r>
      <w:r w:rsidR="00865F40">
        <w:rPr>
          <w:rFonts w:ascii="Times" w:hAnsi="Times" w:cs="Arial"/>
          <w:color w:val="222222"/>
          <w:shd w:val="clear" w:color="auto" w:fill="FFFFFF"/>
        </w:rPr>
        <w:t>Schaie, 1965</w:t>
      </w:r>
      <w:r w:rsidR="00A2326D">
        <w:rPr>
          <w:rFonts w:ascii="Times" w:hAnsi="Times" w:cs="Arial"/>
          <w:color w:val="222222"/>
          <w:shd w:val="clear" w:color="auto" w:fill="FFFFFF"/>
        </w:rPr>
        <w:t>.</w:t>
      </w:r>
      <w:r w:rsidR="00865F40">
        <w:rPr>
          <w:rFonts w:ascii="Times" w:hAnsi="Times" w:cs="Arial"/>
          <w:color w:val="222222"/>
          <w:shd w:val="clear" w:color="auto" w:fill="FFFFFF"/>
        </w:rPr>
        <w:t>)</w:t>
      </w:r>
      <w:r w:rsidR="007A6E58">
        <w:rPr>
          <w:rFonts w:ascii="Times" w:hAnsi="Times" w:cs="Arial"/>
          <w:color w:val="222222"/>
          <w:shd w:val="clear" w:color="auto" w:fill="FFFFFF"/>
        </w:rPr>
        <w:t xml:space="preserve"> </w:t>
      </w:r>
      <w:r w:rsidR="00DD4BB3">
        <w:rPr>
          <w:rFonts w:ascii="Times" w:hAnsi="Times" w:cs="Arial"/>
          <w:color w:val="222222"/>
          <w:shd w:val="clear" w:color="auto" w:fill="FFFFFF"/>
        </w:rPr>
        <w:t xml:space="preserve">Because brothers tend to be highly correlated for age in samples that draw a wide age range, it is important to control for the effects of age in examining familial factors via correlations between brothers. </w:t>
      </w:r>
    </w:p>
    <w:p w14:paraId="75148AB9" w14:textId="50F71994" w:rsidR="00D14A12" w:rsidRDefault="00A2326D" w:rsidP="00D14A12">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 xml:space="preserve">We </w:t>
      </w:r>
      <w:r w:rsidR="00D91005">
        <w:rPr>
          <w:rFonts w:ascii="Times" w:hAnsi="Times" w:cs="Arial"/>
          <w:color w:val="222222"/>
          <w:shd w:val="clear" w:color="auto" w:fill="FFFFFF"/>
        </w:rPr>
        <w:t>assessed</w:t>
      </w:r>
      <w:r>
        <w:rPr>
          <w:rFonts w:ascii="Times" w:hAnsi="Times" w:cs="Arial"/>
          <w:color w:val="222222"/>
          <w:shd w:val="clear" w:color="auto" w:fill="FFFFFF"/>
        </w:rPr>
        <w:t xml:space="preserve"> educational </w:t>
      </w:r>
      <w:r w:rsidR="00D91005">
        <w:rPr>
          <w:rFonts w:ascii="Times" w:hAnsi="Times" w:cs="Arial"/>
          <w:color w:val="222222"/>
          <w:shd w:val="clear" w:color="auto" w:fill="FFFFFF"/>
        </w:rPr>
        <w:t xml:space="preserve">level with </w:t>
      </w:r>
      <w:r>
        <w:rPr>
          <w:rFonts w:ascii="Times" w:hAnsi="Times" w:cs="Arial"/>
          <w:color w:val="222222"/>
          <w:shd w:val="clear" w:color="auto" w:fill="FFFFFF"/>
        </w:rPr>
        <w:t>values rang</w:t>
      </w:r>
      <w:r w:rsidR="00E5298F">
        <w:rPr>
          <w:rFonts w:ascii="Times" w:hAnsi="Times" w:cs="Arial"/>
          <w:color w:val="222222"/>
          <w:shd w:val="clear" w:color="auto" w:fill="FFFFFF"/>
        </w:rPr>
        <w:t>ing</w:t>
      </w:r>
      <w:r>
        <w:rPr>
          <w:rFonts w:ascii="Times" w:hAnsi="Times" w:cs="Arial"/>
          <w:color w:val="222222"/>
          <w:shd w:val="clear" w:color="auto" w:fill="FFFFFF"/>
        </w:rPr>
        <w:t xml:space="preserve"> from 1 (no high school) to 7 (graduate degree). </w:t>
      </w:r>
      <w:r w:rsidR="00D91005">
        <w:rPr>
          <w:rFonts w:ascii="Times" w:hAnsi="Times" w:cs="Arial"/>
          <w:color w:val="222222"/>
          <w:shd w:val="clear" w:color="auto" w:fill="FFFFFF"/>
        </w:rPr>
        <w:t>T</w:t>
      </w:r>
      <w:r w:rsidR="00865F40">
        <w:rPr>
          <w:rFonts w:ascii="Times" w:hAnsi="Times" w:cs="Arial"/>
          <w:color w:val="222222"/>
          <w:shd w:val="clear" w:color="auto" w:fill="FFFFFF"/>
        </w:rPr>
        <w:t xml:space="preserve">here is </w:t>
      </w:r>
      <w:r w:rsidR="00CF0669">
        <w:rPr>
          <w:rFonts w:ascii="Times" w:hAnsi="Times" w:cs="Arial"/>
          <w:color w:val="222222"/>
          <w:shd w:val="clear" w:color="auto" w:fill="FFFFFF"/>
        </w:rPr>
        <w:t xml:space="preserve">some evidence that persistence of gender nonconformity between childhood and adulthood is greater for men of lower social class (Harry, 1985). </w:t>
      </w:r>
      <w:r w:rsidR="0008180B">
        <w:rPr>
          <w:rFonts w:ascii="Times" w:hAnsi="Times" w:cs="Arial"/>
          <w:color w:val="222222"/>
          <w:shd w:val="clear" w:color="auto" w:fill="FFFFFF"/>
        </w:rPr>
        <w:t>The earlier research used information from father’s occupation to assess social class. Respondent’s educational level is the most similar variable available in the current study.</w:t>
      </w:r>
      <w:r w:rsidR="00D14A12">
        <w:rPr>
          <w:rFonts w:ascii="Times" w:hAnsi="Times" w:cs="Arial"/>
          <w:color w:val="222222"/>
          <w:shd w:val="clear" w:color="auto" w:fill="FFFFFF"/>
        </w:rPr>
        <w:t xml:space="preserve"> </w:t>
      </w:r>
    </w:p>
    <w:p w14:paraId="1046DF92" w14:textId="4C7BF55A" w:rsidR="00DC6F29" w:rsidRDefault="000C55EE" w:rsidP="000C55EE">
      <w:pPr>
        <w:spacing w:line="480" w:lineRule="auto"/>
        <w:outlineLvl w:val="0"/>
        <w:rPr>
          <w:rFonts w:ascii="Times" w:hAnsi="Times" w:cs="Arial"/>
          <w:b/>
          <w:color w:val="222222"/>
          <w:shd w:val="clear" w:color="auto" w:fill="FFFFFF"/>
        </w:rPr>
      </w:pPr>
      <w:r>
        <w:rPr>
          <w:rFonts w:ascii="Times" w:hAnsi="Times" w:cs="Arial"/>
          <w:b/>
          <w:color w:val="222222"/>
          <w:shd w:val="clear" w:color="auto" w:fill="FFFFFF"/>
        </w:rPr>
        <w:t>RESULTS</w:t>
      </w:r>
    </w:p>
    <w:p w14:paraId="09FB9F63" w14:textId="0FCF8296" w:rsidR="00CC5C29" w:rsidRDefault="00591D4F" w:rsidP="000F4906">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The sample included 1,959 homosexual men</w:t>
      </w:r>
      <w:r w:rsidR="0087301F">
        <w:rPr>
          <w:rFonts w:ascii="Times" w:hAnsi="Times" w:cs="Arial"/>
          <w:color w:val="222222"/>
          <w:shd w:val="clear" w:color="auto" w:fill="FFFFFF"/>
        </w:rPr>
        <w:t xml:space="preserve"> and 10</w:t>
      </w:r>
      <w:r w:rsidR="00E7546C">
        <w:rPr>
          <w:rFonts w:ascii="Times" w:hAnsi="Times" w:cs="Arial"/>
          <w:color w:val="222222"/>
          <w:shd w:val="clear" w:color="auto" w:fill="FFFFFF"/>
        </w:rPr>
        <w:t>0</w:t>
      </w:r>
      <w:r w:rsidR="0087301F">
        <w:rPr>
          <w:rFonts w:ascii="Times" w:hAnsi="Times" w:cs="Arial"/>
          <w:color w:val="222222"/>
          <w:shd w:val="clear" w:color="auto" w:fill="FFFFFF"/>
        </w:rPr>
        <w:t xml:space="preserve"> heterosexual men from 1,154 distinct families. On average, the heterosexual participants reported Kinsey ratings of sexual feelings during the past year of 0.1 (SD=</w:t>
      </w:r>
      <w:r w:rsidR="00212CDD">
        <w:rPr>
          <w:rFonts w:ascii="Times" w:hAnsi="Times" w:cs="Arial"/>
          <w:color w:val="222222"/>
          <w:shd w:val="clear" w:color="auto" w:fill="FFFFFF"/>
        </w:rPr>
        <w:t xml:space="preserve">0.36) and homosexual participants 5.86 (SD=0.38). </w:t>
      </w:r>
      <w:r w:rsidR="005216F9">
        <w:rPr>
          <w:rFonts w:ascii="Times" w:hAnsi="Times" w:cs="Arial"/>
          <w:color w:val="222222"/>
          <w:shd w:val="clear" w:color="auto" w:fill="FFFFFF"/>
        </w:rPr>
        <w:t>The average birth year of participants was 1962.8</w:t>
      </w:r>
      <w:r w:rsidR="00ED4E6A">
        <w:rPr>
          <w:rFonts w:ascii="Times" w:hAnsi="Times" w:cs="Arial"/>
          <w:color w:val="222222"/>
          <w:shd w:val="clear" w:color="auto" w:fill="FFFFFF"/>
        </w:rPr>
        <w:t xml:space="preserve">, SD=11.0, Range: 1930–1989). Heterosexual participants were born significantly later than homosexual participants, with respective years of </w:t>
      </w:r>
      <w:r w:rsidR="00ED4E6A">
        <w:rPr>
          <w:rFonts w:ascii="Times" w:hAnsi="Times" w:cs="Arial"/>
          <w:color w:val="222222"/>
          <w:shd w:val="clear" w:color="auto" w:fill="FFFFFF"/>
        </w:rPr>
        <w:lastRenderedPageBreak/>
        <w:t xml:space="preserve">birth of 1962.5 (SD=11.1) and 1957 (11.0), respectively, </w:t>
      </w:r>
      <w:r w:rsidR="00ED4E6A">
        <w:rPr>
          <w:rFonts w:ascii="Times" w:hAnsi="Times" w:cs="Arial"/>
          <w:i/>
          <w:color w:val="222222"/>
          <w:shd w:val="clear" w:color="auto" w:fill="FFFFFF"/>
        </w:rPr>
        <w:t>t</w:t>
      </w:r>
      <w:r w:rsidR="00ED4E6A">
        <w:rPr>
          <w:rFonts w:ascii="Times" w:hAnsi="Times" w:cs="Arial"/>
          <w:color w:val="222222"/>
          <w:shd w:val="clear" w:color="auto" w:fill="FFFFFF"/>
        </w:rPr>
        <w:t xml:space="preserve">(1,998)=3.30, </w:t>
      </w:r>
      <w:r w:rsidR="00ED4E6A">
        <w:rPr>
          <w:rFonts w:ascii="Times" w:hAnsi="Times" w:cs="Arial"/>
          <w:i/>
          <w:color w:val="222222"/>
          <w:shd w:val="clear" w:color="auto" w:fill="FFFFFF"/>
        </w:rPr>
        <w:t>p</w:t>
      </w:r>
      <w:r w:rsidR="00ED4E6A">
        <w:rPr>
          <w:rFonts w:ascii="Times" w:hAnsi="Times" w:cs="Arial"/>
          <w:color w:val="222222"/>
          <w:shd w:val="clear" w:color="auto" w:fill="FFFFFF"/>
        </w:rPr>
        <w:t xml:space="preserve">=.001. </w:t>
      </w:r>
      <w:r w:rsidR="00180426">
        <w:rPr>
          <w:rFonts w:ascii="Times" w:hAnsi="Times" w:cs="Arial"/>
          <w:color w:val="222222"/>
          <w:shd w:val="clear" w:color="auto" w:fill="FFFFFF"/>
        </w:rPr>
        <w:t xml:space="preserve">This may </w:t>
      </w:r>
      <w:r w:rsidR="002266FA">
        <w:rPr>
          <w:rFonts w:ascii="Times" w:hAnsi="Times" w:cs="Arial"/>
          <w:color w:val="222222"/>
          <w:shd w:val="clear" w:color="auto" w:fill="FFFFFF"/>
        </w:rPr>
        <w:t>have reflected</w:t>
      </w:r>
      <w:r w:rsidR="00180426">
        <w:rPr>
          <w:rFonts w:ascii="Times" w:hAnsi="Times" w:cs="Arial"/>
          <w:color w:val="222222"/>
          <w:shd w:val="clear" w:color="auto" w:fill="FFFFFF"/>
        </w:rPr>
        <w:t xml:space="preserve"> younger homosexual participants being more willing </w:t>
      </w:r>
      <w:r w:rsidR="00E7546C">
        <w:rPr>
          <w:rFonts w:ascii="Times" w:hAnsi="Times" w:cs="Arial"/>
          <w:color w:val="222222"/>
          <w:shd w:val="clear" w:color="auto" w:fill="FFFFFF"/>
        </w:rPr>
        <w:t xml:space="preserve">than older homosexual participants </w:t>
      </w:r>
      <w:r w:rsidR="00180426">
        <w:rPr>
          <w:rFonts w:ascii="Times" w:hAnsi="Times" w:cs="Arial"/>
          <w:color w:val="222222"/>
          <w:shd w:val="clear" w:color="auto" w:fill="FFFFFF"/>
        </w:rPr>
        <w:t>to involve their heterosexual brothers,</w:t>
      </w:r>
      <w:r w:rsidR="00713A41">
        <w:rPr>
          <w:rFonts w:ascii="Times" w:hAnsi="Times" w:cs="Arial"/>
          <w:color w:val="222222"/>
          <w:shd w:val="clear" w:color="auto" w:fill="FFFFFF"/>
        </w:rPr>
        <w:t xml:space="preserve"> due to the marked increase in positive attitudes towards homosexuality </w:t>
      </w:r>
      <w:r w:rsidR="00E62803">
        <w:rPr>
          <w:rFonts w:ascii="Times" w:hAnsi="Times" w:cs="Arial"/>
          <w:color w:val="222222"/>
          <w:shd w:val="clear" w:color="auto" w:fill="FFFFFF"/>
        </w:rPr>
        <w:t xml:space="preserve">during the past few decades </w:t>
      </w:r>
      <w:r w:rsidR="00713A41">
        <w:rPr>
          <w:rFonts w:ascii="Times" w:hAnsi="Times" w:cs="Arial"/>
          <w:color w:val="222222"/>
          <w:shd w:val="clear" w:color="auto" w:fill="FFFFFF"/>
        </w:rPr>
        <w:t>(</w:t>
      </w:r>
      <w:r w:rsidR="00684E40">
        <w:rPr>
          <w:rFonts w:ascii="Times" w:hAnsi="Times" w:cs="Arial"/>
          <w:color w:val="222222"/>
          <w:shd w:val="clear" w:color="auto" w:fill="FFFFFF"/>
        </w:rPr>
        <w:t xml:space="preserve">e.g., Loftus, 2001). </w:t>
      </w:r>
      <w:r w:rsidR="00ED4E6A">
        <w:rPr>
          <w:rFonts w:ascii="Times" w:hAnsi="Times" w:cs="Arial"/>
          <w:color w:val="222222"/>
          <w:shd w:val="clear" w:color="auto" w:fill="FFFFFF"/>
        </w:rPr>
        <w:t>On average participants had educational attainment of 5.3 (</w:t>
      </w:r>
      <w:r w:rsidR="002D31E1">
        <w:rPr>
          <w:rFonts w:ascii="Times" w:hAnsi="Times" w:cs="Arial"/>
          <w:color w:val="222222"/>
          <w:shd w:val="clear" w:color="auto" w:fill="FFFFFF"/>
        </w:rPr>
        <w:t>SD=1.4), or somewhat more than a college degree; heterosexual and homosexual participants did not differ</w:t>
      </w:r>
      <w:r w:rsidR="005D4586">
        <w:rPr>
          <w:rFonts w:ascii="Times" w:hAnsi="Times" w:cs="Arial"/>
          <w:color w:val="222222"/>
          <w:shd w:val="clear" w:color="auto" w:fill="FFFFFF"/>
        </w:rPr>
        <w:t xml:space="preserve"> signif</w:t>
      </w:r>
      <w:r w:rsidR="005C3453">
        <w:rPr>
          <w:rFonts w:ascii="Times" w:hAnsi="Times" w:cs="Arial"/>
          <w:color w:val="222222"/>
          <w:shd w:val="clear" w:color="auto" w:fill="FFFFFF"/>
        </w:rPr>
        <w:t>i</w:t>
      </w:r>
      <w:r w:rsidR="005D4586">
        <w:rPr>
          <w:rFonts w:ascii="Times" w:hAnsi="Times" w:cs="Arial"/>
          <w:color w:val="222222"/>
          <w:shd w:val="clear" w:color="auto" w:fill="FFFFFF"/>
        </w:rPr>
        <w:t>cantly</w:t>
      </w:r>
      <w:r w:rsidR="002D31E1">
        <w:rPr>
          <w:rFonts w:ascii="Times" w:hAnsi="Times" w:cs="Arial"/>
          <w:color w:val="222222"/>
          <w:shd w:val="clear" w:color="auto" w:fill="FFFFFF"/>
        </w:rPr>
        <w:t>.</w:t>
      </w:r>
      <w:r w:rsidR="00ED4E6A">
        <w:rPr>
          <w:rFonts w:ascii="Times" w:hAnsi="Times" w:cs="Arial"/>
          <w:color w:val="222222"/>
          <w:shd w:val="clear" w:color="auto" w:fill="FFFFFF"/>
        </w:rPr>
        <w:t xml:space="preserve"> </w:t>
      </w:r>
    </w:p>
    <w:p w14:paraId="151E5E0D" w14:textId="77777777" w:rsidR="00FA5B77" w:rsidRDefault="00394426" w:rsidP="00A36216">
      <w:pPr>
        <w:spacing w:line="480" w:lineRule="auto"/>
        <w:outlineLvl w:val="0"/>
        <w:rPr>
          <w:rFonts w:ascii="Times" w:hAnsi="Times" w:cs="Arial"/>
          <w:color w:val="222222"/>
          <w:shd w:val="clear" w:color="auto" w:fill="FFFFFF"/>
        </w:rPr>
      </w:pPr>
      <w:r>
        <w:rPr>
          <w:rFonts w:ascii="Times" w:hAnsi="Times" w:cs="Arial"/>
          <w:b/>
          <w:color w:val="222222"/>
          <w:shd w:val="clear" w:color="auto" w:fill="FFFFFF"/>
        </w:rPr>
        <w:t>Gender Nonconformity Differences Between Heterosexual and Homosexual Men</w:t>
      </w:r>
    </w:p>
    <w:p w14:paraId="490ADE55" w14:textId="1F98A473" w:rsidR="00C24878" w:rsidRPr="00C24878" w:rsidRDefault="00C24878" w:rsidP="000F4906">
      <w:pPr>
        <w:spacing w:line="480" w:lineRule="auto"/>
        <w:ind w:firstLine="720"/>
        <w:rPr>
          <w:rFonts w:ascii="Times" w:hAnsi="Times" w:cs="Arial"/>
          <w:i/>
          <w:color w:val="222222"/>
          <w:shd w:val="clear" w:color="auto" w:fill="FFFFFF"/>
        </w:rPr>
      </w:pPr>
      <w:r>
        <w:rPr>
          <w:rFonts w:ascii="Times" w:hAnsi="Times" w:cs="Arial"/>
          <w:color w:val="222222"/>
          <w:shd w:val="clear" w:color="auto" w:fill="FFFFFF"/>
        </w:rPr>
        <w:t xml:space="preserve">Adult and childhood gender nonconformity were significantly correlated </w:t>
      </w:r>
      <w:r w:rsidR="00AA5B7D">
        <w:rPr>
          <w:rFonts w:ascii="Times" w:hAnsi="Times" w:cs="Arial"/>
          <w:color w:val="222222"/>
          <w:shd w:val="clear" w:color="auto" w:fill="FFFFFF"/>
        </w:rPr>
        <w:t>with each other</w:t>
      </w:r>
      <w:r w:rsidR="001D52EF">
        <w:rPr>
          <w:rFonts w:ascii="Times" w:hAnsi="Times" w:cs="Arial"/>
          <w:color w:val="222222"/>
          <w:shd w:val="clear" w:color="auto" w:fill="FFFFFF"/>
        </w:rPr>
        <w:t>,</w:t>
      </w:r>
      <w:r w:rsidR="00AA5B7D">
        <w:rPr>
          <w:rFonts w:ascii="Times" w:hAnsi="Times" w:cs="Arial"/>
          <w:color w:val="222222"/>
          <w:shd w:val="clear" w:color="auto" w:fill="FFFFFF"/>
        </w:rPr>
        <w:t xml:space="preserve"> </w:t>
      </w:r>
      <w:r>
        <w:rPr>
          <w:rFonts w:ascii="Times" w:hAnsi="Times" w:cs="Arial"/>
          <w:color w:val="222222"/>
          <w:shd w:val="clear" w:color="auto" w:fill="FFFFFF"/>
        </w:rPr>
        <w:t xml:space="preserve">for both heterosexual and homosexual men. Respectively, </w:t>
      </w:r>
      <w:r>
        <w:rPr>
          <w:rFonts w:ascii="Times" w:hAnsi="Times" w:cs="Arial"/>
          <w:i/>
          <w:color w:val="222222"/>
          <w:shd w:val="clear" w:color="auto" w:fill="FFFFFF"/>
        </w:rPr>
        <w:t>r</w:t>
      </w:r>
      <w:r>
        <w:rPr>
          <w:rFonts w:ascii="Times" w:hAnsi="Times" w:cs="Arial"/>
          <w:color w:val="222222"/>
          <w:shd w:val="clear" w:color="auto" w:fill="FFFFFF"/>
        </w:rPr>
        <w:t>(9</w:t>
      </w:r>
      <w:r w:rsidR="00E62803">
        <w:rPr>
          <w:rFonts w:ascii="Times" w:hAnsi="Times" w:cs="Arial"/>
          <w:color w:val="222222"/>
          <w:shd w:val="clear" w:color="auto" w:fill="FFFFFF"/>
        </w:rPr>
        <w:t>4</w:t>
      </w:r>
      <w:r>
        <w:rPr>
          <w:rFonts w:ascii="Times" w:hAnsi="Times" w:cs="Arial"/>
          <w:color w:val="222222"/>
          <w:shd w:val="clear" w:color="auto" w:fill="FFFFFF"/>
        </w:rPr>
        <w:t>)=.</w:t>
      </w:r>
      <w:r w:rsidR="00E62803">
        <w:rPr>
          <w:rFonts w:ascii="Times" w:hAnsi="Times" w:cs="Arial"/>
          <w:color w:val="222222"/>
          <w:shd w:val="clear" w:color="auto" w:fill="FFFFFF"/>
        </w:rPr>
        <w:t>5</w:t>
      </w:r>
      <w:r w:rsidR="00CD3238">
        <w:rPr>
          <w:rFonts w:ascii="Times" w:hAnsi="Times" w:cs="Arial"/>
          <w:color w:val="222222"/>
          <w:shd w:val="clear" w:color="auto" w:fill="FFFFFF"/>
        </w:rPr>
        <w:t>4</w:t>
      </w:r>
      <w:r>
        <w:rPr>
          <w:rFonts w:ascii="Times" w:hAnsi="Times" w:cs="Arial"/>
          <w:color w:val="222222"/>
          <w:shd w:val="clear" w:color="auto" w:fill="FFFFFF"/>
        </w:rPr>
        <w:t xml:space="preserve">, </w:t>
      </w:r>
      <w:r>
        <w:rPr>
          <w:rFonts w:ascii="Times" w:hAnsi="Times" w:cs="Arial"/>
          <w:i/>
          <w:color w:val="222222"/>
          <w:shd w:val="clear" w:color="auto" w:fill="FFFFFF"/>
        </w:rPr>
        <w:t>p</w:t>
      </w:r>
      <w:r>
        <w:rPr>
          <w:rFonts w:ascii="Times" w:hAnsi="Times" w:cs="Arial"/>
          <w:color w:val="222222"/>
          <w:shd w:val="clear" w:color="auto" w:fill="FFFFFF"/>
        </w:rPr>
        <w:t xml:space="preserve">&lt;.0001 and </w:t>
      </w:r>
      <w:r>
        <w:rPr>
          <w:rFonts w:ascii="Times" w:hAnsi="Times" w:cs="Arial"/>
          <w:i/>
          <w:color w:val="222222"/>
          <w:shd w:val="clear" w:color="auto" w:fill="FFFFFF"/>
        </w:rPr>
        <w:t>r</w:t>
      </w:r>
      <w:r>
        <w:rPr>
          <w:rFonts w:ascii="Times" w:hAnsi="Times" w:cs="Arial"/>
          <w:color w:val="222222"/>
          <w:shd w:val="clear" w:color="auto" w:fill="FFFFFF"/>
        </w:rPr>
        <w:t xml:space="preserve">(1898)=.60, </w:t>
      </w:r>
      <w:r>
        <w:rPr>
          <w:rFonts w:ascii="Times" w:hAnsi="Times" w:cs="Arial"/>
          <w:i/>
          <w:color w:val="222222"/>
          <w:shd w:val="clear" w:color="auto" w:fill="FFFFFF"/>
        </w:rPr>
        <w:t>p</w:t>
      </w:r>
      <w:r>
        <w:rPr>
          <w:rFonts w:ascii="Times" w:hAnsi="Times" w:cs="Arial"/>
          <w:color w:val="222222"/>
          <w:shd w:val="clear" w:color="auto" w:fill="FFFFFF"/>
        </w:rPr>
        <w:t xml:space="preserve">&lt;.0001. </w:t>
      </w:r>
      <w:r w:rsidR="00BB0309">
        <w:rPr>
          <w:rFonts w:ascii="Times" w:hAnsi="Times" w:cs="Arial"/>
          <w:color w:val="222222"/>
          <w:shd w:val="clear" w:color="auto" w:fill="FFFFFF"/>
        </w:rPr>
        <w:t xml:space="preserve">(Six heterosexual men and 61 homosexual men were missing data </w:t>
      </w:r>
      <w:r w:rsidR="00F42158">
        <w:rPr>
          <w:rFonts w:ascii="Times" w:hAnsi="Times" w:cs="Arial"/>
          <w:color w:val="222222"/>
          <w:shd w:val="clear" w:color="auto" w:fill="FFFFFF"/>
        </w:rPr>
        <w:t>for</w:t>
      </w:r>
      <w:r w:rsidR="00BB0309">
        <w:rPr>
          <w:rFonts w:ascii="Times" w:hAnsi="Times" w:cs="Arial"/>
          <w:color w:val="222222"/>
          <w:shd w:val="clear" w:color="auto" w:fill="FFFFFF"/>
        </w:rPr>
        <w:t xml:space="preserve"> at</w:t>
      </w:r>
      <w:r w:rsidR="00F42158">
        <w:rPr>
          <w:rFonts w:ascii="Times" w:hAnsi="Times" w:cs="Arial"/>
          <w:color w:val="222222"/>
          <w:shd w:val="clear" w:color="auto" w:fill="FFFFFF"/>
        </w:rPr>
        <w:t xml:space="preserve"> least one </w:t>
      </w:r>
      <w:r w:rsidR="00B41C40">
        <w:rPr>
          <w:rFonts w:ascii="Times" w:hAnsi="Times" w:cs="Arial"/>
          <w:color w:val="222222"/>
          <w:shd w:val="clear" w:color="auto" w:fill="FFFFFF"/>
        </w:rPr>
        <w:t>measure.)</w:t>
      </w:r>
    </w:p>
    <w:p w14:paraId="410032E7" w14:textId="49F35BFC" w:rsidR="008C4AA6" w:rsidRDefault="00B7182A" w:rsidP="000F4906">
      <w:pPr>
        <w:spacing w:line="480" w:lineRule="auto"/>
        <w:ind w:firstLine="720"/>
        <w:rPr>
          <w:rFonts w:ascii="Times" w:hAnsi="Times"/>
        </w:rPr>
      </w:pPr>
      <w:r>
        <w:rPr>
          <w:rFonts w:ascii="Times" w:hAnsi="Times" w:cs="Arial"/>
          <w:color w:val="222222"/>
          <w:shd w:val="clear" w:color="auto" w:fill="FFFFFF"/>
        </w:rPr>
        <w:t xml:space="preserve">Table 2 presents the means and standard deviations for measures of gender nonconformity during childhood and adulthood, separately for heterosexual and homosexual men. Both differences were statistically significant and large. For childhood </w:t>
      </w:r>
      <w:r w:rsidR="005D603D">
        <w:rPr>
          <w:rFonts w:ascii="Times" w:hAnsi="Times" w:cs="Arial"/>
          <w:i/>
          <w:color w:val="222222"/>
          <w:shd w:val="clear" w:color="auto" w:fill="FFFFFF"/>
        </w:rPr>
        <w:t>t</w:t>
      </w:r>
      <w:r w:rsidR="008C4AA6">
        <w:rPr>
          <w:rFonts w:ascii="Times" w:hAnsi="Times" w:cs="Arial"/>
          <w:color w:val="222222"/>
          <w:shd w:val="clear" w:color="auto" w:fill="FFFFFF"/>
        </w:rPr>
        <w:t>(</w:t>
      </w:r>
      <w:r w:rsidR="00E12537">
        <w:rPr>
          <w:rFonts w:ascii="Times" w:hAnsi="Times" w:cs="Arial"/>
          <w:color w:val="222222"/>
          <w:shd w:val="clear" w:color="auto" w:fill="FFFFFF"/>
        </w:rPr>
        <w:t>2002</w:t>
      </w:r>
      <w:r w:rsidR="005D603D">
        <w:rPr>
          <w:rFonts w:ascii="Times" w:hAnsi="Times" w:cs="Arial"/>
          <w:color w:val="222222"/>
          <w:shd w:val="clear" w:color="auto" w:fill="FFFFFF"/>
        </w:rPr>
        <w:t>)=</w:t>
      </w:r>
      <w:r w:rsidR="008C4AA6">
        <w:rPr>
          <w:rFonts w:ascii="Times" w:hAnsi="Times" w:cs="Arial"/>
          <w:color w:val="222222"/>
          <w:shd w:val="clear" w:color="auto" w:fill="FFFFFF"/>
        </w:rPr>
        <w:t>15.</w:t>
      </w:r>
      <w:r w:rsidR="00E12537">
        <w:rPr>
          <w:rFonts w:ascii="Times" w:hAnsi="Times" w:cs="Arial"/>
          <w:color w:val="222222"/>
          <w:shd w:val="clear" w:color="auto" w:fill="FFFFFF"/>
        </w:rPr>
        <w:t>16</w:t>
      </w:r>
      <w:r w:rsidR="008C4AA6">
        <w:rPr>
          <w:rFonts w:ascii="Times" w:hAnsi="Times" w:cs="Arial"/>
          <w:color w:val="222222"/>
          <w:shd w:val="clear" w:color="auto" w:fill="FFFFFF"/>
        </w:rPr>
        <w:t xml:space="preserve">, </w:t>
      </w:r>
      <w:r w:rsidR="008C4AA6">
        <w:rPr>
          <w:rFonts w:ascii="Times" w:hAnsi="Times" w:cs="Arial"/>
          <w:i/>
          <w:color w:val="222222"/>
          <w:shd w:val="clear" w:color="auto" w:fill="FFFFFF"/>
        </w:rPr>
        <w:t>p</w:t>
      </w:r>
      <w:r>
        <w:rPr>
          <w:rFonts w:ascii="Times" w:hAnsi="Times" w:cs="Arial"/>
          <w:color w:val="222222"/>
          <w:shd w:val="clear" w:color="auto" w:fill="FFFFFF"/>
        </w:rPr>
        <w:t>&lt;.0001,</w:t>
      </w:r>
      <w:r w:rsidR="008C4AA6">
        <w:rPr>
          <w:rFonts w:ascii="Times" w:hAnsi="Times" w:cs="Arial"/>
          <w:color w:val="222222"/>
          <w:shd w:val="clear" w:color="auto" w:fill="FFFFFF"/>
        </w:rPr>
        <w:t xml:space="preserve"> </w:t>
      </w:r>
      <w:r w:rsidR="008C4AA6" w:rsidRPr="00B7182A">
        <w:rPr>
          <w:rFonts w:ascii="Times" w:hAnsi="Times" w:cs="Arial"/>
          <w:i/>
          <w:color w:val="222222"/>
          <w:shd w:val="clear" w:color="auto" w:fill="FFFFFF"/>
        </w:rPr>
        <w:t>d</w:t>
      </w:r>
      <w:r>
        <w:rPr>
          <w:rFonts w:ascii="Times" w:hAnsi="Times" w:cs="Arial"/>
          <w:color w:val="222222"/>
          <w:shd w:val="clear" w:color="auto" w:fill="FFFFFF"/>
        </w:rPr>
        <w:t>=1.9</w:t>
      </w:r>
      <w:r w:rsidR="00437E2A">
        <w:rPr>
          <w:rFonts w:ascii="Times" w:hAnsi="Times" w:cs="Arial"/>
          <w:color w:val="222222"/>
          <w:shd w:val="clear" w:color="auto" w:fill="FFFFFF"/>
        </w:rPr>
        <w:t>9</w:t>
      </w:r>
      <w:r>
        <w:rPr>
          <w:rFonts w:ascii="Times" w:hAnsi="Times" w:cs="Arial"/>
          <w:color w:val="222222"/>
          <w:shd w:val="clear" w:color="auto" w:fill="FFFFFF"/>
        </w:rPr>
        <w:t xml:space="preserve">, and for adulthood, </w:t>
      </w:r>
      <w:r w:rsidR="008C4AA6">
        <w:rPr>
          <w:rFonts w:ascii="Times" w:hAnsi="Times"/>
          <w:i/>
        </w:rPr>
        <w:t>t</w:t>
      </w:r>
      <w:r w:rsidR="008C4AA6">
        <w:rPr>
          <w:rFonts w:ascii="Times" w:hAnsi="Times"/>
        </w:rPr>
        <w:t>(</w:t>
      </w:r>
      <w:r w:rsidR="00E12537">
        <w:rPr>
          <w:rFonts w:ascii="Times" w:hAnsi="Times"/>
        </w:rPr>
        <w:t>2040</w:t>
      </w:r>
      <w:r w:rsidR="008C4AA6">
        <w:rPr>
          <w:rFonts w:ascii="Times" w:hAnsi="Times"/>
        </w:rPr>
        <w:t>)=7.</w:t>
      </w:r>
      <w:r w:rsidR="00E12537">
        <w:rPr>
          <w:rFonts w:ascii="Times" w:hAnsi="Times"/>
        </w:rPr>
        <w:t>24</w:t>
      </w:r>
      <w:r w:rsidR="008C4AA6">
        <w:rPr>
          <w:rFonts w:ascii="Times" w:hAnsi="Times"/>
        </w:rPr>
        <w:t xml:space="preserve">, </w:t>
      </w:r>
      <w:r w:rsidR="008C4AA6">
        <w:rPr>
          <w:rFonts w:ascii="Times" w:hAnsi="Times"/>
          <w:i/>
        </w:rPr>
        <w:t>p</w:t>
      </w:r>
      <w:r w:rsidR="008C4AA6">
        <w:rPr>
          <w:rFonts w:ascii="Times" w:hAnsi="Times"/>
        </w:rPr>
        <w:t>&lt;.0001. d=0.85</w:t>
      </w:r>
      <w:r w:rsidR="003F5AD0">
        <w:rPr>
          <w:rFonts w:ascii="Times" w:hAnsi="Times"/>
        </w:rPr>
        <w:t xml:space="preserve">. </w:t>
      </w:r>
    </w:p>
    <w:p w14:paraId="3FADA175" w14:textId="77777777" w:rsidR="007A6E58" w:rsidRDefault="003F5AD0" w:rsidP="000F4906">
      <w:pPr>
        <w:spacing w:line="480" w:lineRule="auto"/>
        <w:ind w:firstLine="720"/>
        <w:rPr>
          <w:rFonts w:ascii="Times" w:hAnsi="Times"/>
        </w:rPr>
      </w:pPr>
      <w:r>
        <w:rPr>
          <w:rFonts w:ascii="Times" w:hAnsi="Times"/>
        </w:rPr>
        <w:t>Figure 1 presents the distributions of heterosexual and homosexual men for both variables.</w:t>
      </w:r>
      <w:r w:rsidR="00EB7930">
        <w:rPr>
          <w:rFonts w:ascii="Times" w:hAnsi="Times"/>
        </w:rPr>
        <w:t xml:space="preserve"> </w:t>
      </w:r>
      <w:r w:rsidR="00AA137D">
        <w:rPr>
          <w:rFonts w:ascii="Times" w:hAnsi="Times"/>
        </w:rPr>
        <w:t xml:space="preserve">The distribution of childhood gender nonconformity was </w:t>
      </w:r>
      <w:r w:rsidR="0071337C">
        <w:rPr>
          <w:rFonts w:ascii="Times" w:hAnsi="Times"/>
        </w:rPr>
        <w:t>typical of this literature</w:t>
      </w:r>
      <w:r w:rsidR="00AA137D">
        <w:rPr>
          <w:rFonts w:ascii="Times" w:hAnsi="Times"/>
        </w:rPr>
        <w:t xml:space="preserve">, with heterosexual men’s scores tending towards the low end </w:t>
      </w:r>
      <w:r w:rsidR="00F9114D">
        <w:rPr>
          <w:rFonts w:ascii="Times" w:hAnsi="Times"/>
        </w:rPr>
        <w:t>(</w:t>
      </w:r>
      <w:r w:rsidR="00AA137D">
        <w:rPr>
          <w:rFonts w:ascii="Times" w:hAnsi="Times"/>
        </w:rPr>
        <w:t>suggesting a floor effect</w:t>
      </w:r>
      <w:r w:rsidR="00F9114D">
        <w:rPr>
          <w:rFonts w:ascii="Times" w:hAnsi="Times"/>
        </w:rPr>
        <w:t>)</w:t>
      </w:r>
      <w:r w:rsidR="00AA137D">
        <w:rPr>
          <w:rFonts w:ascii="Times" w:hAnsi="Times"/>
        </w:rPr>
        <w:t xml:space="preserve"> and </w:t>
      </w:r>
      <w:r w:rsidR="00F9114D">
        <w:rPr>
          <w:rFonts w:ascii="Times" w:hAnsi="Times"/>
        </w:rPr>
        <w:t xml:space="preserve">with </w:t>
      </w:r>
      <w:r w:rsidR="00AA137D">
        <w:rPr>
          <w:rFonts w:ascii="Times" w:hAnsi="Times"/>
        </w:rPr>
        <w:t>homosexual men’s scores more evenly distributed with higher variance (</w:t>
      </w:r>
      <w:r w:rsidR="00F9114D">
        <w:rPr>
          <w:rFonts w:ascii="Times" w:hAnsi="Times"/>
        </w:rPr>
        <w:t xml:space="preserve">see, e.g., Figure 2 of </w:t>
      </w:r>
      <w:r w:rsidR="00AA137D">
        <w:rPr>
          <w:rFonts w:ascii="Times" w:hAnsi="Times"/>
        </w:rPr>
        <w:t xml:space="preserve">Bailey &amp; Zucker, 1995). </w:t>
      </w:r>
      <w:r w:rsidR="00BA5D60">
        <w:rPr>
          <w:rFonts w:ascii="Times" w:hAnsi="Times"/>
        </w:rPr>
        <w:t>For gender</w:t>
      </w:r>
      <w:r w:rsidR="00F9114D">
        <w:rPr>
          <w:rFonts w:ascii="Times" w:hAnsi="Times"/>
        </w:rPr>
        <w:t xml:space="preserve"> nonconformity during adulthood</w:t>
      </w:r>
      <w:r w:rsidR="00BA5D60">
        <w:rPr>
          <w:rFonts w:ascii="Times" w:hAnsi="Times"/>
        </w:rPr>
        <w:t xml:space="preserve"> </w:t>
      </w:r>
      <w:r w:rsidR="00631E3D">
        <w:rPr>
          <w:rFonts w:ascii="Times" w:hAnsi="Times"/>
        </w:rPr>
        <w:t xml:space="preserve">the two orientations </w:t>
      </w:r>
      <w:r w:rsidR="00EC5365">
        <w:rPr>
          <w:rFonts w:ascii="Times" w:hAnsi="Times"/>
        </w:rPr>
        <w:t>were</w:t>
      </w:r>
      <w:r w:rsidR="00631E3D">
        <w:rPr>
          <w:rFonts w:ascii="Times" w:hAnsi="Times"/>
        </w:rPr>
        <w:t xml:space="preserve"> less separated, and both tend</w:t>
      </w:r>
      <w:r w:rsidR="00EC5365">
        <w:rPr>
          <w:rFonts w:ascii="Times" w:hAnsi="Times"/>
        </w:rPr>
        <w:t>ed</w:t>
      </w:r>
      <w:r w:rsidR="00631E3D">
        <w:rPr>
          <w:rFonts w:ascii="Times" w:hAnsi="Times"/>
        </w:rPr>
        <w:t xml:space="preserve"> to </w:t>
      </w:r>
      <w:r w:rsidR="00F9114D">
        <w:rPr>
          <w:rFonts w:ascii="Times" w:hAnsi="Times"/>
        </w:rPr>
        <w:t>congregate in the low regions of the scale</w:t>
      </w:r>
      <w:r w:rsidR="00EC5365">
        <w:rPr>
          <w:rFonts w:ascii="Times" w:hAnsi="Times"/>
        </w:rPr>
        <w:t xml:space="preserve">. </w:t>
      </w:r>
    </w:p>
    <w:p w14:paraId="0317E1AB" w14:textId="77777777" w:rsidR="007A6E58" w:rsidRDefault="007A6E58" w:rsidP="00A36216">
      <w:pPr>
        <w:spacing w:line="480" w:lineRule="auto"/>
        <w:outlineLvl w:val="0"/>
        <w:rPr>
          <w:rFonts w:ascii="Times" w:hAnsi="Times"/>
        </w:rPr>
      </w:pPr>
      <w:r>
        <w:rPr>
          <w:rFonts w:ascii="Times" w:hAnsi="Times"/>
          <w:b/>
        </w:rPr>
        <w:t>Familial Resemblance in Gender Nonconformity</w:t>
      </w:r>
    </w:p>
    <w:p w14:paraId="27F22CD1" w14:textId="6695480B" w:rsidR="00BF0DBE" w:rsidRDefault="00120FE5" w:rsidP="00C64BF1">
      <w:pPr>
        <w:spacing w:line="480" w:lineRule="auto"/>
        <w:rPr>
          <w:rFonts w:ascii="Times" w:hAnsi="Times"/>
        </w:rPr>
      </w:pPr>
      <w:r>
        <w:rPr>
          <w:rFonts w:ascii="Times" w:hAnsi="Times"/>
        </w:rPr>
        <w:lastRenderedPageBreak/>
        <w:tab/>
        <w:t xml:space="preserve">We examined similarity between brothers’ gender nonconformity separately for those concordant and discordant for homosexuality. </w:t>
      </w:r>
      <w:r w:rsidR="00AC7966">
        <w:rPr>
          <w:rFonts w:ascii="Times" w:hAnsi="Times"/>
        </w:rPr>
        <w:t>Analyses for concordant pairs used data from families which contributed at least two brothers to the study. Only data from the first two</w:t>
      </w:r>
      <w:r w:rsidR="00396130">
        <w:rPr>
          <w:rFonts w:ascii="Times" w:hAnsi="Times"/>
        </w:rPr>
        <w:t xml:space="preserve"> homosexual</w:t>
      </w:r>
      <w:r w:rsidR="00AC7966">
        <w:rPr>
          <w:rFonts w:ascii="Times" w:hAnsi="Times"/>
        </w:rPr>
        <w:t xml:space="preserve"> brothers </w:t>
      </w:r>
      <w:r w:rsidR="00396130">
        <w:rPr>
          <w:rFonts w:ascii="Times" w:hAnsi="Times"/>
        </w:rPr>
        <w:t xml:space="preserve">who were recruited in a family </w:t>
      </w:r>
      <w:r w:rsidR="00583A35">
        <w:rPr>
          <w:rFonts w:ascii="Times" w:hAnsi="Times"/>
        </w:rPr>
        <w:t>were</w:t>
      </w:r>
      <w:r w:rsidR="00AC7966">
        <w:rPr>
          <w:rFonts w:ascii="Times" w:hAnsi="Times"/>
        </w:rPr>
        <w:t xml:space="preserve"> used</w:t>
      </w:r>
      <w:r w:rsidR="00C23059">
        <w:rPr>
          <w:rFonts w:ascii="Times" w:hAnsi="Times"/>
        </w:rPr>
        <w:t xml:space="preserve"> in analyses of similarity among brothers concordant for homosexuality</w:t>
      </w:r>
      <w:r w:rsidR="00AC7966">
        <w:rPr>
          <w:rFonts w:ascii="Times" w:hAnsi="Times"/>
        </w:rPr>
        <w:t xml:space="preserve">. </w:t>
      </w:r>
      <w:r w:rsidR="00396130">
        <w:rPr>
          <w:rFonts w:ascii="Times" w:hAnsi="Times"/>
        </w:rPr>
        <w:t xml:space="preserve">(That is, for </w:t>
      </w:r>
      <w:r w:rsidR="00BC03B4">
        <w:rPr>
          <w:rFonts w:ascii="Times" w:hAnsi="Times"/>
        </w:rPr>
        <w:t xml:space="preserve">a few </w:t>
      </w:r>
      <w:r w:rsidR="00396130">
        <w:rPr>
          <w:rFonts w:ascii="Times" w:hAnsi="Times"/>
        </w:rPr>
        <w:t xml:space="preserve">families, more than two homosexual brothers provided data. In order to simplify data analysis, only two were included from each family.) </w:t>
      </w:r>
      <w:r w:rsidR="00583A35">
        <w:rPr>
          <w:rFonts w:ascii="Times" w:hAnsi="Times"/>
        </w:rPr>
        <w:t>The first brother’s childhood and adult gender nonconformity were predicted from his brothers’ respective scores, controlling for both the first brother’s birth year and his educational level. Results for these analyses are presented in the left-hand columns of Table 3</w:t>
      </w:r>
      <w:r w:rsidR="009F2705">
        <w:rPr>
          <w:rFonts w:ascii="Times" w:hAnsi="Times"/>
        </w:rPr>
        <w:t xml:space="preserve">, separately for </w:t>
      </w:r>
      <w:r w:rsidR="002553A2">
        <w:rPr>
          <w:rFonts w:ascii="Times" w:hAnsi="Times"/>
        </w:rPr>
        <w:t xml:space="preserve">MZ twins, </w:t>
      </w:r>
      <w:r w:rsidR="009F2705">
        <w:rPr>
          <w:rFonts w:ascii="Times" w:hAnsi="Times"/>
        </w:rPr>
        <w:t xml:space="preserve">full siblings (who comprised the bulk of concordant brother pairs,), </w:t>
      </w:r>
      <w:r w:rsidR="002553A2">
        <w:rPr>
          <w:rFonts w:ascii="Times" w:hAnsi="Times"/>
        </w:rPr>
        <w:t xml:space="preserve">and </w:t>
      </w:r>
      <w:r w:rsidR="009F2705">
        <w:rPr>
          <w:rFonts w:ascii="Times" w:hAnsi="Times"/>
        </w:rPr>
        <w:t>half siblings</w:t>
      </w:r>
      <w:r w:rsidR="00583A35">
        <w:rPr>
          <w:rFonts w:ascii="Times" w:hAnsi="Times"/>
        </w:rPr>
        <w:t xml:space="preserve">. </w:t>
      </w:r>
      <w:r w:rsidR="00C607C0">
        <w:rPr>
          <w:rFonts w:ascii="Times" w:hAnsi="Times"/>
        </w:rPr>
        <w:t xml:space="preserve">Among the full siblings (the only group with adequate statistical power), both </w:t>
      </w:r>
      <w:r w:rsidR="00583A35">
        <w:rPr>
          <w:rFonts w:ascii="Times" w:hAnsi="Times"/>
        </w:rPr>
        <w:t xml:space="preserve">childhood and adult gender nonconformity were significantly </w:t>
      </w:r>
      <w:r w:rsidR="0022489B">
        <w:rPr>
          <w:rFonts w:ascii="Times" w:hAnsi="Times"/>
        </w:rPr>
        <w:t>related</w:t>
      </w:r>
      <w:r>
        <w:rPr>
          <w:rFonts w:ascii="Times" w:hAnsi="Times"/>
        </w:rPr>
        <w:t xml:space="preserve"> </w:t>
      </w:r>
      <w:r w:rsidR="00583A35">
        <w:rPr>
          <w:rFonts w:ascii="Times" w:hAnsi="Times"/>
        </w:rPr>
        <w:t xml:space="preserve">among concordant pairs. </w:t>
      </w:r>
      <w:r w:rsidR="006740CE">
        <w:rPr>
          <w:rFonts w:ascii="Times" w:hAnsi="Times"/>
        </w:rPr>
        <w:t>Furthermore</w:t>
      </w:r>
      <w:r w:rsidR="00C607C0">
        <w:rPr>
          <w:rFonts w:ascii="Times" w:hAnsi="Times"/>
        </w:rPr>
        <w:t>, full siblings</w:t>
      </w:r>
      <w:r w:rsidR="00025F09">
        <w:rPr>
          <w:rFonts w:ascii="Times" w:hAnsi="Times"/>
        </w:rPr>
        <w:t>’</w:t>
      </w:r>
      <w:r w:rsidR="006740CE">
        <w:rPr>
          <w:rFonts w:ascii="Times" w:hAnsi="Times"/>
        </w:rPr>
        <w:t xml:space="preserve"> birth year was a robust predictor of brothers’ gender nonconformity.</w:t>
      </w:r>
      <w:r w:rsidR="002553A2">
        <w:rPr>
          <w:rFonts w:ascii="Times" w:hAnsi="Times"/>
        </w:rPr>
        <w:t xml:space="preserve"> </w:t>
      </w:r>
    </w:p>
    <w:p w14:paraId="463920A2" w14:textId="75EE04CC" w:rsidR="00583A35" w:rsidRDefault="002553A2" w:rsidP="00535727">
      <w:pPr>
        <w:spacing w:line="480" w:lineRule="auto"/>
        <w:ind w:firstLine="720"/>
        <w:rPr>
          <w:rFonts w:ascii="Times" w:hAnsi="Times"/>
        </w:rPr>
      </w:pPr>
      <w:r>
        <w:rPr>
          <w:rFonts w:ascii="Times" w:hAnsi="Times"/>
        </w:rPr>
        <w:t xml:space="preserve">Although there were only 8 pairs of MZ twins, their correlation for childhood gender nonconformity was statistically significant. </w:t>
      </w:r>
      <w:r w:rsidR="00BF0DBE">
        <w:rPr>
          <w:rFonts w:ascii="Times" w:hAnsi="Times"/>
        </w:rPr>
        <w:t xml:space="preserve">The 34 pairs of half-brothers were significantly correlated for adult gender nonconformity. </w:t>
      </w:r>
      <w:r w:rsidR="00FD0016">
        <w:rPr>
          <w:rFonts w:ascii="Times" w:hAnsi="Times"/>
        </w:rPr>
        <w:t>In principle, the three kinds of brothers on the left-hand side of Table 3 could be used to estimate heritability of childhood and adolescent gender nonconformity. However, the sample sizes of the MZ twins and half-brothers were too small to provide useful estimation.</w:t>
      </w:r>
    </w:p>
    <w:p w14:paraId="27E7259C" w14:textId="79E82385" w:rsidR="002761CE" w:rsidRPr="00887506" w:rsidRDefault="00583A35" w:rsidP="000C55EE">
      <w:pPr>
        <w:spacing w:line="480" w:lineRule="auto"/>
        <w:rPr>
          <w:rFonts w:ascii="Times" w:hAnsi="Times"/>
        </w:rPr>
      </w:pPr>
      <w:r>
        <w:rPr>
          <w:rFonts w:ascii="Times" w:hAnsi="Times"/>
        </w:rPr>
        <w:tab/>
        <w:t xml:space="preserve">To analyze data for brothers discordant for homosexuality, we </w:t>
      </w:r>
      <w:r w:rsidR="00E0333E">
        <w:rPr>
          <w:rFonts w:ascii="Times" w:hAnsi="Times"/>
        </w:rPr>
        <w:t xml:space="preserve">began by </w:t>
      </w:r>
      <w:r w:rsidR="0022489B">
        <w:rPr>
          <w:rFonts w:ascii="Times" w:hAnsi="Times"/>
        </w:rPr>
        <w:t>identifying families who contributed both at least one heterosexual brother and at least one homosexual brother</w:t>
      </w:r>
      <w:r w:rsidR="00E0333E">
        <w:rPr>
          <w:rFonts w:ascii="Times" w:hAnsi="Times"/>
        </w:rPr>
        <w:t>.</w:t>
      </w:r>
      <w:r w:rsidR="0022489B">
        <w:rPr>
          <w:rFonts w:ascii="Times" w:hAnsi="Times"/>
        </w:rPr>
        <w:t xml:space="preserve"> </w:t>
      </w:r>
      <w:r w:rsidR="005C4C0C">
        <w:rPr>
          <w:rFonts w:ascii="Times" w:hAnsi="Times"/>
        </w:rPr>
        <w:t xml:space="preserve">(Two pairs who were genetic half-siblings were eliminated. All the rest were full siblings.) </w:t>
      </w:r>
      <w:r w:rsidR="00A81AE0">
        <w:rPr>
          <w:rFonts w:ascii="Times" w:hAnsi="Times"/>
        </w:rPr>
        <w:t>We then</w:t>
      </w:r>
      <w:r w:rsidR="0022489B">
        <w:rPr>
          <w:rFonts w:ascii="Times" w:hAnsi="Times"/>
        </w:rPr>
        <w:t xml:space="preserve"> conducted multiple regressions predicting the heterosexual men’s </w:t>
      </w:r>
      <w:r w:rsidR="00DD0475">
        <w:rPr>
          <w:rFonts w:ascii="Times" w:hAnsi="Times"/>
        </w:rPr>
        <w:t xml:space="preserve">childhood </w:t>
      </w:r>
      <w:r w:rsidR="00DD0475">
        <w:rPr>
          <w:rFonts w:ascii="Times" w:hAnsi="Times"/>
        </w:rPr>
        <w:lastRenderedPageBreak/>
        <w:t xml:space="preserve">and adult </w:t>
      </w:r>
      <w:r w:rsidR="0022489B">
        <w:rPr>
          <w:rFonts w:ascii="Times" w:hAnsi="Times"/>
        </w:rPr>
        <w:t xml:space="preserve">gender nonconformity scores from their homosexual brothers’ </w:t>
      </w:r>
      <w:r w:rsidR="00DD0475">
        <w:rPr>
          <w:rFonts w:ascii="Times" w:hAnsi="Times"/>
        </w:rPr>
        <w:t>gender nonconformity</w:t>
      </w:r>
      <w:r w:rsidR="0022489B">
        <w:rPr>
          <w:rFonts w:ascii="Times" w:hAnsi="Times"/>
        </w:rPr>
        <w:t xml:space="preserve"> scores, controlling for </w:t>
      </w:r>
      <w:r w:rsidR="00E940B5">
        <w:rPr>
          <w:rFonts w:ascii="Times" w:hAnsi="Times"/>
        </w:rPr>
        <w:t xml:space="preserve">heterosexual brothers’ </w:t>
      </w:r>
      <w:r w:rsidR="0022489B">
        <w:rPr>
          <w:rFonts w:ascii="Times" w:hAnsi="Times"/>
        </w:rPr>
        <w:t xml:space="preserve">birth year and educational </w:t>
      </w:r>
      <w:r w:rsidR="00C104A2">
        <w:rPr>
          <w:rFonts w:ascii="Times" w:hAnsi="Times"/>
        </w:rPr>
        <w:t>level</w:t>
      </w:r>
      <w:r w:rsidR="0022489B">
        <w:rPr>
          <w:rFonts w:ascii="Times" w:hAnsi="Times"/>
        </w:rPr>
        <w:t xml:space="preserve">. </w:t>
      </w:r>
      <w:r w:rsidR="00C508D7">
        <w:rPr>
          <w:rFonts w:ascii="Times" w:hAnsi="Times"/>
        </w:rPr>
        <w:t xml:space="preserve">Results for these analyses are presented in the right-hand side of Table 3. </w:t>
      </w:r>
      <w:r w:rsidR="00A3341A">
        <w:rPr>
          <w:rFonts w:ascii="Times" w:hAnsi="Times"/>
        </w:rPr>
        <w:t>T</w:t>
      </w:r>
      <w:r w:rsidR="008B1BE5">
        <w:rPr>
          <w:rFonts w:ascii="Times" w:hAnsi="Times"/>
        </w:rPr>
        <w:t>he correspondence</w:t>
      </w:r>
      <w:r w:rsidR="00A3341A">
        <w:rPr>
          <w:rFonts w:ascii="Times" w:hAnsi="Times"/>
        </w:rPr>
        <w:t>s</w:t>
      </w:r>
      <w:r w:rsidR="008B1BE5">
        <w:rPr>
          <w:rFonts w:ascii="Times" w:hAnsi="Times"/>
        </w:rPr>
        <w:t xml:space="preserve"> between discordant </w:t>
      </w:r>
      <w:r w:rsidR="00A3341A">
        <w:rPr>
          <w:rFonts w:ascii="Times" w:hAnsi="Times"/>
        </w:rPr>
        <w:t>brothers</w:t>
      </w:r>
      <w:r w:rsidR="008B1BE5">
        <w:rPr>
          <w:rFonts w:ascii="Times" w:hAnsi="Times"/>
        </w:rPr>
        <w:t xml:space="preserve">’ gender </w:t>
      </w:r>
      <w:r w:rsidR="00A3341A">
        <w:rPr>
          <w:rFonts w:ascii="Times" w:hAnsi="Times"/>
        </w:rPr>
        <w:t>nonconformity</w:t>
      </w:r>
      <w:r w:rsidR="008B1BE5">
        <w:rPr>
          <w:rFonts w:ascii="Times" w:hAnsi="Times"/>
        </w:rPr>
        <w:t xml:space="preserve"> (both </w:t>
      </w:r>
      <w:r w:rsidR="00A3341A">
        <w:rPr>
          <w:rFonts w:ascii="Times" w:hAnsi="Times"/>
        </w:rPr>
        <w:t>from</w:t>
      </w:r>
      <w:r w:rsidR="008B1BE5">
        <w:rPr>
          <w:rFonts w:ascii="Times" w:hAnsi="Times"/>
        </w:rPr>
        <w:t xml:space="preserve"> childhood and a</w:t>
      </w:r>
      <w:r w:rsidR="00A3341A">
        <w:rPr>
          <w:rFonts w:ascii="Times" w:hAnsi="Times"/>
        </w:rPr>
        <w:t xml:space="preserve">dulthood) were not significant. However, Table 3 </w:t>
      </w:r>
      <w:r w:rsidR="008B1BE5">
        <w:rPr>
          <w:rFonts w:ascii="Times" w:hAnsi="Times"/>
        </w:rPr>
        <w:t>also show</w:t>
      </w:r>
      <w:r w:rsidR="00A3341A">
        <w:rPr>
          <w:rFonts w:ascii="Times" w:hAnsi="Times"/>
        </w:rPr>
        <w:t>s</w:t>
      </w:r>
      <w:r w:rsidR="008B1BE5">
        <w:rPr>
          <w:rFonts w:ascii="Times" w:hAnsi="Times"/>
        </w:rPr>
        <w:t xml:space="preserve"> that r</w:t>
      </w:r>
      <w:r w:rsidR="00EB7930">
        <w:rPr>
          <w:rFonts w:ascii="Times" w:hAnsi="Times"/>
        </w:rPr>
        <w:t>egression coefficients for homosexual brothers’ gender nonconformity were only slightly smaller than respective coefficients in the analyses for concordant pairs</w:t>
      </w:r>
      <w:r w:rsidR="0094647F">
        <w:rPr>
          <w:rFonts w:ascii="Times" w:hAnsi="Times"/>
        </w:rPr>
        <w:t xml:space="preserve"> of full siblings</w:t>
      </w:r>
      <w:r w:rsidR="00EB7930">
        <w:rPr>
          <w:rFonts w:ascii="Times" w:hAnsi="Times"/>
        </w:rPr>
        <w:t xml:space="preserve">. Furthermore, </w:t>
      </w:r>
      <w:r w:rsidR="00FD0016">
        <w:rPr>
          <w:rFonts w:ascii="Times" w:hAnsi="Times"/>
        </w:rPr>
        <w:t xml:space="preserve">the respective </w:t>
      </w:r>
      <w:r w:rsidR="00EB7930">
        <w:rPr>
          <w:rFonts w:ascii="Times" w:hAnsi="Times"/>
        </w:rPr>
        <w:t>confidence intervals overlapped.</w:t>
      </w:r>
      <w:r w:rsidR="00E0333E">
        <w:rPr>
          <w:rFonts w:ascii="Times" w:hAnsi="Times"/>
        </w:rPr>
        <w:t xml:space="preserve"> </w:t>
      </w:r>
    </w:p>
    <w:p w14:paraId="699A9A46" w14:textId="228F0A67" w:rsidR="00B018D5" w:rsidRDefault="000C55EE" w:rsidP="000C55EE">
      <w:pPr>
        <w:spacing w:line="480" w:lineRule="auto"/>
        <w:outlineLvl w:val="0"/>
        <w:rPr>
          <w:rFonts w:ascii="Times" w:hAnsi="Times" w:cs="Arial"/>
          <w:b/>
          <w:color w:val="222222"/>
          <w:shd w:val="clear" w:color="auto" w:fill="FFFFFF"/>
        </w:rPr>
      </w:pPr>
      <w:r>
        <w:rPr>
          <w:rFonts w:ascii="Times" w:hAnsi="Times" w:cs="Arial"/>
          <w:b/>
          <w:color w:val="222222"/>
          <w:shd w:val="clear" w:color="auto" w:fill="FFFFFF"/>
        </w:rPr>
        <w:t>DISCUSSION</w:t>
      </w:r>
    </w:p>
    <w:p w14:paraId="7AD5E180" w14:textId="32034A7A" w:rsidR="008E57ED" w:rsidRDefault="002761CE" w:rsidP="001217AA">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 xml:space="preserve">Our results are generally consistent with those of past studies showing </w:t>
      </w:r>
      <w:r w:rsidR="000F4906">
        <w:rPr>
          <w:rFonts w:ascii="Times" w:hAnsi="Times" w:cs="Arial"/>
          <w:color w:val="222222"/>
          <w:shd w:val="clear" w:color="auto" w:fill="FFFFFF"/>
        </w:rPr>
        <w:t xml:space="preserve">substantial family resemblance </w:t>
      </w:r>
      <w:r w:rsidR="00740D17">
        <w:rPr>
          <w:rFonts w:ascii="Times" w:hAnsi="Times" w:cs="Arial"/>
          <w:color w:val="222222"/>
          <w:shd w:val="clear" w:color="auto" w:fill="FFFFFF"/>
        </w:rPr>
        <w:t xml:space="preserve">for homosexual brothers in their degree of gender nonconformity. </w:t>
      </w:r>
      <w:r w:rsidR="001217AA">
        <w:rPr>
          <w:rFonts w:ascii="Times" w:hAnsi="Times" w:cs="Arial"/>
          <w:color w:val="222222"/>
          <w:shd w:val="clear" w:color="auto" w:fill="FFFFFF"/>
        </w:rPr>
        <w:t xml:space="preserve">Our sample is much larger than </w:t>
      </w:r>
      <w:r w:rsidR="000F0476">
        <w:rPr>
          <w:rFonts w:ascii="Times" w:hAnsi="Times" w:cs="Arial"/>
          <w:color w:val="222222"/>
          <w:shd w:val="clear" w:color="auto" w:fill="FFFFFF"/>
        </w:rPr>
        <w:t xml:space="preserve">the aggregate of </w:t>
      </w:r>
      <w:r w:rsidR="001217AA">
        <w:rPr>
          <w:rFonts w:ascii="Times" w:hAnsi="Times" w:cs="Arial"/>
          <w:color w:val="222222"/>
          <w:shd w:val="clear" w:color="auto" w:fill="FFFFFF"/>
        </w:rPr>
        <w:t xml:space="preserve">previous samples </w:t>
      </w:r>
      <w:r w:rsidR="005E2E8F">
        <w:rPr>
          <w:rFonts w:ascii="Times" w:hAnsi="Times" w:cs="Arial"/>
          <w:color w:val="222222"/>
          <w:shd w:val="clear" w:color="auto" w:fill="FFFFFF"/>
        </w:rPr>
        <w:t>(Table 1)</w:t>
      </w:r>
      <w:r w:rsidR="001217AA">
        <w:rPr>
          <w:rFonts w:ascii="Times" w:hAnsi="Times" w:cs="Arial"/>
          <w:color w:val="222222"/>
          <w:shd w:val="clear" w:color="auto" w:fill="FFFFFF"/>
        </w:rPr>
        <w:t xml:space="preserve">. Estimates of familiality were accordingly more precise, and they excluded zero by a very large margin. </w:t>
      </w:r>
      <w:r w:rsidR="00B0768D">
        <w:rPr>
          <w:rFonts w:ascii="Times" w:hAnsi="Times" w:cs="Arial"/>
          <w:color w:val="222222"/>
          <w:shd w:val="clear" w:color="auto" w:fill="FFFFFF"/>
        </w:rPr>
        <w:t>For our largest sample, the full siblings</w:t>
      </w:r>
      <w:r w:rsidR="005E2E8F">
        <w:rPr>
          <w:rFonts w:ascii="Times" w:hAnsi="Times" w:cs="Arial"/>
          <w:color w:val="222222"/>
          <w:shd w:val="clear" w:color="auto" w:fill="FFFFFF"/>
        </w:rPr>
        <w:t>, the correlations between brothers concordant for homosexuality were .</w:t>
      </w:r>
      <w:r w:rsidR="006148FC">
        <w:rPr>
          <w:rFonts w:ascii="Times" w:hAnsi="Times" w:cs="Arial"/>
          <w:color w:val="222222"/>
          <w:shd w:val="clear" w:color="auto" w:fill="FFFFFF"/>
        </w:rPr>
        <w:t xml:space="preserve">263 </w:t>
      </w:r>
      <w:r w:rsidR="005E2E8F">
        <w:rPr>
          <w:rFonts w:ascii="Times" w:hAnsi="Times" w:cs="Arial"/>
          <w:color w:val="222222"/>
          <w:shd w:val="clear" w:color="auto" w:fill="FFFFFF"/>
        </w:rPr>
        <w:t>for childhood gender nonconformity and .</w:t>
      </w:r>
      <w:r w:rsidR="006148FC">
        <w:rPr>
          <w:rFonts w:ascii="Times" w:hAnsi="Times" w:cs="Arial"/>
          <w:color w:val="222222"/>
          <w:shd w:val="clear" w:color="auto" w:fill="FFFFFF"/>
        </w:rPr>
        <w:t xml:space="preserve">168 </w:t>
      </w:r>
      <w:r w:rsidR="005E2E8F">
        <w:rPr>
          <w:rFonts w:ascii="Times" w:hAnsi="Times" w:cs="Arial"/>
          <w:color w:val="222222"/>
          <w:shd w:val="clear" w:color="auto" w:fill="FFFFFF"/>
        </w:rPr>
        <w:t xml:space="preserve">for adult gender nonconformity. Although these correlations </w:t>
      </w:r>
      <w:r w:rsidR="00B0768D">
        <w:rPr>
          <w:rFonts w:ascii="Times" w:hAnsi="Times" w:cs="Arial"/>
          <w:color w:val="222222"/>
          <w:shd w:val="clear" w:color="auto" w:fill="FFFFFF"/>
        </w:rPr>
        <w:t>were small in magnitude</w:t>
      </w:r>
      <w:r w:rsidR="005E2E8F">
        <w:rPr>
          <w:rFonts w:ascii="Times" w:hAnsi="Times" w:cs="Arial"/>
          <w:color w:val="222222"/>
          <w:shd w:val="clear" w:color="auto" w:fill="FFFFFF"/>
        </w:rPr>
        <w:t>, the effects that they imply are larger</w:t>
      </w:r>
      <w:r w:rsidR="00B0768D">
        <w:rPr>
          <w:rFonts w:ascii="Times" w:hAnsi="Times" w:cs="Arial"/>
          <w:color w:val="222222"/>
          <w:shd w:val="clear" w:color="auto" w:fill="FFFFFF"/>
        </w:rPr>
        <w:t xml:space="preserve"> </w:t>
      </w:r>
      <w:r w:rsidR="005E2E8F">
        <w:rPr>
          <w:rFonts w:ascii="Times" w:hAnsi="Times" w:cs="Arial"/>
          <w:color w:val="222222"/>
          <w:shd w:val="clear" w:color="auto" w:fill="FFFFFF"/>
        </w:rPr>
        <w:t xml:space="preserve">for two reasons. First, in order to estimate the proportion of variance attributable to familial factors, one does not square the correlations; the correlations estimate this proportion directly (Bouchard, Lykken, McGue, Segal, &amp; Tellegen, 1990). </w:t>
      </w:r>
      <w:r w:rsidR="005E009D">
        <w:rPr>
          <w:rFonts w:ascii="Times" w:hAnsi="Times" w:cs="Arial"/>
          <w:color w:val="222222"/>
          <w:shd w:val="clear" w:color="auto" w:fill="FFFFFF"/>
        </w:rPr>
        <w:t xml:space="preserve">Second, if the factors responsible for familial resemblance are genetic rather than environmental, the magnitude of their effect would be even larger than the correlations. </w:t>
      </w:r>
      <w:r w:rsidR="007D5238">
        <w:rPr>
          <w:rFonts w:ascii="Times" w:hAnsi="Times" w:cs="Arial"/>
          <w:color w:val="222222"/>
          <w:shd w:val="clear" w:color="auto" w:fill="FFFFFF"/>
        </w:rPr>
        <w:t>This is so</w:t>
      </w:r>
      <w:r w:rsidR="007E54DB">
        <w:rPr>
          <w:rFonts w:ascii="Times" w:hAnsi="Times" w:cs="Arial"/>
          <w:color w:val="222222"/>
          <w:shd w:val="clear" w:color="auto" w:fill="FFFFFF"/>
        </w:rPr>
        <w:t xml:space="preserve"> because,</w:t>
      </w:r>
      <w:r w:rsidR="00624B73">
        <w:rPr>
          <w:rFonts w:ascii="Times" w:hAnsi="Times" w:cs="Arial"/>
          <w:color w:val="222222"/>
          <w:shd w:val="clear" w:color="auto" w:fill="FFFFFF"/>
        </w:rPr>
        <w:t xml:space="preserve"> in general, effects of </w:t>
      </w:r>
      <w:r w:rsidR="007D5238">
        <w:rPr>
          <w:rFonts w:ascii="Times" w:hAnsi="Times" w:cs="Arial"/>
          <w:color w:val="222222"/>
          <w:shd w:val="clear" w:color="auto" w:fill="FFFFFF"/>
        </w:rPr>
        <w:t xml:space="preserve">the </w:t>
      </w:r>
      <w:r w:rsidR="00624B73">
        <w:rPr>
          <w:rFonts w:ascii="Times" w:hAnsi="Times" w:cs="Arial"/>
          <w:color w:val="222222"/>
          <w:shd w:val="clear" w:color="auto" w:fill="FFFFFF"/>
        </w:rPr>
        <w:t xml:space="preserve">shared environment are dwarfed by those of genes (Turkheimer, 2000). Hence, </w:t>
      </w:r>
      <w:r w:rsidR="005E009D">
        <w:rPr>
          <w:rFonts w:ascii="Times" w:hAnsi="Times" w:cs="Arial"/>
          <w:color w:val="222222"/>
          <w:shd w:val="clear" w:color="auto" w:fill="FFFFFF"/>
        </w:rPr>
        <w:t xml:space="preserve">if all the factors causing homosexual brothers’ gender nonconformity to be similar were </w:t>
      </w:r>
      <w:r w:rsidR="00ED5666">
        <w:rPr>
          <w:rFonts w:ascii="Times" w:hAnsi="Times" w:cs="Arial"/>
          <w:color w:val="222222"/>
          <w:shd w:val="clear" w:color="auto" w:fill="FFFFFF"/>
        </w:rPr>
        <w:t xml:space="preserve">additive and </w:t>
      </w:r>
      <w:r w:rsidR="005E009D">
        <w:rPr>
          <w:rFonts w:ascii="Times" w:hAnsi="Times" w:cs="Arial"/>
          <w:color w:val="222222"/>
          <w:shd w:val="clear" w:color="auto" w:fill="FFFFFF"/>
        </w:rPr>
        <w:t>genetic and none of them environmental–</w:t>
      </w:r>
      <w:r w:rsidR="00740D17">
        <w:rPr>
          <w:rFonts w:ascii="Times" w:hAnsi="Times" w:cs="Arial"/>
          <w:color w:val="222222"/>
          <w:shd w:val="clear" w:color="auto" w:fill="FFFFFF"/>
        </w:rPr>
        <w:t xml:space="preserve">then the magnitude of variance explained </w:t>
      </w:r>
      <w:r w:rsidR="005E009D">
        <w:rPr>
          <w:rFonts w:ascii="Times" w:hAnsi="Times" w:cs="Arial"/>
          <w:color w:val="222222"/>
          <w:shd w:val="clear" w:color="auto" w:fill="FFFFFF"/>
        </w:rPr>
        <w:t xml:space="preserve">by genetic factors </w:t>
      </w:r>
      <w:r w:rsidR="00740D17">
        <w:rPr>
          <w:rFonts w:ascii="Times" w:hAnsi="Times" w:cs="Arial"/>
          <w:color w:val="222222"/>
          <w:shd w:val="clear" w:color="auto" w:fill="FFFFFF"/>
        </w:rPr>
        <w:t xml:space="preserve">would be </w:t>
      </w:r>
      <w:r w:rsidR="005E009D">
        <w:rPr>
          <w:rFonts w:ascii="Times" w:hAnsi="Times" w:cs="Arial"/>
          <w:color w:val="222222"/>
          <w:shd w:val="clear" w:color="auto" w:fill="FFFFFF"/>
        </w:rPr>
        <w:t>double the correlations</w:t>
      </w:r>
      <w:r w:rsidR="00740D17">
        <w:rPr>
          <w:rFonts w:ascii="Times" w:hAnsi="Times" w:cs="Arial"/>
          <w:color w:val="222222"/>
          <w:shd w:val="clear" w:color="auto" w:fill="FFFFFF"/>
        </w:rPr>
        <w:t xml:space="preserve">. </w:t>
      </w:r>
      <w:r w:rsidR="003A3F21">
        <w:rPr>
          <w:rFonts w:ascii="Times" w:hAnsi="Times" w:cs="Arial"/>
          <w:color w:val="222222"/>
          <w:shd w:val="clear" w:color="auto" w:fill="FFFFFF"/>
        </w:rPr>
        <w:t>S</w:t>
      </w:r>
      <w:r w:rsidR="00740D17">
        <w:rPr>
          <w:rFonts w:ascii="Times" w:hAnsi="Times" w:cs="Arial"/>
          <w:color w:val="222222"/>
          <w:shd w:val="clear" w:color="auto" w:fill="FFFFFF"/>
        </w:rPr>
        <w:t xml:space="preserve">iblings </w:t>
      </w:r>
      <w:r w:rsidR="00740D17">
        <w:rPr>
          <w:rFonts w:ascii="Times" w:hAnsi="Times" w:cs="Arial"/>
          <w:color w:val="222222"/>
          <w:shd w:val="clear" w:color="auto" w:fill="FFFFFF"/>
        </w:rPr>
        <w:lastRenderedPageBreak/>
        <w:t>who are not MZ twins share only half of their genes (identical by descent) and thus, their</w:t>
      </w:r>
      <w:r w:rsidR="00EF3F7C">
        <w:rPr>
          <w:rFonts w:ascii="Times" w:hAnsi="Times" w:cs="Arial"/>
          <w:color w:val="222222"/>
          <w:shd w:val="clear" w:color="auto" w:fill="FFFFFF"/>
        </w:rPr>
        <w:t xml:space="preserve"> resemblance reflects only half</w:t>
      </w:r>
      <w:r w:rsidR="00740D17">
        <w:rPr>
          <w:rFonts w:ascii="Times" w:hAnsi="Times" w:cs="Arial"/>
          <w:color w:val="222222"/>
          <w:shd w:val="clear" w:color="auto" w:fill="FFFFFF"/>
        </w:rPr>
        <w:t xml:space="preserve"> the effect of </w:t>
      </w:r>
      <w:r w:rsidR="00EF3F7C">
        <w:rPr>
          <w:rFonts w:ascii="Times" w:hAnsi="Times" w:cs="Arial"/>
          <w:color w:val="222222"/>
          <w:shd w:val="clear" w:color="auto" w:fill="FFFFFF"/>
        </w:rPr>
        <w:t>heredity.</w:t>
      </w:r>
    </w:p>
    <w:p w14:paraId="6B1D7001" w14:textId="7397A8C5" w:rsidR="0092143F" w:rsidRDefault="008E57ED" w:rsidP="001217AA">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In total</w:t>
      </w:r>
      <w:r w:rsidR="001217AA">
        <w:rPr>
          <w:rFonts w:ascii="Times" w:hAnsi="Times" w:cs="Arial"/>
          <w:color w:val="222222"/>
          <w:shd w:val="clear" w:color="auto" w:fill="FFFFFF"/>
        </w:rPr>
        <w:t xml:space="preserve">, our results are consistent with the likelihood of considerable genetic variation in the expression of male </w:t>
      </w:r>
      <w:r w:rsidR="00ED5666">
        <w:rPr>
          <w:rFonts w:ascii="Times" w:hAnsi="Times" w:cs="Arial"/>
          <w:color w:val="222222"/>
          <w:shd w:val="clear" w:color="auto" w:fill="FFFFFF"/>
        </w:rPr>
        <w:t>gender nonconformity</w:t>
      </w:r>
      <w:r w:rsidR="001217AA">
        <w:rPr>
          <w:rFonts w:ascii="Times" w:hAnsi="Times" w:cs="Arial"/>
          <w:color w:val="222222"/>
          <w:shd w:val="clear" w:color="auto" w:fill="FFFFFF"/>
        </w:rPr>
        <w:t xml:space="preserve">, and possibly even in its causes. </w:t>
      </w:r>
      <w:r w:rsidR="00362627">
        <w:rPr>
          <w:rFonts w:ascii="Times" w:hAnsi="Times" w:cs="Arial"/>
          <w:color w:val="222222"/>
          <w:shd w:val="clear" w:color="auto" w:fill="FFFFFF"/>
        </w:rPr>
        <w:t xml:space="preserve">Further support for this hypothesis comes from Table 1, in which the average correlation for concordant MZ twins, .675, is larger than that for </w:t>
      </w:r>
      <w:r w:rsidR="0002267A">
        <w:rPr>
          <w:rFonts w:ascii="Times" w:hAnsi="Times" w:cs="Arial"/>
          <w:color w:val="222222"/>
          <w:shd w:val="clear" w:color="auto" w:fill="FFFFFF"/>
        </w:rPr>
        <w:t xml:space="preserve">concordant </w:t>
      </w:r>
      <w:r w:rsidR="00362627">
        <w:rPr>
          <w:rFonts w:ascii="Times" w:hAnsi="Times" w:cs="Arial"/>
          <w:color w:val="222222"/>
          <w:shd w:val="clear" w:color="auto" w:fill="FFFFFF"/>
        </w:rPr>
        <w:t>DZ twins and nontwin brothers, .485</w:t>
      </w:r>
      <w:r w:rsidR="0002267A">
        <w:rPr>
          <w:rFonts w:ascii="Times" w:hAnsi="Times" w:cs="Arial"/>
          <w:color w:val="222222"/>
          <w:shd w:val="clear" w:color="auto" w:fill="FFFFFF"/>
        </w:rPr>
        <w:t>; our correlation for concordant no</w:t>
      </w:r>
      <w:r w:rsidR="00B565AE">
        <w:rPr>
          <w:rFonts w:ascii="Times" w:hAnsi="Times" w:cs="Arial"/>
          <w:color w:val="222222"/>
          <w:shd w:val="clear" w:color="auto" w:fill="FFFFFF"/>
        </w:rPr>
        <w:t>n</w:t>
      </w:r>
      <w:r w:rsidR="0002267A">
        <w:rPr>
          <w:rFonts w:ascii="Times" w:hAnsi="Times" w:cs="Arial"/>
          <w:color w:val="222222"/>
          <w:shd w:val="clear" w:color="auto" w:fill="FFFFFF"/>
        </w:rPr>
        <w:t xml:space="preserve">twin brothers is even smaller. It is likely that genetic factors </w:t>
      </w:r>
      <w:r w:rsidR="00C22261">
        <w:rPr>
          <w:rFonts w:ascii="Times" w:hAnsi="Times" w:cs="Arial"/>
          <w:color w:val="222222"/>
          <w:shd w:val="clear" w:color="auto" w:fill="FFFFFF"/>
        </w:rPr>
        <w:t>play a role in gender nonconformity variation among homosexual men, but clearly demonstrating this</w:t>
      </w:r>
      <w:r w:rsidR="008B3965">
        <w:rPr>
          <w:rFonts w:ascii="Times" w:hAnsi="Times" w:cs="Arial"/>
          <w:color w:val="222222"/>
          <w:shd w:val="clear" w:color="auto" w:fill="FFFFFF"/>
        </w:rPr>
        <w:t xml:space="preserve"> will require more research. Examining genetic variants related to gender nonconformity is one obvious path</w:t>
      </w:r>
      <w:r>
        <w:rPr>
          <w:rFonts w:ascii="Times" w:hAnsi="Times" w:cs="Arial"/>
          <w:color w:val="222222"/>
          <w:shd w:val="clear" w:color="auto" w:fill="FFFFFF"/>
        </w:rPr>
        <w:t>, f</w:t>
      </w:r>
      <w:r w:rsidR="005012C6">
        <w:rPr>
          <w:rFonts w:ascii="Times" w:hAnsi="Times" w:cs="Arial"/>
          <w:color w:val="222222"/>
          <w:shd w:val="clear" w:color="auto" w:fill="FFFFFF"/>
        </w:rPr>
        <w:t xml:space="preserve">or example, </w:t>
      </w:r>
      <w:r>
        <w:rPr>
          <w:rFonts w:ascii="Times" w:hAnsi="Times" w:cs="Arial"/>
          <w:color w:val="222222"/>
          <w:shd w:val="clear" w:color="auto" w:fill="FFFFFF"/>
        </w:rPr>
        <w:t xml:space="preserve">by </w:t>
      </w:r>
      <w:r w:rsidR="001413D2">
        <w:rPr>
          <w:rFonts w:ascii="Times" w:hAnsi="Times" w:cs="Arial"/>
          <w:color w:val="222222"/>
          <w:shd w:val="clear" w:color="auto" w:fill="FFFFFF"/>
        </w:rPr>
        <w:t>follow</w:t>
      </w:r>
      <w:r>
        <w:rPr>
          <w:rFonts w:ascii="Times" w:hAnsi="Times" w:cs="Arial"/>
          <w:color w:val="222222"/>
          <w:shd w:val="clear" w:color="auto" w:fill="FFFFFF"/>
        </w:rPr>
        <w:t>ing</w:t>
      </w:r>
      <w:r w:rsidR="001413D2">
        <w:rPr>
          <w:rFonts w:ascii="Times" w:hAnsi="Times" w:cs="Arial"/>
          <w:color w:val="222222"/>
          <w:shd w:val="clear" w:color="auto" w:fill="FFFFFF"/>
        </w:rPr>
        <w:t xml:space="preserve"> </w:t>
      </w:r>
      <w:r w:rsidR="00290582">
        <w:rPr>
          <w:rFonts w:ascii="Times" w:hAnsi="Times" w:cs="Arial"/>
          <w:color w:val="222222"/>
          <w:shd w:val="clear" w:color="auto" w:fill="FFFFFF"/>
        </w:rPr>
        <w:t xml:space="preserve">up genetic linkage or genome-wide association studies of sexual orientation with analyses </w:t>
      </w:r>
      <w:r w:rsidR="00BC482E">
        <w:rPr>
          <w:rFonts w:ascii="Times" w:hAnsi="Times" w:cs="Arial"/>
          <w:color w:val="222222"/>
          <w:shd w:val="clear" w:color="auto" w:fill="FFFFFF"/>
        </w:rPr>
        <w:t xml:space="preserve">of gender nonconformity. Homosexual men appear to be especially </w:t>
      </w:r>
      <w:r w:rsidR="00721795">
        <w:rPr>
          <w:rFonts w:ascii="Times" w:hAnsi="Times" w:cs="Arial"/>
          <w:color w:val="222222"/>
          <w:shd w:val="clear" w:color="auto" w:fill="FFFFFF"/>
        </w:rPr>
        <w:t>variable in their</w:t>
      </w:r>
      <w:r w:rsidR="00BC482E">
        <w:rPr>
          <w:rFonts w:ascii="Times" w:hAnsi="Times" w:cs="Arial"/>
          <w:color w:val="222222"/>
          <w:shd w:val="clear" w:color="auto" w:fill="FFFFFF"/>
        </w:rPr>
        <w:t xml:space="preserve"> gender nonconformit</w:t>
      </w:r>
      <w:r w:rsidR="00721795">
        <w:rPr>
          <w:rFonts w:ascii="Times" w:hAnsi="Times" w:cs="Arial"/>
          <w:color w:val="222222"/>
          <w:shd w:val="clear" w:color="auto" w:fill="FFFFFF"/>
        </w:rPr>
        <w:t>y</w:t>
      </w:r>
      <w:r>
        <w:rPr>
          <w:rFonts w:ascii="Times" w:hAnsi="Times" w:cs="Arial"/>
          <w:color w:val="222222"/>
          <w:shd w:val="clear" w:color="auto" w:fill="FFFFFF"/>
        </w:rPr>
        <w:t>, relative to heterosexual men (</w:t>
      </w:r>
      <w:r w:rsidR="005C373A">
        <w:rPr>
          <w:rFonts w:ascii="Times" w:hAnsi="Times" w:cs="Arial"/>
          <w:color w:val="222222"/>
          <w:shd w:val="clear" w:color="auto" w:fill="FFFFFF"/>
        </w:rPr>
        <w:t xml:space="preserve">Table 2 and </w:t>
      </w:r>
      <w:r w:rsidR="00BC482E">
        <w:rPr>
          <w:rFonts w:ascii="Times" w:hAnsi="Times" w:cs="Arial"/>
          <w:color w:val="222222"/>
          <w:shd w:val="clear" w:color="auto" w:fill="FFFFFF"/>
        </w:rPr>
        <w:t xml:space="preserve">Figure 1), and </w:t>
      </w:r>
      <w:r w:rsidR="00333E48">
        <w:rPr>
          <w:rFonts w:ascii="Times" w:hAnsi="Times" w:cs="Arial"/>
          <w:color w:val="222222"/>
          <w:shd w:val="clear" w:color="auto" w:fill="FFFFFF"/>
        </w:rPr>
        <w:t xml:space="preserve">may </w:t>
      </w:r>
      <w:r w:rsidR="00721795">
        <w:rPr>
          <w:rFonts w:ascii="Times" w:hAnsi="Times" w:cs="Arial"/>
          <w:color w:val="222222"/>
          <w:shd w:val="clear" w:color="auto" w:fill="FFFFFF"/>
        </w:rPr>
        <w:t xml:space="preserve">therefore </w:t>
      </w:r>
      <w:r w:rsidR="00333E48">
        <w:rPr>
          <w:rFonts w:ascii="Times" w:hAnsi="Times" w:cs="Arial"/>
          <w:color w:val="222222"/>
          <w:shd w:val="clear" w:color="auto" w:fill="FFFFFF"/>
        </w:rPr>
        <w:t>be an especially useful population</w:t>
      </w:r>
      <w:r w:rsidR="00721795">
        <w:rPr>
          <w:rFonts w:ascii="Times" w:hAnsi="Times" w:cs="Arial"/>
          <w:color w:val="222222"/>
          <w:shd w:val="clear" w:color="auto" w:fill="FFFFFF"/>
        </w:rPr>
        <w:t xml:space="preserve"> </w:t>
      </w:r>
      <w:r w:rsidR="00AE2B08">
        <w:rPr>
          <w:rFonts w:ascii="Times" w:hAnsi="Times" w:cs="Arial"/>
          <w:color w:val="222222"/>
          <w:shd w:val="clear" w:color="auto" w:fill="FFFFFF"/>
        </w:rPr>
        <w:t xml:space="preserve">in which </w:t>
      </w:r>
      <w:r w:rsidR="00721795">
        <w:rPr>
          <w:rFonts w:ascii="Times" w:hAnsi="Times" w:cs="Arial"/>
          <w:color w:val="222222"/>
          <w:shd w:val="clear" w:color="auto" w:fill="FFFFFF"/>
        </w:rPr>
        <w:t xml:space="preserve">to study </w:t>
      </w:r>
      <w:r w:rsidR="00AE2B08">
        <w:rPr>
          <w:rFonts w:ascii="Times" w:hAnsi="Times" w:cs="Arial"/>
          <w:color w:val="222222"/>
          <w:shd w:val="clear" w:color="auto" w:fill="FFFFFF"/>
        </w:rPr>
        <w:t xml:space="preserve">contributory </w:t>
      </w:r>
      <w:r w:rsidR="00721795">
        <w:rPr>
          <w:rFonts w:ascii="Times" w:hAnsi="Times" w:cs="Arial"/>
          <w:color w:val="222222"/>
          <w:shd w:val="clear" w:color="auto" w:fill="FFFFFF"/>
        </w:rPr>
        <w:t>genetic variants</w:t>
      </w:r>
      <w:r w:rsidR="00333E48">
        <w:rPr>
          <w:rFonts w:ascii="Times" w:hAnsi="Times" w:cs="Arial"/>
          <w:color w:val="222222"/>
          <w:shd w:val="clear" w:color="auto" w:fill="FFFFFF"/>
        </w:rPr>
        <w:t>.</w:t>
      </w:r>
    </w:p>
    <w:p w14:paraId="635ECAE0" w14:textId="120CFBB8" w:rsidR="00A21520" w:rsidRDefault="005E2E8F" w:rsidP="001217AA">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Our sample of brothers discordant for homosexuality was much smaller than our sample of concordant brothers, but it is slightly larger than the aggregate of previous samples (Table 1</w:t>
      </w:r>
      <w:r w:rsidR="009705CE">
        <w:rPr>
          <w:rFonts w:ascii="Times" w:hAnsi="Times" w:cs="Arial"/>
          <w:color w:val="222222"/>
          <w:shd w:val="clear" w:color="auto" w:fill="FFFFFF"/>
        </w:rPr>
        <w:t>; note that prior studies of genetic brothers discordant for sexual orientation all focused on twins</w:t>
      </w:r>
      <w:r>
        <w:rPr>
          <w:rFonts w:ascii="Times" w:hAnsi="Times" w:cs="Arial"/>
          <w:color w:val="222222"/>
          <w:shd w:val="clear" w:color="auto" w:fill="FFFFFF"/>
        </w:rPr>
        <w:t xml:space="preserve">). </w:t>
      </w:r>
      <w:r w:rsidR="00C22261">
        <w:rPr>
          <w:rFonts w:ascii="Times" w:hAnsi="Times" w:cs="Arial"/>
          <w:color w:val="222222"/>
          <w:shd w:val="clear" w:color="auto" w:fill="FFFFFF"/>
        </w:rPr>
        <w:t>Unlike in previous studies</w:t>
      </w:r>
      <w:r w:rsidR="00045AAB">
        <w:rPr>
          <w:rFonts w:ascii="Times" w:hAnsi="Times" w:cs="Arial"/>
          <w:color w:val="222222"/>
          <w:shd w:val="clear" w:color="auto" w:fill="FFFFFF"/>
        </w:rPr>
        <w:t xml:space="preserve"> (e.g., Bailey &amp; Pillard, 1991)</w:t>
      </w:r>
      <w:r w:rsidR="00C22261">
        <w:rPr>
          <w:rFonts w:ascii="Times" w:hAnsi="Times" w:cs="Arial"/>
          <w:color w:val="222222"/>
          <w:shd w:val="clear" w:color="auto" w:fill="FFFFFF"/>
        </w:rPr>
        <w:t>, gender nonconformity correlations were not much lower among discordant brothers compared with brothers concordant for homosexuality. Furthermore, confidence intervals overlapped</w:t>
      </w:r>
      <w:r w:rsidR="00721795">
        <w:rPr>
          <w:rFonts w:ascii="Times" w:hAnsi="Times" w:cs="Arial"/>
          <w:color w:val="222222"/>
          <w:shd w:val="clear" w:color="auto" w:fill="FFFFFF"/>
        </w:rPr>
        <w:t xml:space="preserve"> (Table 3)</w:t>
      </w:r>
      <w:r w:rsidR="00C22261">
        <w:rPr>
          <w:rFonts w:ascii="Times" w:hAnsi="Times" w:cs="Arial"/>
          <w:color w:val="222222"/>
          <w:shd w:val="clear" w:color="auto" w:fill="FFFFFF"/>
        </w:rPr>
        <w:t xml:space="preserve">. </w:t>
      </w:r>
      <w:r w:rsidR="00A43F07">
        <w:rPr>
          <w:rFonts w:ascii="Times" w:hAnsi="Times" w:cs="Arial"/>
          <w:color w:val="222222"/>
          <w:shd w:val="clear" w:color="auto" w:fill="FFFFFF"/>
        </w:rPr>
        <w:t xml:space="preserve">Thus, our results do not support the hypothesis we raised in the Introduction that causes of gender nonconformity may differ among homosexual and heterosexual men. </w:t>
      </w:r>
    </w:p>
    <w:p w14:paraId="4699DE99" w14:textId="6EE724B0" w:rsidR="00DD4BB3" w:rsidRDefault="00DD4BB3" w:rsidP="001217AA">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lastRenderedPageBreak/>
        <w:t>The two covariates we included, birth year and educational attainment, yielded consistent findings for the brothers concordant for homosexuality. Specifically, birth year was positively correlated with both childhood and adult gender nonconformity, meaning that more recently born homosexual men reported more gender nonconformity. Th</w:t>
      </w:r>
      <w:r w:rsidR="00CC287A">
        <w:rPr>
          <w:rFonts w:ascii="Times" w:hAnsi="Times" w:cs="Arial"/>
          <w:color w:val="222222"/>
          <w:shd w:val="clear" w:color="auto" w:fill="FFFFFF"/>
        </w:rPr>
        <w:t>ese</w:t>
      </w:r>
      <w:r>
        <w:rPr>
          <w:rFonts w:ascii="Times" w:hAnsi="Times" w:cs="Arial"/>
          <w:color w:val="222222"/>
          <w:shd w:val="clear" w:color="auto" w:fill="FFFFFF"/>
        </w:rPr>
        <w:t xml:space="preserve"> effect</w:t>
      </w:r>
      <w:r w:rsidR="00CC287A">
        <w:rPr>
          <w:rFonts w:ascii="Times" w:hAnsi="Times" w:cs="Arial"/>
          <w:color w:val="222222"/>
          <w:shd w:val="clear" w:color="auto" w:fill="FFFFFF"/>
        </w:rPr>
        <w:t>s</w:t>
      </w:r>
      <w:r>
        <w:rPr>
          <w:rFonts w:ascii="Times" w:hAnsi="Times" w:cs="Arial"/>
          <w:color w:val="222222"/>
          <w:shd w:val="clear" w:color="auto" w:fill="FFFFFF"/>
        </w:rPr>
        <w:t xml:space="preserve"> </w:t>
      </w:r>
      <w:r w:rsidR="00CC287A">
        <w:rPr>
          <w:rFonts w:ascii="Times" w:hAnsi="Times" w:cs="Arial"/>
          <w:color w:val="222222"/>
          <w:shd w:val="clear" w:color="auto" w:fill="FFFFFF"/>
        </w:rPr>
        <w:t>were</w:t>
      </w:r>
      <w:r>
        <w:rPr>
          <w:rFonts w:ascii="Times" w:hAnsi="Times" w:cs="Arial"/>
          <w:color w:val="222222"/>
          <w:shd w:val="clear" w:color="auto" w:fill="FFFFFF"/>
        </w:rPr>
        <w:t xml:space="preserve"> not large</w:t>
      </w:r>
      <w:r w:rsidR="004157A2">
        <w:rPr>
          <w:rFonts w:ascii="Times" w:hAnsi="Times" w:cs="Arial"/>
          <w:color w:val="222222"/>
          <w:shd w:val="clear" w:color="auto" w:fill="FFFFFF"/>
        </w:rPr>
        <w:t xml:space="preserve"> (Table 3)</w:t>
      </w:r>
      <w:r w:rsidR="00CC287A">
        <w:rPr>
          <w:rFonts w:ascii="Times" w:hAnsi="Times" w:cs="Arial"/>
          <w:color w:val="222222"/>
          <w:shd w:val="clear" w:color="auto" w:fill="FFFFFF"/>
        </w:rPr>
        <w:t>. For example</w:t>
      </w:r>
      <w:r w:rsidR="00B35E44">
        <w:rPr>
          <w:rFonts w:ascii="Times" w:hAnsi="Times" w:cs="Arial"/>
          <w:color w:val="222222"/>
          <w:shd w:val="clear" w:color="auto" w:fill="FFFFFF"/>
        </w:rPr>
        <w:t>, for full siblings</w:t>
      </w:r>
      <w:r w:rsidR="00CC287A">
        <w:rPr>
          <w:rFonts w:ascii="Times" w:hAnsi="Times" w:cs="Arial"/>
          <w:color w:val="222222"/>
          <w:shd w:val="clear" w:color="auto" w:fill="FFFFFF"/>
        </w:rPr>
        <w:t xml:space="preserve">, </w:t>
      </w:r>
      <w:r w:rsidR="00EF05A8">
        <w:rPr>
          <w:rFonts w:ascii="Times" w:hAnsi="Times" w:cs="Arial"/>
          <w:color w:val="222222"/>
          <w:shd w:val="clear" w:color="auto" w:fill="FFFFFF"/>
        </w:rPr>
        <w:t>one standard deviation increase in birth year (</w:t>
      </w:r>
      <w:r w:rsidR="00BC03B4">
        <w:rPr>
          <w:rFonts w:ascii="Times" w:hAnsi="Times" w:cs="Arial"/>
          <w:color w:val="222222"/>
          <w:shd w:val="clear" w:color="auto" w:fill="FFFFFF"/>
        </w:rPr>
        <w:t>approximately ten years</w:t>
      </w:r>
      <w:r w:rsidR="00EF05A8">
        <w:rPr>
          <w:rFonts w:ascii="Times" w:hAnsi="Times" w:cs="Arial"/>
          <w:color w:val="222222"/>
          <w:shd w:val="clear" w:color="auto" w:fill="FFFFFF"/>
        </w:rPr>
        <w:t>)</w:t>
      </w:r>
      <w:r w:rsidR="00BC03B4">
        <w:rPr>
          <w:rFonts w:ascii="Times" w:hAnsi="Times" w:cs="Arial"/>
          <w:color w:val="222222"/>
          <w:shd w:val="clear" w:color="auto" w:fill="FFFFFF"/>
        </w:rPr>
        <w:t xml:space="preserve"> </w:t>
      </w:r>
      <w:r w:rsidR="00CC287A">
        <w:rPr>
          <w:rFonts w:ascii="Times" w:hAnsi="Times" w:cs="Arial"/>
          <w:color w:val="222222"/>
          <w:shd w:val="clear" w:color="auto" w:fill="FFFFFF"/>
        </w:rPr>
        <w:t xml:space="preserve">was associated with </w:t>
      </w:r>
      <w:r w:rsidR="009B1BD2">
        <w:rPr>
          <w:rFonts w:ascii="Times" w:hAnsi="Times" w:cs="Arial"/>
          <w:color w:val="222222"/>
          <w:shd w:val="clear" w:color="auto" w:fill="FFFFFF"/>
        </w:rPr>
        <w:t>0.15</w:t>
      </w:r>
      <w:r w:rsidR="00CC287A">
        <w:rPr>
          <w:rFonts w:ascii="Times" w:hAnsi="Times" w:cs="Arial"/>
          <w:color w:val="222222"/>
          <w:shd w:val="clear" w:color="auto" w:fill="FFFFFF"/>
        </w:rPr>
        <w:t xml:space="preserve"> standard deviation increase in childhood gender nonconformity; </w:t>
      </w:r>
      <w:r w:rsidR="00DD391F">
        <w:rPr>
          <w:rFonts w:ascii="Times" w:hAnsi="Times" w:cs="Arial"/>
          <w:color w:val="222222"/>
          <w:shd w:val="clear" w:color="auto" w:fill="FFFFFF"/>
        </w:rPr>
        <w:t>the effect for adult gender nonconformity</w:t>
      </w:r>
      <w:r w:rsidR="00CC287A">
        <w:rPr>
          <w:rFonts w:ascii="Times" w:hAnsi="Times" w:cs="Arial"/>
          <w:color w:val="222222"/>
          <w:shd w:val="clear" w:color="auto" w:fill="FFFFFF"/>
        </w:rPr>
        <w:t xml:space="preserve"> </w:t>
      </w:r>
      <w:r w:rsidR="00DD391F">
        <w:rPr>
          <w:rFonts w:ascii="Times" w:hAnsi="Times" w:cs="Arial"/>
          <w:color w:val="222222"/>
          <w:shd w:val="clear" w:color="auto" w:fill="FFFFFF"/>
        </w:rPr>
        <w:t>was even</w:t>
      </w:r>
      <w:r w:rsidR="00CC287A">
        <w:rPr>
          <w:rFonts w:ascii="Times" w:hAnsi="Times" w:cs="Arial"/>
          <w:color w:val="222222"/>
          <w:shd w:val="clear" w:color="auto" w:fill="FFFFFF"/>
        </w:rPr>
        <w:t xml:space="preserve"> smaller. One possible explanation for this finding is </w:t>
      </w:r>
      <w:r w:rsidR="00064AE1">
        <w:rPr>
          <w:rFonts w:ascii="Times" w:hAnsi="Times" w:cs="Arial"/>
          <w:color w:val="222222"/>
          <w:shd w:val="clear" w:color="auto" w:fill="FFFFFF"/>
        </w:rPr>
        <w:t xml:space="preserve">an age </w:t>
      </w:r>
      <w:r w:rsidR="00787A89">
        <w:rPr>
          <w:rFonts w:ascii="Times" w:hAnsi="Times" w:cs="Arial"/>
          <w:color w:val="222222"/>
          <w:shd w:val="clear" w:color="auto" w:fill="FFFFFF"/>
        </w:rPr>
        <w:t xml:space="preserve">or cohort </w:t>
      </w:r>
      <w:r w:rsidR="00064AE1">
        <w:rPr>
          <w:rFonts w:ascii="Times" w:hAnsi="Times" w:cs="Arial"/>
          <w:color w:val="222222"/>
          <w:shd w:val="clear" w:color="auto" w:fill="FFFFFF"/>
        </w:rPr>
        <w:t xml:space="preserve">effect, in which younger men are more likely to recall or report gender nonconformity than older men. By this explanation, </w:t>
      </w:r>
      <w:r w:rsidR="00007047">
        <w:rPr>
          <w:rFonts w:ascii="Times" w:hAnsi="Times" w:cs="Arial"/>
          <w:color w:val="222222"/>
          <w:shd w:val="clear" w:color="auto" w:fill="FFFFFF"/>
        </w:rPr>
        <w:t xml:space="preserve">they </w:t>
      </w:r>
      <w:r w:rsidR="00064AE1">
        <w:rPr>
          <w:rFonts w:ascii="Times" w:hAnsi="Times" w:cs="Arial"/>
          <w:color w:val="222222"/>
          <w:shd w:val="clear" w:color="auto" w:fill="FFFFFF"/>
        </w:rPr>
        <w:t xml:space="preserve">will report less gender nonconformity–even childhood gender nonconformity–as they age. </w:t>
      </w:r>
    </w:p>
    <w:p w14:paraId="17FD6AA7" w14:textId="2CB53D12" w:rsidR="005112C7" w:rsidRDefault="005112C7" w:rsidP="001217AA">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Educational attainment was unrelated to childhood and adult gender nonconformity</w:t>
      </w:r>
      <w:r w:rsidR="0052121B">
        <w:rPr>
          <w:rFonts w:ascii="Times" w:hAnsi="Times" w:cs="Arial"/>
          <w:color w:val="222222"/>
          <w:shd w:val="clear" w:color="auto" w:fill="FFFFFF"/>
        </w:rPr>
        <w:t xml:space="preserve"> among homosexual men</w:t>
      </w:r>
      <w:r>
        <w:rPr>
          <w:rFonts w:ascii="Times" w:hAnsi="Times" w:cs="Arial"/>
          <w:color w:val="222222"/>
          <w:shd w:val="clear" w:color="auto" w:fill="FFFFFF"/>
        </w:rPr>
        <w:t xml:space="preserve">. </w:t>
      </w:r>
      <w:r w:rsidR="008C7763">
        <w:rPr>
          <w:rFonts w:ascii="Times" w:hAnsi="Times" w:cs="Arial"/>
          <w:color w:val="222222"/>
          <w:shd w:val="clear" w:color="auto" w:fill="FFFFFF"/>
        </w:rPr>
        <w:t xml:space="preserve">This contrasts with findings of Harry (1985), who </w:t>
      </w:r>
      <w:r w:rsidR="00E04BA4">
        <w:rPr>
          <w:rFonts w:ascii="Times" w:hAnsi="Times" w:cs="Arial"/>
          <w:color w:val="222222"/>
          <w:shd w:val="clear" w:color="auto" w:fill="FFFFFF"/>
        </w:rPr>
        <w:t>reported</w:t>
      </w:r>
      <w:r w:rsidR="008C7763">
        <w:rPr>
          <w:rFonts w:ascii="Times" w:hAnsi="Times" w:cs="Arial"/>
          <w:color w:val="222222"/>
          <w:shd w:val="clear" w:color="auto" w:fill="FFFFFF"/>
        </w:rPr>
        <w:t xml:space="preserve"> that feminine men from lower social classes were more likely to stay feminine from childhood through adulthood. Thus, we expected to </w:t>
      </w:r>
      <w:r w:rsidR="00CE4A0C">
        <w:rPr>
          <w:rFonts w:ascii="Times" w:hAnsi="Times" w:cs="Arial"/>
          <w:color w:val="222222"/>
          <w:shd w:val="clear" w:color="auto" w:fill="FFFFFF"/>
        </w:rPr>
        <w:t>observe</w:t>
      </w:r>
      <w:r w:rsidR="008C7763">
        <w:rPr>
          <w:rFonts w:ascii="Times" w:hAnsi="Times" w:cs="Arial"/>
          <w:color w:val="222222"/>
          <w:shd w:val="clear" w:color="auto" w:fill="FFFFFF"/>
        </w:rPr>
        <w:t xml:space="preserve"> a correlation between educational attainment (an important component of social class) and adult gender nonconformity. However, we did not</w:t>
      </w:r>
      <w:r w:rsidR="00CE4A0C">
        <w:rPr>
          <w:rFonts w:ascii="Times" w:hAnsi="Times" w:cs="Arial"/>
          <w:color w:val="222222"/>
          <w:shd w:val="clear" w:color="auto" w:fill="FFFFFF"/>
        </w:rPr>
        <w:t xml:space="preserve">. </w:t>
      </w:r>
    </w:p>
    <w:p w14:paraId="6FF13EB0" w14:textId="77777777" w:rsidR="009A4A74" w:rsidRDefault="009A4A74" w:rsidP="00A36216">
      <w:pPr>
        <w:spacing w:line="480" w:lineRule="auto"/>
        <w:outlineLvl w:val="0"/>
        <w:rPr>
          <w:rFonts w:ascii="Times" w:hAnsi="Times" w:cs="Arial"/>
          <w:b/>
          <w:color w:val="222222"/>
          <w:shd w:val="clear" w:color="auto" w:fill="FFFFFF"/>
        </w:rPr>
      </w:pPr>
      <w:r>
        <w:rPr>
          <w:rFonts w:ascii="Times" w:hAnsi="Times" w:cs="Arial"/>
          <w:b/>
          <w:color w:val="222222"/>
          <w:shd w:val="clear" w:color="auto" w:fill="FFFFFF"/>
        </w:rPr>
        <w:t>Limitations</w:t>
      </w:r>
    </w:p>
    <w:p w14:paraId="14FEE4B8" w14:textId="4875AFD8" w:rsidR="00525396" w:rsidRDefault="00525396" w:rsidP="000F4906">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 xml:space="preserve">Like most studies of sexual orientation, ours used non-representative sampling techniques subject to various volunteer biases. This can </w:t>
      </w:r>
      <w:r w:rsidR="008249E6">
        <w:rPr>
          <w:rFonts w:ascii="Times" w:hAnsi="Times" w:cs="Arial"/>
          <w:color w:val="222222"/>
          <w:shd w:val="clear" w:color="auto" w:fill="FFFFFF"/>
        </w:rPr>
        <w:t>cause distortions in certain kinds of findings, such as twin concordances for sexual orientation</w:t>
      </w:r>
      <w:r w:rsidR="00704BE7">
        <w:rPr>
          <w:rFonts w:ascii="Times" w:hAnsi="Times" w:cs="Arial"/>
          <w:color w:val="222222"/>
          <w:shd w:val="clear" w:color="auto" w:fill="FFFFFF"/>
        </w:rPr>
        <w:t xml:space="preserve"> because </w:t>
      </w:r>
      <w:r w:rsidR="008249E6">
        <w:rPr>
          <w:rFonts w:ascii="Times" w:hAnsi="Times" w:cs="Arial"/>
          <w:color w:val="222222"/>
          <w:shd w:val="clear" w:color="auto" w:fill="FFFFFF"/>
        </w:rPr>
        <w:t xml:space="preserve"> twin pairs concordant for homosexuality may be more likely to volunteer for family-genetic studies compared with twin pairs discordant for homosexuality</w:t>
      </w:r>
      <w:r w:rsidR="00704BE7">
        <w:rPr>
          <w:rFonts w:ascii="Times" w:hAnsi="Times" w:cs="Arial"/>
          <w:color w:val="222222"/>
          <w:shd w:val="clear" w:color="auto" w:fill="FFFFFF"/>
        </w:rPr>
        <w:t xml:space="preserve"> (Bailey et al., 2016)</w:t>
      </w:r>
      <w:r w:rsidR="008249E6">
        <w:rPr>
          <w:rFonts w:ascii="Times" w:hAnsi="Times" w:cs="Arial"/>
          <w:color w:val="222222"/>
          <w:shd w:val="clear" w:color="auto" w:fill="FFFFFF"/>
        </w:rPr>
        <w:t xml:space="preserve">. </w:t>
      </w:r>
      <w:r w:rsidR="00E4450C">
        <w:rPr>
          <w:rFonts w:ascii="Times" w:hAnsi="Times" w:cs="Arial"/>
          <w:color w:val="222222"/>
          <w:shd w:val="clear" w:color="auto" w:fill="FFFFFF"/>
        </w:rPr>
        <w:t>A</w:t>
      </w:r>
      <w:r w:rsidR="00312D5E">
        <w:rPr>
          <w:rFonts w:ascii="Times" w:hAnsi="Times" w:cs="Arial"/>
          <w:color w:val="222222"/>
          <w:shd w:val="clear" w:color="auto" w:fill="FFFFFF"/>
        </w:rPr>
        <w:t xml:space="preserve">n analogous volunteer bias </w:t>
      </w:r>
      <w:r w:rsidR="00E4450C">
        <w:rPr>
          <w:rFonts w:ascii="Times" w:hAnsi="Times" w:cs="Arial"/>
          <w:color w:val="222222"/>
          <w:shd w:val="clear" w:color="auto" w:fill="FFFFFF"/>
        </w:rPr>
        <w:t xml:space="preserve">could </w:t>
      </w:r>
      <w:r w:rsidR="00312D5E">
        <w:rPr>
          <w:rFonts w:ascii="Times" w:hAnsi="Times" w:cs="Arial"/>
          <w:color w:val="222222"/>
          <w:shd w:val="clear" w:color="auto" w:fill="FFFFFF"/>
        </w:rPr>
        <w:t xml:space="preserve">extend to gender nonconformity similarity. Such bias would mean that the likelihood of volunteering for our study (a molecular genetics study of male sexual orientation) would be higher for homosexual </w:t>
      </w:r>
      <w:r w:rsidR="00824DB2">
        <w:rPr>
          <w:rFonts w:ascii="Times" w:hAnsi="Times" w:cs="Arial"/>
          <w:color w:val="222222"/>
          <w:shd w:val="clear" w:color="auto" w:fill="FFFFFF"/>
        </w:rPr>
        <w:t xml:space="preserve">brothers </w:t>
      </w:r>
      <w:r w:rsidR="00312D5E">
        <w:rPr>
          <w:rFonts w:ascii="Times" w:hAnsi="Times" w:cs="Arial"/>
          <w:color w:val="222222"/>
          <w:shd w:val="clear" w:color="auto" w:fill="FFFFFF"/>
        </w:rPr>
        <w:lastRenderedPageBreak/>
        <w:t xml:space="preserve">similar in gender nonconformity than in </w:t>
      </w:r>
      <w:r w:rsidR="00EB7930">
        <w:rPr>
          <w:rFonts w:ascii="Times" w:hAnsi="Times" w:cs="Arial"/>
          <w:color w:val="222222"/>
          <w:shd w:val="clear" w:color="auto" w:fill="FFFFFF"/>
        </w:rPr>
        <w:t xml:space="preserve">brothers </w:t>
      </w:r>
      <w:r w:rsidR="00312D5E">
        <w:rPr>
          <w:rFonts w:ascii="Times" w:hAnsi="Times" w:cs="Arial"/>
          <w:color w:val="222222"/>
          <w:shd w:val="clear" w:color="auto" w:fill="FFFFFF"/>
        </w:rPr>
        <w:t xml:space="preserve">dissimilar for gender nonconformity. </w:t>
      </w:r>
      <w:r w:rsidR="00E4450C">
        <w:rPr>
          <w:rFonts w:ascii="Times" w:hAnsi="Times" w:cs="Arial"/>
          <w:color w:val="222222"/>
          <w:shd w:val="clear" w:color="auto" w:fill="FFFFFF"/>
        </w:rPr>
        <w:t>We cannot exclude the possibility that such bias occurred</w:t>
      </w:r>
      <w:r w:rsidR="00184590">
        <w:rPr>
          <w:rFonts w:ascii="Times" w:hAnsi="Times" w:cs="Arial"/>
          <w:color w:val="222222"/>
          <w:shd w:val="clear" w:color="auto" w:fill="FFFFFF"/>
        </w:rPr>
        <w:t xml:space="preserve">. </w:t>
      </w:r>
    </w:p>
    <w:p w14:paraId="11992736" w14:textId="65E7C3AA" w:rsidR="009A4A74" w:rsidRDefault="00814460" w:rsidP="000F4906">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 xml:space="preserve">Self-report </w:t>
      </w:r>
      <w:r w:rsidR="009A4A74">
        <w:rPr>
          <w:rFonts w:ascii="Times" w:hAnsi="Times" w:cs="Arial"/>
          <w:color w:val="222222"/>
          <w:shd w:val="clear" w:color="auto" w:fill="FFFFFF"/>
        </w:rPr>
        <w:t>bias</w:t>
      </w:r>
      <w:r w:rsidR="007344EF">
        <w:rPr>
          <w:rFonts w:ascii="Times" w:hAnsi="Times" w:cs="Arial"/>
          <w:color w:val="222222"/>
          <w:shd w:val="clear" w:color="auto" w:fill="FFFFFF"/>
        </w:rPr>
        <w:t xml:space="preserve"> is a</w:t>
      </w:r>
      <w:r w:rsidR="00045AAB">
        <w:rPr>
          <w:rFonts w:ascii="Times" w:hAnsi="Times" w:cs="Arial"/>
          <w:color w:val="222222"/>
          <w:shd w:val="clear" w:color="auto" w:fill="FFFFFF"/>
        </w:rPr>
        <w:t>lso</w:t>
      </w:r>
      <w:r w:rsidR="007344EF">
        <w:rPr>
          <w:rFonts w:ascii="Times" w:hAnsi="Times" w:cs="Arial"/>
          <w:color w:val="222222"/>
          <w:shd w:val="clear" w:color="auto" w:fill="FFFFFF"/>
        </w:rPr>
        <w:t xml:space="preserve"> </w:t>
      </w:r>
      <w:r w:rsidR="00045AAB">
        <w:rPr>
          <w:rFonts w:ascii="Times" w:hAnsi="Times" w:cs="Arial"/>
          <w:color w:val="222222"/>
          <w:shd w:val="clear" w:color="auto" w:fill="FFFFFF"/>
        </w:rPr>
        <w:t>a</w:t>
      </w:r>
      <w:r w:rsidR="007344EF">
        <w:rPr>
          <w:rFonts w:ascii="Times" w:hAnsi="Times" w:cs="Arial"/>
          <w:color w:val="222222"/>
          <w:shd w:val="clear" w:color="auto" w:fill="FFFFFF"/>
        </w:rPr>
        <w:t xml:space="preserve"> concern. To be valid, retrospective childhood gender nonconformity measures such as ours require both accurate memories and </w:t>
      </w:r>
      <w:r>
        <w:rPr>
          <w:rFonts w:ascii="Times" w:hAnsi="Times" w:cs="Arial"/>
          <w:color w:val="222222"/>
          <w:shd w:val="clear" w:color="auto" w:fill="FFFFFF"/>
        </w:rPr>
        <w:t>honesty</w:t>
      </w:r>
      <w:r w:rsidR="001A7FA4">
        <w:rPr>
          <w:rFonts w:ascii="Times" w:hAnsi="Times" w:cs="Arial"/>
          <w:color w:val="222222"/>
          <w:shd w:val="clear" w:color="auto" w:fill="FFFFFF"/>
        </w:rPr>
        <w:t xml:space="preserve">; </w:t>
      </w:r>
      <w:r w:rsidR="00AF24E6">
        <w:rPr>
          <w:rFonts w:ascii="Times" w:hAnsi="Times" w:cs="Arial"/>
          <w:color w:val="222222"/>
          <w:shd w:val="clear" w:color="auto" w:fill="FFFFFF"/>
        </w:rPr>
        <w:t xml:space="preserve">similarly, </w:t>
      </w:r>
      <w:r w:rsidR="001A7FA4">
        <w:rPr>
          <w:rFonts w:ascii="Times" w:hAnsi="Times" w:cs="Arial"/>
          <w:color w:val="222222"/>
          <w:shd w:val="clear" w:color="auto" w:fill="FFFFFF"/>
        </w:rPr>
        <w:t xml:space="preserve">contemporaneous adult gender nonconformity measures require accurate self-assessment and honesty. Although we acknowledge </w:t>
      </w:r>
      <w:r>
        <w:rPr>
          <w:rFonts w:ascii="Times" w:hAnsi="Times" w:cs="Arial"/>
          <w:color w:val="222222"/>
          <w:shd w:val="clear" w:color="auto" w:fill="FFFFFF"/>
        </w:rPr>
        <w:t>the potential limitations of self-report</w:t>
      </w:r>
      <w:r w:rsidR="001A7FA4">
        <w:rPr>
          <w:rFonts w:ascii="Times" w:hAnsi="Times" w:cs="Arial"/>
          <w:color w:val="222222"/>
          <w:shd w:val="clear" w:color="auto" w:fill="FFFFFF"/>
        </w:rPr>
        <w:t xml:space="preserve">, it is </w:t>
      </w:r>
      <w:r w:rsidR="00A53169">
        <w:rPr>
          <w:rFonts w:ascii="Times" w:hAnsi="Times" w:cs="Arial"/>
          <w:color w:val="222222"/>
          <w:shd w:val="clear" w:color="auto" w:fill="FFFFFF"/>
        </w:rPr>
        <w:t>un</w:t>
      </w:r>
      <w:r w:rsidR="001A7FA4">
        <w:rPr>
          <w:rFonts w:ascii="Times" w:hAnsi="Times" w:cs="Arial"/>
          <w:color w:val="222222"/>
          <w:shd w:val="clear" w:color="auto" w:fill="FFFFFF"/>
        </w:rPr>
        <w:t xml:space="preserve">clear </w:t>
      </w:r>
      <w:r w:rsidR="00A53169">
        <w:rPr>
          <w:rFonts w:ascii="Times" w:hAnsi="Times" w:cs="Arial"/>
          <w:color w:val="222222"/>
          <w:shd w:val="clear" w:color="auto" w:fill="FFFFFF"/>
        </w:rPr>
        <w:t xml:space="preserve">that </w:t>
      </w:r>
      <w:r w:rsidR="001A7FA4">
        <w:rPr>
          <w:rFonts w:ascii="Times" w:hAnsi="Times" w:cs="Arial"/>
          <w:color w:val="222222"/>
          <w:shd w:val="clear" w:color="auto" w:fill="FFFFFF"/>
        </w:rPr>
        <w:t xml:space="preserve">these facts would result in spuriously high findings of familial gender nonconformity. </w:t>
      </w:r>
      <w:r w:rsidR="00A53169">
        <w:rPr>
          <w:rFonts w:ascii="Times" w:hAnsi="Times" w:cs="Arial"/>
          <w:color w:val="222222"/>
          <w:shd w:val="clear" w:color="auto" w:fill="FFFFFF"/>
        </w:rPr>
        <w:t xml:space="preserve">Furthermore, other studies have supported the validity of measures of childhood gender nonconformity (Bailey et al., 1993; Rieger et al., 2008). </w:t>
      </w:r>
    </w:p>
    <w:p w14:paraId="3B81F738" w14:textId="35986CD6" w:rsidR="002643BF" w:rsidRDefault="00C0573F" w:rsidP="00A36216">
      <w:pPr>
        <w:spacing w:line="480" w:lineRule="auto"/>
        <w:outlineLvl w:val="0"/>
        <w:rPr>
          <w:rFonts w:ascii="Times" w:hAnsi="Times" w:cs="Arial"/>
          <w:b/>
          <w:color w:val="222222"/>
          <w:shd w:val="clear" w:color="auto" w:fill="FFFFFF"/>
        </w:rPr>
      </w:pPr>
      <w:r>
        <w:rPr>
          <w:rFonts w:ascii="Times" w:hAnsi="Times" w:cs="Arial"/>
          <w:b/>
          <w:color w:val="222222"/>
          <w:shd w:val="clear" w:color="auto" w:fill="FFFFFF"/>
        </w:rPr>
        <w:t>CONCLUSIONS</w:t>
      </w:r>
    </w:p>
    <w:p w14:paraId="03F5E674" w14:textId="77777777" w:rsidR="009A4A74" w:rsidRDefault="002643BF" w:rsidP="002643BF">
      <w:pPr>
        <w:spacing w:line="480" w:lineRule="auto"/>
        <w:ind w:firstLine="720"/>
        <w:rPr>
          <w:rFonts w:ascii="Times" w:hAnsi="Times" w:cs="Arial"/>
          <w:color w:val="222222"/>
          <w:shd w:val="clear" w:color="auto" w:fill="FFFFFF"/>
        </w:rPr>
      </w:pPr>
      <w:r>
        <w:rPr>
          <w:rFonts w:ascii="Times" w:hAnsi="Times" w:cs="Arial"/>
          <w:color w:val="222222"/>
          <w:shd w:val="clear" w:color="auto" w:fill="FFFFFF"/>
        </w:rPr>
        <w:t>Both childhood and adult gender nonconformity are markedly variable among homosexual men. We have shown that both run in families to an appreciable degree</w:t>
      </w:r>
      <w:r w:rsidR="00926CFC">
        <w:rPr>
          <w:rFonts w:ascii="Times" w:hAnsi="Times" w:cs="Arial"/>
          <w:color w:val="222222"/>
          <w:shd w:val="clear" w:color="auto" w:fill="FFFFFF"/>
        </w:rPr>
        <w:t>. We hope that our results will encourage research to elucidate their precise nature.</w:t>
      </w:r>
    </w:p>
    <w:p w14:paraId="0B96B215" w14:textId="77777777" w:rsidR="008E3F8C" w:rsidRDefault="008E3F8C" w:rsidP="00175AE3">
      <w:pPr>
        <w:spacing w:line="480" w:lineRule="auto"/>
        <w:rPr>
          <w:rFonts w:ascii="Times" w:hAnsi="Times" w:cs="Arial"/>
          <w:color w:val="222222"/>
          <w:shd w:val="clear" w:color="auto" w:fill="FFFFFF"/>
        </w:rPr>
      </w:pPr>
    </w:p>
    <w:p w14:paraId="2F3A7D1D" w14:textId="77777777" w:rsidR="00175AE3" w:rsidRDefault="00175AE3" w:rsidP="00175AE3">
      <w:pPr>
        <w:spacing w:line="480" w:lineRule="auto"/>
        <w:rPr>
          <w:rFonts w:ascii="Times" w:hAnsi="Times" w:cs="Arial"/>
          <w:color w:val="222222"/>
          <w:shd w:val="clear" w:color="auto" w:fill="FFFFFF"/>
        </w:rPr>
      </w:pPr>
    </w:p>
    <w:p w14:paraId="71DE7ED3" w14:textId="77777777" w:rsidR="00175AE3" w:rsidRDefault="00175AE3">
      <w:pPr>
        <w:rPr>
          <w:rFonts w:ascii="Times" w:hAnsi="Times" w:cs="Arial"/>
          <w:color w:val="222222"/>
          <w:shd w:val="clear" w:color="auto" w:fill="FFFFFF"/>
        </w:rPr>
      </w:pPr>
      <w:r>
        <w:rPr>
          <w:rFonts w:ascii="Times" w:hAnsi="Times" w:cs="Arial"/>
          <w:color w:val="222222"/>
          <w:shd w:val="clear" w:color="auto" w:fill="FFFFFF"/>
        </w:rPr>
        <w:br w:type="page"/>
      </w:r>
    </w:p>
    <w:p w14:paraId="7FB454D1" w14:textId="3A46AA63" w:rsidR="00175AE3" w:rsidRDefault="00811646" w:rsidP="00811646">
      <w:pPr>
        <w:spacing w:line="480" w:lineRule="auto"/>
        <w:outlineLvl w:val="0"/>
        <w:rPr>
          <w:rFonts w:ascii="Times" w:hAnsi="Times"/>
          <w:b/>
        </w:rPr>
      </w:pPr>
      <w:r>
        <w:rPr>
          <w:rFonts w:ascii="Times" w:hAnsi="Times"/>
          <w:b/>
        </w:rPr>
        <w:lastRenderedPageBreak/>
        <w:t>REFERENCES</w:t>
      </w:r>
    </w:p>
    <w:p w14:paraId="4426D2FB"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t xml:space="preserve">Bailey, J. M., Dunne, M. P., &amp; Martin, N. G. (2000). Genetic and environmental influences on sexual orientation and its correlates in an Australian twin sample. </w:t>
      </w:r>
      <w:r w:rsidRPr="005733B0">
        <w:rPr>
          <w:rFonts w:ascii="Times" w:eastAsiaTheme="minorHAnsi" w:hAnsi="Times" w:cs="Times"/>
          <w:i/>
          <w:iCs/>
          <w:color w:val="000000"/>
        </w:rPr>
        <w:t>Journal of Personality and Social Psychology, 78</w:t>
      </w:r>
      <w:r w:rsidRPr="005733B0">
        <w:rPr>
          <w:rFonts w:ascii="Times" w:eastAsiaTheme="minorHAnsi" w:hAnsi="Times" w:cs="Times"/>
          <w:color w:val="000000"/>
        </w:rPr>
        <w:t xml:space="preserve">, 524-536. doi: 10.1037/0022-3514.78.3.524 </w:t>
      </w:r>
    </w:p>
    <w:p w14:paraId="2078C72B" w14:textId="77777777" w:rsidR="00E522DF" w:rsidRPr="00620670" w:rsidRDefault="00E522DF" w:rsidP="00620670">
      <w:pPr>
        <w:autoSpaceDE w:val="0"/>
        <w:autoSpaceDN w:val="0"/>
        <w:adjustRightInd w:val="0"/>
        <w:spacing w:line="480" w:lineRule="auto"/>
        <w:ind w:left="720" w:hanging="720"/>
        <w:rPr>
          <w:rFonts w:ascii="Times" w:eastAsiaTheme="minorHAnsi" w:hAnsi="Times" w:cs="Times"/>
          <w:color w:val="262626"/>
        </w:rPr>
      </w:pPr>
      <w:r>
        <w:rPr>
          <w:rFonts w:ascii="Times" w:eastAsiaTheme="minorHAnsi" w:hAnsi="Times" w:cs="Times"/>
          <w:color w:val="1A1A1A"/>
        </w:rPr>
        <w:t xml:space="preserve">Bailey, J. M., Nothnagel, J., &amp; Wolfe, M. (1995). Retrospectively measured individual differences in childhood sex-typed behavior among gay men: Correspondence between self-and maternal reports. </w:t>
      </w:r>
      <w:r w:rsidRPr="00E522DF">
        <w:rPr>
          <w:rFonts w:ascii="Times" w:eastAsiaTheme="minorHAnsi" w:hAnsi="Times" w:cs="Times"/>
          <w:i/>
          <w:color w:val="1A1A1A"/>
        </w:rPr>
        <w:t>Archives of Sexual Behavior, 24</w:t>
      </w:r>
      <w:r>
        <w:rPr>
          <w:rFonts w:ascii="Times" w:eastAsiaTheme="minorHAnsi" w:hAnsi="Times" w:cs="Times"/>
          <w:color w:val="1A1A1A"/>
        </w:rPr>
        <w:t>, 613-622. doi:</w:t>
      </w:r>
      <w:r>
        <w:rPr>
          <w:rFonts w:ascii="Times" w:eastAsiaTheme="minorHAnsi" w:hAnsi="Times" w:cs="Times"/>
          <w:color w:val="262626"/>
        </w:rPr>
        <w:t>10.1007/BF01542183</w:t>
      </w:r>
    </w:p>
    <w:p w14:paraId="547D8A3F"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t xml:space="preserve">Bailey, J. M., &amp; Pillard, R. C. (1991). A genetic study of male sexual orientation. </w:t>
      </w:r>
      <w:r w:rsidRPr="005733B0">
        <w:rPr>
          <w:rFonts w:ascii="Times" w:eastAsiaTheme="minorHAnsi" w:hAnsi="Times" w:cs="Times"/>
          <w:i/>
          <w:iCs/>
          <w:color w:val="000000"/>
        </w:rPr>
        <w:t>Archives of General Psychiatry, 48</w:t>
      </w:r>
      <w:r w:rsidRPr="005733B0">
        <w:rPr>
          <w:rFonts w:ascii="Times" w:eastAsiaTheme="minorHAnsi" w:hAnsi="Times" w:cs="Times"/>
          <w:color w:val="000000"/>
        </w:rPr>
        <w:t xml:space="preserve">, 1089-1096. doi: 10.1001/archpsyc.1991.01810360053008 </w:t>
      </w:r>
    </w:p>
    <w:p w14:paraId="6F2D739E"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t xml:space="preserve">Bailey, J. M., Vasey, P. L., Diamond, L. M., Breedlove, S. M., Vilain, E., &amp; Epprecht, M. (2016). Sexual orientation, controversy, and science. </w:t>
      </w:r>
      <w:r w:rsidRPr="005733B0">
        <w:rPr>
          <w:rFonts w:ascii="Times" w:eastAsiaTheme="minorHAnsi" w:hAnsi="Times" w:cs="Times"/>
          <w:i/>
          <w:iCs/>
          <w:color w:val="000000"/>
        </w:rPr>
        <w:t>Psychological Science in the Public Interest, 17</w:t>
      </w:r>
      <w:r w:rsidRPr="005733B0">
        <w:rPr>
          <w:rFonts w:ascii="Times" w:eastAsiaTheme="minorHAnsi" w:hAnsi="Times" w:cs="Times"/>
          <w:color w:val="000000"/>
        </w:rPr>
        <w:t xml:space="preserve">, 45-101. doi: 10.1177/1529100616637616 </w:t>
      </w:r>
    </w:p>
    <w:p w14:paraId="3DB96158"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t xml:space="preserve">Bailey, J. M., &amp; Zucker, K. J. (1995). Childhood sex-typed behavior and sexual orientation: A conceptual analysis and quantitative review. </w:t>
      </w:r>
      <w:r w:rsidRPr="005733B0">
        <w:rPr>
          <w:rFonts w:ascii="Times" w:eastAsiaTheme="minorHAnsi" w:hAnsi="Times" w:cs="Times"/>
          <w:i/>
          <w:iCs/>
          <w:color w:val="000000"/>
        </w:rPr>
        <w:t>Developmental Psychology, 31</w:t>
      </w:r>
      <w:r w:rsidRPr="005733B0">
        <w:rPr>
          <w:rFonts w:ascii="Times" w:eastAsiaTheme="minorHAnsi" w:hAnsi="Times" w:cs="Times"/>
          <w:color w:val="000000"/>
        </w:rPr>
        <w:t xml:space="preserve">, 43-55. doi: 10.1037/0012-1649.31.1.43 </w:t>
      </w:r>
    </w:p>
    <w:p w14:paraId="0BD84B02" w14:textId="77777777" w:rsidR="00E522DF" w:rsidRDefault="00E522DF" w:rsidP="00620670">
      <w:pPr>
        <w:autoSpaceDE w:val="0"/>
        <w:autoSpaceDN w:val="0"/>
        <w:adjustRightInd w:val="0"/>
        <w:spacing w:line="480" w:lineRule="auto"/>
        <w:ind w:left="720" w:hanging="720"/>
        <w:rPr>
          <w:rFonts w:ascii="Times" w:eastAsiaTheme="minorHAnsi" w:hAnsi="Times" w:cs="Times"/>
          <w:color w:val="535353"/>
        </w:rPr>
      </w:pPr>
      <w:r>
        <w:rPr>
          <w:rFonts w:ascii="Times" w:eastAsiaTheme="minorHAnsi" w:hAnsi="Times" w:cs="Times"/>
          <w:color w:val="1A1A1A"/>
        </w:rPr>
        <w:t xml:space="preserve">Bouchard, T. J., Lykken, D. T., McGue, M., Segal, N., &amp; Tellegen, A. (1990). When kin correlations are not squared. </w:t>
      </w:r>
      <w:r>
        <w:rPr>
          <w:rFonts w:ascii="Times" w:eastAsiaTheme="minorHAnsi" w:hAnsi="Times" w:cs="Times"/>
          <w:i/>
          <w:iCs/>
          <w:color w:val="1A1A1A"/>
        </w:rPr>
        <w:t>Science, 250</w:t>
      </w:r>
      <w:r>
        <w:rPr>
          <w:rFonts w:ascii="Times" w:eastAsiaTheme="minorHAnsi" w:hAnsi="Times" w:cs="Times"/>
          <w:color w:val="1A1A1A"/>
        </w:rPr>
        <w:t xml:space="preserve">, 1498-1498. doi: </w:t>
      </w:r>
      <w:r>
        <w:rPr>
          <w:rFonts w:ascii="Times" w:eastAsiaTheme="minorHAnsi" w:hAnsi="Times" w:cs="Times"/>
          <w:color w:val="535353"/>
        </w:rPr>
        <w:t>10.1126/science.2218526</w:t>
      </w:r>
    </w:p>
    <w:p w14:paraId="03C23DA2" w14:textId="77777777" w:rsidR="00600483" w:rsidRDefault="00E522DF" w:rsidP="00620670">
      <w:pPr>
        <w:autoSpaceDE w:val="0"/>
        <w:autoSpaceDN w:val="0"/>
        <w:adjustRightInd w:val="0"/>
        <w:spacing w:line="480" w:lineRule="auto"/>
        <w:ind w:left="720" w:hanging="720"/>
        <w:rPr>
          <w:rFonts w:ascii="Times" w:eastAsiaTheme="minorHAnsi" w:hAnsi="Times" w:cs="Times"/>
          <w:color w:val="262626"/>
        </w:rPr>
      </w:pPr>
      <w:r>
        <w:rPr>
          <w:rFonts w:ascii="Times" w:eastAsiaTheme="minorHAnsi" w:hAnsi="Times" w:cs="Times"/>
          <w:color w:val="1A1A1A"/>
        </w:rPr>
        <w:t xml:space="preserve">Dawood, K., Pillard, R. C., Horvath, C., Revelle, W., &amp; Bailey, J. M. (2000). Familial aspects of male homosexuality. </w:t>
      </w:r>
      <w:r w:rsidRPr="00E522DF">
        <w:rPr>
          <w:rFonts w:ascii="Times" w:eastAsiaTheme="minorHAnsi" w:hAnsi="Times" w:cs="Times"/>
          <w:i/>
          <w:color w:val="1A1A1A"/>
        </w:rPr>
        <w:t>Archives of Sexual Behavior, 29</w:t>
      </w:r>
      <w:r>
        <w:rPr>
          <w:rFonts w:ascii="Times" w:eastAsiaTheme="minorHAnsi" w:hAnsi="Times" w:cs="Times"/>
          <w:color w:val="1A1A1A"/>
        </w:rPr>
        <w:t xml:space="preserve">, 155-163. doi: </w:t>
      </w:r>
      <w:r>
        <w:rPr>
          <w:rFonts w:ascii="Times" w:eastAsiaTheme="minorHAnsi" w:hAnsi="Times" w:cs="Times"/>
          <w:color w:val="262626"/>
        </w:rPr>
        <w:t>10.1023/A:1001955721992</w:t>
      </w:r>
      <w:r w:rsidR="00600483">
        <w:rPr>
          <w:rFonts w:ascii="Times" w:eastAsiaTheme="minorHAnsi" w:hAnsi="Times" w:cs="Times"/>
          <w:color w:val="262626"/>
        </w:rPr>
        <w:t xml:space="preserve"> </w:t>
      </w:r>
    </w:p>
    <w:p w14:paraId="4DC32247" w14:textId="77777777" w:rsidR="00E522DF" w:rsidRDefault="00600483" w:rsidP="00620670">
      <w:pPr>
        <w:autoSpaceDE w:val="0"/>
        <w:autoSpaceDN w:val="0"/>
        <w:adjustRightInd w:val="0"/>
        <w:spacing w:line="480" w:lineRule="auto"/>
        <w:ind w:left="720" w:hanging="720"/>
        <w:rPr>
          <w:rFonts w:ascii="Times" w:eastAsiaTheme="minorHAnsi" w:hAnsi="Times" w:cs="Times"/>
          <w:color w:val="262626"/>
        </w:rPr>
      </w:pPr>
      <w:r>
        <w:rPr>
          <w:rFonts w:ascii="Times" w:eastAsiaTheme="minorHAnsi" w:hAnsi="Times" w:cs="Times"/>
          <w:color w:val="1A1A1A"/>
        </w:rPr>
        <w:lastRenderedPageBreak/>
        <w:t xml:space="preserve">Gangestad, S. W., Bailey, J. M., &amp; Martin, N. G. (2000). Taxometric analyses of sexual orientation and gender identity. </w:t>
      </w:r>
      <w:r>
        <w:rPr>
          <w:rFonts w:ascii="Times" w:eastAsiaTheme="minorHAnsi" w:hAnsi="Times" w:cs="Times"/>
          <w:i/>
          <w:iCs/>
          <w:color w:val="1A1A1A"/>
        </w:rPr>
        <w:t>Journal of Personality and Social Psychology</w:t>
      </w:r>
      <w:r>
        <w:rPr>
          <w:rFonts w:ascii="Times" w:eastAsiaTheme="minorHAnsi" w:hAnsi="Times" w:cs="Times"/>
          <w:color w:val="1A1A1A"/>
        </w:rPr>
        <w:t xml:space="preserve">, </w:t>
      </w:r>
      <w:r>
        <w:rPr>
          <w:rFonts w:ascii="Times" w:eastAsiaTheme="minorHAnsi" w:hAnsi="Times" w:cs="Times"/>
          <w:i/>
          <w:iCs/>
          <w:color w:val="1A1A1A"/>
        </w:rPr>
        <w:t>78</w:t>
      </w:r>
      <w:r>
        <w:rPr>
          <w:rFonts w:ascii="Times" w:eastAsiaTheme="minorHAnsi" w:hAnsi="Times" w:cs="Times"/>
          <w:color w:val="1A1A1A"/>
        </w:rPr>
        <w:t>, 1109-1121. doi:</w:t>
      </w:r>
      <w:hyperlink r:id="rId6" w:history="1">
        <w:r>
          <w:rPr>
            <w:rFonts w:ascii="Times" w:eastAsiaTheme="minorHAnsi" w:hAnsi="Times" w:cs="Times"/>
            <w:color w:val="1A64BC"/>
            <w:u w:val="single" w:color="1A64BC"/>
          </w:rPr>
          <w:t xml:space="preserve"> 10.1037//0022-3514.78.6.1109</w:t>
        </w:r>
      </w:hyperlink>
    </w:p>
    <w:p w14:paraId="5206E0FF" w14:textId="77777777" w:rsidR="00600483" w:rsidRDefault="00E522DF" w:rsidP="00620670">
      <w:pPr>
        <w:autoSpaceDE w:val="0"/>
        <w:autoSpaceDN w:val="0"/>
        <w:adjustRightInd w:val="0"/>
        <w:spacing w:line="480" w:lineRule="auto"/>
        <w:ind w:left="720" w:hanging="720"/>
        <w:rPr>
          <w:rFonts w:ascii="Times" w:eastAsiaTheme="minorHAnsi" w:hAnsi="Times" w:cs="Times"/>
          <w:color w:val="262626"/>
        </w:rPr>
      </w:pPr>
      <w:r>
        <w:rPr>
          <w:rFonts w:ascii="Times" w:eastAsiaTheme="minorHAnsi" w:hAnsi="Times" w:cs="Times"/>
          <w:color w:val="1A1A1A"/>
        </w:rPr>
        <w:t xml:space="preserve">Harry, J. (1985). Defeminization and social class. </w:t>
      </w:r>
      <w:r>
        <w:rPr>
          <w:rFonts w:ascii="Times" w:eastAsiaTheme="minorHAnsi" w:hAnsi="Times" w:cs="Times"/>
          <w:i/>
          <w:iCs/>
          <w:color w:val="1A1A1A"/>
        </w:rPr>
        <w:t>Archives of Sexual Behavior, 14</w:t>
      </w:r>
      <w:r>
        <w:rPr>
          <w:rFonts w:ascii="Times" w:eastAsiaTheme="minorHAnsi" w:hAnsi="Times" w:cs="Times"/>
          <w:color w:val="1A1A1A"/>
        </w:rPr>
        <w:t xml:space="preserve">, 1-12. doi: </w:t>
      </w:r>
      <w:r>
        <w:rPr>
          <w:rFonts w:ascii="Times" w:eastAsiaTheme="minorHAnsi" w:hAnsi="Times" w:cs="Times"/>
          <w:color w:val="262626"/>
        </w:rPr>
        <w:t>10.1007/BF01541348</w:t>
      </w:r>
      <w:r w:rsidR="00600483">
        <w:rPr>
          <w:rFonts w:ascii="Times" w:eastAsiaTheme="minorHAnsi" w:hAnsi="Times" w:cs="Times"/>
          <w:color w:val="262626"/>
        </w:rPr>
        <w:t xml:space="preserve"> </w:t>
      </w:r>
    </w:p>
    <w:p w14:paraId="6CF2835B" w14:textId="77777777" w:rsidR="00E522DF" w:rsidRDefault="00600483" w:rsidP="00620670">
      <w:pPr>
        <w:autoSpaceDE w:val="0"/>
        <w:autoSpaceDN w:val="0"/>
        <w:adjustRightInd w:val="0"/>
        <w:spacing w:line="480" w:lineRule="auto"/>
        <w:ind w:left="720" w:hanging="720"/>
        <w:rPr>
          <w:rFonts w:ascii="Times" w:eastAsiaTheme="minorHAnsi" w:hAnsi="Times" w:cs="Times"/>
          <w:color w:val="262626"/>
        </w:rPr>
      </w:pPr>
      <w:r>
        <w:rPr>
          <w:rFonts w:ascii="Times" w:eastAsiaTheme="minorHAnsi" w:hAnsi="Times" w:cs="Times"/>
          <w:color w:val="1A1A1A"/>
        </w:rPr>
        <w:t xml:space="preserve">Haslam, N. (1997). Evidence that male sexual orientation is a matter of degree. </w:t>
      </w:r>
      <w:r>
        <w:rPr>
          <w:rFonts w:ascii="Times" w:eastAsiaTheme="minorHAnsi" w:hAnsi="Times" w:cs="Times"/>
          <w:i/>
          <w:iCs/>
          <w:color w:val="1A1A1A"/>
        </w:rPr>
        <w:t>Journal of Personality and Social Psychology</w:t>
      </w:r>
      <w:r>
        <w:rPr>
          <w:rFonts w:ascii="Times" w:eastAsiaTheme="minorHAnsi" w:hAnsi="Times" w:cs="Times"/>
          <w:color w:val="1A1A1A"/>
        </w:rPr>
        <w:t xml:space="preserve">, </w:t>
      </w:r>
      <w:r>
        <w:rPr>
          <w:rFonts w:ascii="Times" w:eastAsiaTheme="minorHAnsi" w:hAnsi="Times" w:cs="Times"/>
          <w:i/>
          <w:iCs/>
          <w:color w:val="1A1A1A"/>
        </w:rPr>
        <w:t>73</w:t>
      </w:r>
      <w:r>
        <w:rPr>
          <w:rFonts w:ascii="Times" w:eastAsiaTheme="minorHAnsi" w:hAnsi="Times" w:cs="Times"/>
          <w:color w:val="1A1A1A"/>
        </w:rPr>
        <w:t xml:space="preserve">, 862-870. doi: </w:t>
      </w:r>
      <w:r>
        <w:rPr>
          <w:rFonts w:ascii="Times" w:eastAsiaTheme="minorHAnsi" w:hAnsi="Times" w:cs="Times"/>
          <w:color w:val="1E80F0"/>
          <w:u w:val="single" w:color="1E80F0"/>
        </w:rPr>
        <w:t>10.1037/0022-3514.73.4.862</w:t>
      </w:r>
    </w:p>
    <w:p w14:paraId="2EA62967" w14:textId="77777777" w:rsidR="00600483" w:rsidRDefault="00600483" w:rsidP="00600483">
      <w:pPr>
        <w:autoSpaceDE w:val="0"/>
        <w:autoSpaceDN w:val="0"/>
        <w:adjustRightInd w:val="0"/>
        <w:spacing w:line="480" w:lineRule="auto"/>
        <w:ind w:left="720" w:hanging="720"/>
        <w:rPr>
          <w:rFonts w:ascii="Times" w:eastAsiaTheme="minorHAnsi" w:hAnsi="Times" w:cs="Times"/>
          <w:color w:val="000000"/>
        </w:rPr>
      </w:pPr>
      <w:r>
        <w:rPr>
          <w:rFonts w:ascii="Times" w:eastAsiaTheme="minorHAnsi" w:hAnsi="Times" w:cs="Times"/>
          <w:color w:val="000000"/>
        </w:rPr>
        <w:t xml:space="preserve">Kinsey, P., Pomeroy, W. B., &amp; Martin, C. E. (1948). </w:t>
      </w:r>
      <w:r>
        <w:rPr>
          <w:rFonts w:ascii="Times" w:eastAsiaTheme="minorHAnsi" w:hAnsi="Times" w:cs="Times"/>
          <w:i/>
          <w:iCs/>
          <w:color w:val="000000"/>
        </w:rPr>
        <w:t>Sexual behavior in the human male</w:t>
      </w:r>
      <w:r>
        <w:rPr>
          <w:rFonts w:ascii="Times" w:eastAsiaTheme="minorHAnsi" w:hAnsi="Times" w:cs="Times"/>
          <w:color w:val="000000"/>
        </w:rPr>
        <w:t xml:space="preserve">. Philadelphia, PA: W.B. Saunders. </w:t>
      </w:r>
    </w:p>
    <w:p w14:paraId="378F2B43" w14:textId="77777777" w:rsidR="00316EFA" w:rsidRPr="00316EFA" w:rsidRDefault="00316EFA" w:rsidP="00620670">
      <w:pPr>
        <w:autoSpaceDE w:val="0"/>
        <w:autoSpaceDN w:val="0"/>
        <w:adjustRightInd w:val="0"/>
        <w:spacing w:line="480" w:lineRule="auto"/>
        <w:ind w:left="720" w:hanging="720"/>
        <w:rPr>
          <w:rFonts w:ascii="Times" w:eastAsiaTheme="minorHAnsi" w:hAnsi="Times" w:cs="Times"/>
          <w:color w:val="000000"/>
        </w:rPr>
      </w:pPr>
      <w:r w:rsidRPr="00120FE5">
        <w:rPr>
          <w:rFonts w:ascii="Times" w:hAnsi="Times"/>
        </w:rPr>
        <w:t xml:space="preserve">Li, G., Kung, K. T. F., &amp; Hines, M. (2017). Childhood gender-typed behavior and adolescent sexual orientation: A longitudinal population-based study. </w:t>
      </w:r>
      <w:r w:rsidRPr="00120FE5">
        <w:rPr>
          <w:rFonts w:ascii="Times" w:hAnsi="Times"/>
          <w:i/>
          <w:iCs/>
        </w:rPr>
        <w:t>Developmental Psychology</w:t>
      </w:r>
      <w:r w:rsidRPr="00120FE5">
        <w:rPr>
          <w:rFonts w:ascii="Times" w:hAnsi="Times"/>
        </w:rPr>
        <w:t>. doi: 10.1037/dev0000281</w:t>
      </w:r>
    </w:p>
    <w:p w14:paraId="0A7B70D3"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t xml:space="preserve">Lippa, R. A. (2005). Sexual orientation and personality. </w:t>
      </w:r>
      <w:r w:rsidRPr="005733B0">
        <w:rPr>
          <w:rFonts w:ascii="Times" w:eastAsiaTheme="minorHAnsi" w:hAnsi="Times" w:cs="Times"/>
          <w:i/>
          <w:iCs/>
          <w:color w:val="000000"/>
        </w:rPr>
        <w:t>Annual Review of Sex Research, 16</w:t>
      </w:r>
      <w:r w:rsidRPr="005733B0">
        <w:rPr>
          <w:rFonts w:ascii="Times" w:eastAsiaTheme="minorHAnsi" w:hAnsi="Times" w:cs="Times"/>
          <w:color w:val="000000"/>
        </w:rPr>
        <w:t xml:space="preserve">, 119-153. doi: 10.1080/10532528.2005.10559831 </w:t>
      </w:r>
    </w:p>
    <w:p w14:paraId="3CA40D11" w14:textId="77777777" w:rsidR="00E77C13" w:rsidRDefault="00E522DF" w:rsidP="00620670">
      <w:pPr>
        <w:autoSpaceDE w:val="0"/>
        <w:autoSpaceDN w:val="0"/>
        <w:adjustRightInd w:val="0"/>
        <w:spacing w:line="480" w:lineRule="auto"/>
        <w:ind w:left="720" w:hanging="720"/>
        <w:rPr>
          <w:rFonts w:ascii="Times" w:eastAsiaTheme="minorHAnsi" w:hAnsi="Times" w:cs="Times"/>
          <w:color w:val="1E80F0"/>
          <w:u w:val="single" w:color="1E80F0"/>
        </w:rPr>
      </w:pPr>
      <w:r>
        <w:rPr>
          <w:rFonts w:ascii="Times" w:eastAsiaTheme="minorHAnsi" w:hAnsi="Times" w:cs="Times"/>
          <w:color w:val="222222"/>
        </w:rPr>
        <w:t>Loftus, J. (2001). America's liberalization in attitudes toward homosexuality, 1973 to 1998. </w:t>
      </w:r>
      <w:r>
        <w:rPr>
          <w:rFonts w:ascii="Times" w:eastAsiaTheme="minorHAnsi" w:hAnsi="Times" w:cs="Times"/>
          <w:i/>
          <w:iCs/>
          <w:color w:val="222222"/>
        </w:rPr>
        <w:t>American Sociological Review</w:t>
      </w:r>
      <w:r>
        <w:rPr>
          <w:rFonts w:ascii="Times" w:eastAsiaTheme="minorHAnsi" w:hAnsi="Times" w:cs="Times"/>
          <w:color w:val="222222"/>
        </w:rPr>
        <w:t xml:space="preserve">, </w:t>
      </w:r>
      <w:r>
        <w:rPr>
          <w:rFonts w:ascii="Times" w:eastAsiaTheme="minorHAnsi" w:hAnsi="Times" w:cs="Times"/>
          <w:i/>
          <w:iCs/>
          <w:color w:val="222222"/>
        </w:rPr>
        <w:t>66</w:t>
      </w:r>
      <w:r>
        <w:rPr>
          <w:rFonts w:ascii="Times" w:eastAsiaTheme="minorHAnsi" w:hAnsi="Times" w:cs="Times"/>
          <w:color w:val="222222"/>
        </w:rPr>
        <w:t>, 762-782.</w:t>
      </w:r>
      <w:r>
        <w:rPr>
          <w:rFonts w:ascii="Times" w:eastAsiaTheme="minorHAnsi" w:hAnsi="Times" w:cs="Times"/>
        </w:rPr>
        <w:t xml:space="preserve"> doi: </w:t>
      </w:r>
      <w:r>
        <w:rPr>
          <w:rFonts w:ascii="Times" w:eastAsiaTheme="minorHAnsi" w:hAnsi="Times" w:cs="Times"/>
          <w:color w:val="1E80F0"/>
          <w:u w:val="single" w:color="1E80F0"/>
        </w:rPr>
        <w:t>10.2307/3088957</w:t>
      </w:r>
      <w:r w:rsidR="00E77C13">
        <w:rPr>
          <w:rFonts w:ascii="Times" w:eastAsiaTheme="minorHAnsi" w:hAnsi="Times" w:cs="Times"/>
          <w:color w:val="1E80F0"/>
          <w:u w:val="single" w:color="1E80F0"/>
        </w:rPr>
        <w:t xml:space="preserve"> </w:t>
      </w:r>
    </w:p>
    <w:p w14:paraId="7C962AC6" w14:textId="77777777" w:rsidR="00E522DF" w:rsidRDefault="00E77C13" w:rsidP="00620670">
      <w:pPr>
        <w:autoSpaceDE w:val="0"/>
        <w:autoSpaceDN w:val="0"/>
        <w:adjustRightInd w:val="0"/>
        <w:spacing w:line="480" w:lineRule="auto"/>
        <w:ind w:left="720" w:hanging="720"/>
        <w:rPr>
          <w:rFonts w:ascii="Times" w:eastAsiaTheme="minorHAnsi" w:hAnsi="Times" w:cs="Times"/>
          <w:color w:val="1E80F0"/>
          <w:u w:val="single" w:color="1E80F0"/>
        </w:rPr>
      </w:pPr>
      <w:r>
        <w:rPr>
          <w:rFonts w:ascii="Times" w:eastAsiaTheme="minorHAnsi" w:hAnsi="Times" w:cs="Times"/>
          <w:color w:val="1A1A1A"/>
        </w:rPr>
        <w:t xml:space="preserve">Meehl, P. E. (1992). Factors and taxa, traits and types, differences of degree and differences in kind. </w:t>
      </w:r>
      <w:r>
        <w:rPr>
          <w:rFonts w:ascii="Times" w:eastAsiaTheme="minorHAnsi" w:hAnsi="Times" w:cs="Times"/>
          <w:i/>
          <w:iCs/>
          <w:color w:val="1A1A1A"/>
        </w:rPr>
        <w:t>Journal of Personality</w:t>
      </w:r>
      <w:r>
        <w:rPr>
          <w:rFonts w:ascii="Times" w:eastAsiaTheme="minorHAnsi" w:hAnsi="Times" w:cs="Times"/>
          <w:color w:val="1A1A1A"/>
        </w:rPr>
        <w:t xml:space="preserve">, </w:t>
      </w:r>
      <w:r>
        <w:rPr>
          <w:rFonts w:ascii="Times" w:eastAsiaTheme="minorHAnsi" w:hAnsi="Times" w:cs="Times"/>
          <w:i/>
          <w:iCs/>
          <w:color w:val="1A1A1A"/>
        </w:rPr>
        <w:t>60</w:t>
      </w:r>
      <w:r>
        <w:rPr>
          <w:rFonts w:ascii="Times" w:eastAsiaTheme="minorHAnsi" w:hAnsi="Times" w:cs="Times"/>
          <w:color w:val="1A1A1A"/>
        </w:rPr>
        <w:t xml:space="preserve">, 117-174. doi: </w:t>
      </w:r>
      <w:r>
        <w:rPr>
          <w:rFonts w:ascii="Times" w:eastAsiaTheme="minorHAnsi" w:hAnsi="Times" w:cs="Times"/>
          <w:color w:val="262626"/>
        </w:rPr>
        <w:t>10.1111/j.1467-6494.1992.tb00269.x</w:t>
      </w:r>
    </w:p>
    <w:p w14:paraId="27F3F9D3" w14:textId="77777777" w:rsidR="00E522DF" w:rsidRDefault="00E522DF" w:rsidP="00620670">
      <w:pPr>
        <w:autoSpaceDE w:val="0"/>
        <w:autoSpaceDN w:val="0"/>
        <w:adjustRightInd w:val="0"/>
        <w:spacing w:line="480" w:lineRule="auto"/>
        <w:ind w:left="720" w:hanging="720"/>
        <w:rPr>
          <w:rFonts w:ascii="MS Mincho" w:eastAsia="MS Mincho" w:hAnsi="MS Mincho" w:cs="MS Mincho"/>
          <w:color w:val="262626"/>
        </w:rPr>
      </w:pPr>
      <w:r>
        <w:rPr>
          <w:rFonts w:ascii="Times" w:eastAsiaTheme="minorHAnsi" w:hAnsi="Times" w:cs="Times"/>
          <w:color w:val="1A1A1A"/>
        </w:rPr>
        <w:t xml:space="preserve">Moskowitz, D. A., &amp; Hart, T. A. (2011). The influence of physical body traits and masculinity on anal sex roles in gay and bisexual men. </w:t>
      </w:r>
      <w:r>
        <w:rPr>
          <w:rFonts w:ascii="Times" w:eastAsiaTheme="minorHAnsi" w:hAnsi="Times" w:cs="Times"/>
          <w:i/>
          <w:iCs/>
          <w:color w:val="1A1A1A"/>
        </w:rPr>
        <w:t>Archives of Sexual Behavior, 40</w:t>
      </w:r>
      <w:r>
        <w:rPr>
          <w:rFonts w:ascii="Times" w:eastAsiaTheme="minorHAnsi" w:hAnsi="Times" w:cs="Times"/>
          <w:color w:val="1A1A1A"/>
        </w:rPr>
        <w:t xml:space="preserve">, 835-841. doi: </w:t>
      </w:r>
      <w:r>
        <w:rPr>
          <w:rFonts w:ascii="Times" w:eastAsiaTheme="minorHAnsi" w:hAnsi="Times" w:cs="Times"/>
          <w:color w:val="262626"/>
        </w:rPr>
        <w:t>10.1007/s10508-011-9754-0</w:t>
      </w:r>
      <w:r>
        <w:rPr>
          <w:rFonts w:ascii="MS Mincho" w:eastAsia="MS Mincho" w:hAnsi="MS Mincho" w:cs="MS Mincho" w:hint="eastAsia"/>
          <w:color w:val="262626"/>
        </w:rPr>
        <w:t> </w:t>
      </w:r>
    </w:p>
    <w:p w14:paraId="55C3CBEC"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lastRenderedPageBreak/>
        <w:t xml:space="preserve">Rieger, G., Linsenmeier, J. A. W., Gygax, L., &amp; Bailey, J. M. (2008). Sexual orientation and childhood gender nonconformity: Evidence from home videos. </w:t>
      </w:r>
      <w:r w:rsidRPr="005733B0">
        <w:rPr>
          <w:rFonts w:ascii="Times" w:eastAsiaTheme="minorHAnsi" w:hAnsi="Times" w:cs="Times"/>
          <w:i/>
          <w:iCs/>
          <w:color w:val="000000"/>
        </w:rPr>
        <w:t>Developmental Psychology, 44</w:t>
      </w:r>
      <w:r w:rsidRPr="005733B0">
        <w:rPr>
          <w:rFonts w:ascii="Times" w:eastAsiaTheme="minorHAnsi" w:hAnsi="Times" w:cs="Times"/>
          <w:color w:val="000000"/>
        </w:rPr>
        <w:t xml:space="preserve">, 46-58. doi: 10.1037/0012-1649.44.1.46 </w:t>
      </w:r>
    </w:p>
    <w:p w14:paraId="53730662" w14:textId="77777777" w:rsidR="005733B0" w:rsidRPr="005733B0" w:rsidRDefault="005733B0" w:rsidP="00620670">
      <w:pPr>
        <w:autoSpaceDE w:val="0"/>
        <w:autoSpaceDN w:val="0"/>
        <w:adjustRightInd w:val="0"/>
        <w:spacing w:line="480" w:lineRule="auto"/>
        <w:ind w:left="720" w:hanging="720"/>
        <w:rPr>
          <w:rFonts w:ascii="Times" w:eastAsiaTheme="minorHAnsi" w:hAnsi="Times" w:cs="Times"/>
          <w:color w:val="000000"/>
        </w:rPr>
      </w:pPr>
      <w:r w:rsidRPr="005733B0">
        <w:rPr>
          <w:rFonts w:ascii="Times" w:eastAsiaTheme="minorHAnsi" w:hAnsi="Times" w:cs="Times"/>
          <w:color w:val="000000"/>
        </w:rPr>
        <w:t xml:space="preserve">Rieger, G., Linsenmeier, J. A. W., Gygax, L., Garcia, S. C., &amp; Bailey, J. M. (2010). Dissecting "gaydar": Accuracy and the role of masculinity-femininity. </w:t>
      </w:r>
      <w:r w:rsidRPr="005733B0">
        <w:rPr>
          <w:rFonts w:ascii="Times" w:eastAsiaTheme="minorHAnsi" w:hAnsi="Times" w:cs="Times"/>
          <w:i/>
          <w:iCs/>
          <w:color w:val="000000"/>
        </w:rPr>
        <w:t>Archives of Sexual Behavior, 39</w:t>
      </w:r>
      <w:r w:rsidRPr="005733B0">
        <w:rPr>
          <w:rFonts w:ascii="Times" w:eastAsiaTheme="minorHAnsi" w:hAnsi="Times" w:cs="Times"/>
          <w:color w:val="000000"/>
        </w:rPr>
        <w:t xml:space="preserve">, 124-140. doi: 10.1007/s10508-008-9405-2 </w:t>
      </w:r>
    </w:p>
    <w:p w14:paraId="7EC8BBC8" w14:textId="77777777" w:rsidR="00620670" w:rsidRDefault="00E522DF" w:rsidP="00620670">
      <w:pPr>
        <w:spacing w:line="480" w:lineRule="auto"/>
        <w:ind w:left="720" w:hanging="720"/>
        <w:rPr>
          <w:rFonts w:ascii="Times" w:eastAsiaTheme="minorHAnsi" w:hAnsi="Times" w:cs="Times"/>
          <w:color w:val="1A1A1A"/>
        </w:rPr>
      </w:pPr>
      <w:r>
        <w:rPr>
          <w:rFonts w:ascii="Times" w:eastAsiaTheme="minorHAnsi" w:hAnsi="Times" w:cs="Times"/>
          <w:color w:val="222222"/>
        </w:rPr>
        <w:t>Sanders, A. R., Beecham, G. W., Guo, S., Dawood, K., Rieger, G., Badner, J. A., Gershon, E. S., Krishnappa, R. S., Kolundzija, A. B., Duan, J., MGS Collaboration, Gejman, P. V., Bailey, J. M., &amp; Martin, E. R.  (2017). Genome-Wide Association Study of Male Sexual Orientation. </w:t>
      </w:r>
      <w:r>
        <w:rPr>
          <w:rFonts w:ascii="Times" w:eastAsiaTheme="minorHAnsi" w:hAnsi="Times" w:cs="Times"/>
          <w:i/>
          <w:iCs/>
          <w:color w:val="222222"/>
        </w:rPr>
        <w:t>Scientific Reports, 7</w:t>
      </w:r>
      <w:r>
        <w:rPr>
          <w:rFonts w:ascii="Times" w:eastAsiaTheme="minorHAnsi" w:hAnsi="Times" w:cs="Times"/>
          <w:color w:val="222222"/>
        </w:rPr>
        <w:t>, 16950.</w:t>
      </w:r>
      <w:r>
        <w:rPr>
          <w:rFonts w:ascii="Times" w:eastAsiaTheme="minorHAnsi" w:hAnsi="Times" w:cs="Times"/>
        </w:rPr>
        <w:t xml:space="preserve"> </w:t>
      </w:r>
      <w:r>
        <w:rPr>
          <w:rFonts w:ascii="Times" w:eastAsiaTheme="minorHAnsi" w:hAnsi="Times" w:cs="Times"/>
          <w:color w:val="1A1A1A"/>
        </w:rPr>
        <w:t>doi:10.1038/s41598-017-15736-4</w:t>
      </w:r>
    </w:p>
    <w:p w14:paraId="75D8F438" w14:textId="77777777" w:rsidR="00600483" w:rsidRDefault="00620670" w:rsidP="00620670">
      <w:pPr>
        <w:spacing w:line="480" w:lineRule="auto"/>
        <w:ind w:left="720" w:hanging="720"/>
        <w:rPr>
          <w:rFonts w:ascii="Times" w:eastAsiaTheme="minorHAnsi" w:hAnsi="Times" w:cs="Times"/>
          <w:color w:val="1A1A1A"/>
        </w:rPr>
      </w:pPr>
      <w:r>
        <w:rPr>
          <w:rFonts w:ascii="Times" w:eastAsiaTheme="minorHAnsi" w:hAnsi="Times" w:cs="Times"/>
          <w:color w:val="1A1A1A"/>
        </w:rPr>
        <w:t xml:space="preserve">Sanders, A. R., Martin, E. R., Beecham, G. W., Guo, S., Dawood, K., Rieger, G., ... &amp; Duan, J. (2015). Genome-wide scan demonstrates significant linkage for male sexual orientation. </w:t>
      </w:r>
      <w:r>
        <w:rPr>
          <w:rFonts w:ascii="Times" w:eastAsiaTheme="minorHAnsi" w:hAnsi="Times" w:cs="Times"/>
          <w:i/>
          <w:iCs/>
          <w:color w:val="1A1A1A"/>
        </w:rPr>
        <w:t>Psychological Medicine, 45</w:t>
      </w:r>
      <w:r>
        <w:rPr>
          <w:rFonts w:ascii="Times" w:eastAsiaTheme="minorHAnsi" w:hAnsi="Times" w:cs="Times"/>
          <w:color w:val="1A1A1A"/>
        </w:rPr>
        <w:t xml:space="preserve">, 1379-1388. doi: </w:t>
      </w:r>
      <w:hyperlink r:id="rId7" w:history="1">
        <w:r>
          <w:rPr>
            <w:rFonts w:ascii="Times" w:eastAsiaTheme="minorHAnsi" w:hAnsi="Times" w:cs="Times"/>
            <w:color w:val="0B5BC4"/>
          </w:rPr>
          <w:t>10.1017/S0033291714002451</w:t>
        </w:r>
      </w:hyperlink>
      <w:r w:rsidR="00600483">
        <w:rPr>
          <w:rFonts w:ascii="Times" w:eastAsiaTheme="minorHAnsi" w:hAnsi="Times" w:cs="Times"/>
          <w:color w:val="1A1A1A"/>
        </w:rPr>
        <w:t xml:space="preserve"> </w:t>
      </w:r>
    </w:p>
    <w:p w14:paraId="1F1DFF42" w14:textId="77777777" w:rsidR="00620670" w:rsidRDefault="00600483" w:rsidP="00620670">
      <w:pPr>
        <w:spacing w:line="480" w:lineRule="auto"/>
        <w:ind w:left="720" w:hanging="720"/>
        <w:rPr>
          <w:rFonts w:ascii="Times" w:eastAsiaTheme="minorHAnsi" w:hAnsi="Times" w:cs="Times"/>
          <w:color w:val="1A1A1A"/>
        </w:rPr>
      </w:pPr>
      <w:r>
        <w:rPr>
          <w:rFonts w:ascii="Times" w:eastAsiaTheme="minorHAnsi" w:hAnsi="Times" w:cs="Times"/>
          <w:color w:val="1A1A1A"/>
        </w:rPr>
        <w:t xml:space="preserve">Savin-Williams, R. C. (2014). An exploratory study of the categorical versus spectrum nature of sexual orientation. </w:t>
      </w:r>
      <w:r>
        <w:rPr>
          <w:rFonts w:ascii="Times" w:eastAsiaTheme="minorHAnsi" w:hAnsi="Times" w:cs="Times"/>
          <w:i/>
          <w:iCs/>
          <w:color w:val="1A1A1A"/>
        </w:rPr>
        <w:t>The Journal of Sex Research</w:t>
      </w:r>
      <w:r>
        <w:rPr>
          <w:rFonts w:ascii="Times" w:eastAsiaTheme="minorHAnsi" w:hAnsi="Times" w:cs="Times"/>
          <w:color w:val="1A1A1A"/>
        </w:rPr>
        <w:t xml:space="preserve">, </w:t>
      </w:r>
      <w:r>
        <w:rPr>
          <w:rFonts w:ascii="Times" w:eastAsiaTheme="minorHAnsi" w:hAnsi="Times" w:cs="Times"/>
          <w:i/>
          <w:iCs/>
          <w:color w:val="1A1A1A"/>
        </w:rPr>
        <w:t>51</w:t>
      </w:r>
      <w:r>
        <w:rPr>
          <w:rFonts w:ascii="Times" w:eastAsiaTheme="minorHAnsi" w:hAnsi="Times" w:cs="Times"/>
          <w:color w:val="1A1A1A"/>
        </w:rPr>
        <w:t xml:space="preserve">, 446-453. doi: </w:t>
      </w:r>
      <w:r>
        <w:rPr>
          <w:rFonts w:ascii="Times" w:eastAsiaTheme="minorHAnsi" w:hAnsi="Times" w:cs="Times"/>
          <w:color w:val="0D016B"/>
        </w:rPr>
        <w:t>10.1080/00224499.2013.871691</w:t>
      </w:r>
    </w:p>
    <w:p w14:paraId="38D8002E" w14:textId="77777777" w:rsidR="007A2787" w:rsidRDefault="007A2787" w:rsidP="007A2787">
      <w:pPr>
        <w:autoSpaceDE w:val="0"/>
        <w:autoSpaceDN w:val="0"/>
        <w:adjustRightInd w:val="0"/>
        <w:spacing w:line="480" w:lineRule="auto"/>
        <w:ind w:left="720" w:hanging="720"/>
        <w:rPr>
          <w:rFonts w:ascii="Times" w:eastAsiaTheme="minorHAnsi" w:hAnsi="Times" w:cs="Times"/>
          <w:kern w:val="1"/>
        </w:rPr>
      </w:pPr>
      <w:r>
        <w:rPr>
          <w:rFonts w:ascii="Times" w:eastAsiaTheme="minorHAnsi" w:hAnsi="Times" w:cs="Times"/>
          <w:color w:val="000000"/>
        </w:rPr>
        <w:t xml:space="preserve">Schaie, K. W. (1965). A general model for the study of developmental problems. </w:t>
      </w:r>
      <w:r w:rsidRPr="00620670">
        <w:rPr>
          <w:rFonts w:ascii="Times" w:eastAsiaTheme="minorHAnsi" w:hAnsi="Times" w:cs="Times"/>
          <w:i/>
          <w:color w:val="000000"/>
        </w:rPr>
        <w:t>Psychological Bulletin, 64</w:t>
      </w:r>
      <w:r>
        <w:rPr>
          <w:rFonts w:ascii="Times" w:eastAsiaTheme="minorHAnsi" w:hAnsi="Times" w:cs="Times"/>
          <w:color w:val="000000"/>
        </w:rPr>
        <w:t xml:space="preserve">, 92–107. http://dx.doi.org/10.1037/h0022371 </w:t>
      </w:r>
    </w:p>
    <w:p w14:paraId="5CD644A4" w14:textId="77777777" w:rsidR="00620670" w:rsidRDefault="00620670" w:rsidP="00620670">
      <w:pPr>
        <w:autoSpaceDE w:val="0"/>
        <w:autoSpaceDN w:val="0"/>
        <w:adjustRightInd w:val="0"/>
        <w:spacing w:line="480" w:lineRule="auto"/>
        <w:ind w:left="720" w:hanging="720"/>
        <w:rPr>
          <w:rFonts w:ascii="Times" w:eastAsiaTheme="minorHAnsi" w:hAnsi="Times" w:cs="Times"/>
          <w:color w:val="262626"/>
        </w:rPr>
      </w:pPr>
      <w:r>
        <w:rPr>
          <w:rFonts w:ascii="Times" w:eastAsiaTheme="minorHAnsi" w:hAnsi="Times" w:cs="Times"/>
          <w:color w:val="1A1A1A"/>
        </w:rPr>
        <w:t xml:space="preserve">Turkheimer, E. (2000). Three laws of behavior genetics and what they mean. </w:t>
      </w:r>
      <w:r w:rsidRPr="00620670">
        <w:rPr>
          <w:rFonts w:ascii="Times" w:eastAsiaTheme="minorHAnsi" w:hAnsi="Times" w:cs="Times"/>
          <w:i/>
          <w:color w:val="1A1A1A"/>
        </w:rPr>
        <w:t>Current Directions in Psychological Science, 9</w:t>
      </w:r>
      <w:r>
        <w:rPr>
          <w:rFonts w:ascii="Times" w:eastAsiaTheme="minorHAnsi" w:hAnsi="Times" w:cs="Times"/>
          <w:color w:val="1A1A1A"/>
        </w:rPr>
        <w:t xml:space="preserve">, 160-164. doi: </w:t>
      </w:r>
      <w:r>
        <w:rPr>
          <w:rFonts w:ascii="Times" w:eastAsiaTheme="minorHAnsi" w:hAnsi="Times" w:cs="Times"/>
          <w:color w:val="0953C0"/>
        </w:rPr>
        <w:t>10.1111/1467-8721.00084</w:t>
      </w:r>
    </w:p>
    <w:p w14:paraId="2314343A" w14:textId="7BF60487" w:rsidR="00620670" w:rsidRDefault="00620670" w:rsidP="00620670">
      <w:pPr>
        <w:autoSpaceDE w:val="0"/>
        <w:autoSpaceDN w:val="0"/>
        <w:adjustRightInd w:val="0"/>
        <w:spacing w:line="480" w:lineRule="auto"/>
        <w:ind w:left="720" w:hanging="720"/>
        <w:rPr>
          <w:rFonts w:ascii="Times" w:eastAsiaTheme="minorHAnsi" w:hAnsi="Times" w:cs="Times"/>
          <w:kern w:val="1"/>
        </w:rPr>
      </w:pPr>
      <w:r>
        <w:rPr>
          <w:rFonts w:ascii="Times" w:eastAsiaTheme="minorHAnsi" w:hAnsi="Times" w:cs="Times"/>
          <w:color w:val="1A1A1A"/>
        </w:rPr>
        <w:t>Watts, T. M., Holmes, L., Raines, J., Orbell, S., &amp; Rieger, G. (</w:t>
      </w:r>
      <w:r w:rsidR="00814460">
        <w:rPr>
          <w:rFonts w:ascii="Times" w:eastAsiaTheme="minorHAnsi" w:hAnsi="Times" w:cs="Times"/>
          <w:color w:val="1A1A1A"/>
        </w:rPr>
        <w:t>2018</w:t>
      </w:r>
      <w:r>
        <w:rPr>
          <w:rFonts w:ascii="Times" w:eastAsiaTheme="minorHAnsi" w:hAnsi="Times" w:cs="Times"/>
          <w:color w:val="1A1A1A"/>
        </w:rPr>
        <w:t xml:space="preserve">). Gender nonconformity of identical twins with discordant sexual orientations: evidence from childhood photographs. </w:t>
      </w:r>
      <w:r w:rsidRPr="00620670">
        <w:rPr>
          <w:rFonts w:ascii="Times" w:eastAsiaTheme="minorHAnsi" w:hAnsi="Times" w:cs="Times"/>
          <w:i/>
          <w:color w:val="1A1A1A"/>
        </w:rPr>
        <w:t>Developmental Psychology</w:t>
      </w:r>
      <w:r w:rsidR="008E4FE2">
        <w:rPr>
          <w:rFonts w:ascii="Times" w:eastAsiaTheme="minorHAnsi" w:hAnsi="Times" w:cs="Times"/>
          <w:color w:val="1A1A1A"/>
        </w:rPr>
        <w:t>,</w:t>
      </w:r>
      <w:r>
        <w:rPr>
          <w:rFonts w:ascii="Times" w:eastAsiaTheme="minorHAnsi" w:hAnsi="Times" w:cs="Times"/>
          <w:color w:val="1A1A1A"/>
        </w:rPr>
        <w:t xml:space="preserve"> </w:t>
      </w:r>
      <w:r w:rsidR="008E4FE2" w:rsidRPr="00E91E9B">
        <w:rPr>
          <w:rFonts w:ascii="Times" w:eastAsiaTheme="minorHAnsi" w:hAnsi="Times" w:cs="Times"/>
          <w:i/>
          <w:color w:val="1A1A1A"/>
        </w:rPr>
        <w:t>54</w:t>
      </w:r>
      <w:r w:rsidR="008E4FE2">
        <w:rPr>
          <w:rFonts w:ascii="Times" w:eastAsiaTheme="minorHAnsi" w:hAnsi="Times" w:cs="Times"/>
          <w:color w:val="1A1A1A"/>
        </w:rPr>
        <w:t xml:space="preserve">, </w:t>
      </w:r>
      <w:r w:rsidR="008E4FE2" w:rsidRPr="008E4FE2">
        <w:rPr>
          <w:rFonts w:ascii="Times" w:eastAsiaTheme="minorHAnsi" w:hAnsi="Times" w:cs="Times"/>
          <w:color w:val="1A1A1A"/>
        </w:rPr>
        <w:t>788-801</w:t>
      </w:r>
      <w:r w:rsidR="008E4FE2">
        <w:rPr>
          <w:rFonts w:ascii="Times" w:eastAsiaTheme="minorHAnsi" w:hAnsi="Times" w:cs="Times"/>
          <w:color w:val="1A1A1A"/>
        </w:rPr>
        <w:t xml:space="preserve">. </w:t>
      </w:r>
      <w:r>
        <w:rPr>
          <w:rFonts w:ascii="Times" w:eastAsiaTheme="minorHAnsi" w:hAnsi="Times" w:cs="Times"/>
          <w:kern w:val="1"/>
        </w:rPr>
        <w:t>doi: 10.1037/dev0000461</w:t>
      </w:r>
    </w:p>
    <w:p w14:paraId="622D9B71" w14:textId="77777777" w:rsidR="00620670" w:rsidRDefault="00620670" w:rsidP="00620670">
      <w:pPr>
        <w:spacing w:line="480" w:lineRule="auto"/>
        <w:ind w:left="720" w:hanging="720"/>
        <w:rPr>
          <w:rFonts w:ascii="Times" w:hAnsi="Times"/>
        </w:rPr>
      </w:pPr>
      <w:r>
        <w:rPr>
          <w:rFonts w:ascii="Times" w:eastAsiaTheme="minorHAnsi" w:hAnsi="Times" w:cs="Times"/>
          <w:color w:val="1A1A1A"/>
        </w:rPr>
        <w:lastRenderedPageBreak/>
        <w:t xml:space="preserve">Zucker, K. J., Mitchell, J. N., Bradley, S. J., Tkachuk, J., Cantor, J. M., &amp; Allin, S. M. (2006). The recalled childhood gender identity/gender role questionnaire: Psychometric properties. </w:t>
      </w:r>
      <w:r w:rsidRPr="00620670">
        <w:rPr>
          <w:rFonts w:ascii="Times" w:eastAsiaTheme="minorHAnsi" w:hAnsi="Times" w:cs="Times"/>
          <w:i/>
          <w:color w:val="1A1A1A"/>
        </w:rPr>
        <w:t>Sex Roles, 54</w:t>
      </w:r>
      <w:r>
        <w:rPr>
          <w:rFonts w:ascii="Times" w:eastAsiaTheme="minorHAnsi" w:hAnsi="Times" w:cs="Times"/>
          <w:color w:val="1A1A1A"/>
        </w:rPr>
        <w:t xml:space="preserve">, 469-483. doi: </w:t>
      </w:r>
      <w:r>
        <w:rPr>
          <w:rFonts w:ascii="Times" w:eastAsiaTheme="minorHAnsi" w:hAnsi="Times" w:cs="Times"/>
          <w:color w:val="262626"/>
        </w:rPr>
        <w:t>10.1007/s11199-006-9019-x</w:t>
      </w:r>
    </w:p>
    <w:p w14:paraId="0AB11D97" w14:textId="77777777" w:rsidR="00E522DF" w:rsidRDefault="00E522DF" w:rsidP="00175AE3">
      <w:pPr>
        <w:spacing w:line="480" w:lineRule="auto"/>
        <w:rPr>
          <w:rFonts w:ascii="Times" w:hAnsi="Times"/>
        </w:rPr>
      </w:pPr>
    </w:p>
    <w:p w14:paraId="47C8CDAC" w14:textId="77777777" w:rsidR="00BD577E" w:rsidRDefault="00BD577E" w:rsidP="00175AE3">
      <w:pPr>
        <w:spacing w:line="480" w:lineRule="auto"/>
        <w:rPr>
          <w:rFonts w:ascii="Times" w:hAnsi="Times"/>
        </w:rPr>
        <w:sectPr w:rsidR="00BD577E">
          <w:headerReference w:type="even" r:id="rId8"/>
          <w:headerReference w:type="default" r:id="rId9"/>
          <w:pgSz w:w="12240" w:h="15840"/>
          <w:pgMar w:top="1440" w:right="1440" w:bottom="1440" w:left="1440" w:header="720" w:footer="720" w:gutter="0"/>
          <w:cols w:space="720"/>
          <w:docGrid w:linePitch="360"/>
        </w:sectPr>
      </w:pPr>
    </w:p>
    <w:p w14:paraId="550EE80A" w14:textId="77777777" w:rsidR="00811646" w:rsidRDefault="00BD577E" w:rsidP="00BD577E">
      <w:pPr>
        <w:rPr>
          <w:rFonts w:ascii="Times" w:hAnsi="Times"/>
          <w:i/>
          <w:sz w:val="18"/>
          <w:szCs w:val="18"/>
        </w:rPr>
      </w:pPr>
      <w:r w:rsidRPr="00811646">
        <w:rPr>
          <w:rFonts w:ascii="Times" w:hAnsi="Times"/>
          <w:sz w:val="18"/>
          <w:szCs w:val="18"/>
        </w:rPr>
        <w:lastRenderedPageBreak/>
        <w:t>Table 1</w:t>
      </w:r>
    </w:p>
    <w:p w14:paraId="7D871294" w14:textId="37E8A778" w:rsidR="00E522DF" w:rsidRDefault="00BD577E" w:rsidP="00BD577E">
      <w:pPr>
        <w:rPr>
          <w:rFonts w:ascii="Times" w:hAnsi="Times"/>
          <w:i/>
          <w:sz w:val="18"/>
          <w:szCs w:val="18"/>
        </w:rPr>
      </w:pPr>
      <w:r>
        <w:rPr>
          <w:rFonts w:ascii="Times" w:hAnsi="Times"/>
          <w:i/>
          <w:sz w:val="18"/>
          <w:szCs w:val="18"/>
        </w:rPr>
        <w:t>Childhood gender nonconformity correlations for pairs of brothers either concordant or discordant for homosexuality from three previous studies.</w:t>
      </w:r>
    </w:p>
    <w:p w14:paraId="41E0A277" w14:textId="77777777" w:rsidR="00BD577E" w:rsidRPr="00BD577E" w:rsidRDefault="00BD577E" w:rsidP="00BD577E">
      <w:pPr>
        <w:rPr>
          <w:rFonts w:ascii="Times" w:hAnsi="Times"/>
          <w:i/>
          <w:sz w:val="18"/>
          <w:szCs w:val="18"/>
        </w:rPr>
      </w:pPr>
    </w:p>
    <w:tbl>
      <w:tblPr>
        <w:tblStyle w:val="TableGrid"/>
        <w:tblW w:w="12951" w:type="dxa"/>
        <w:tblLook w:val="04A0" w:firstRow="1" w:lastRow="0" w:firstColumn="1" w:lastColumn="0" w:noHBand="0" w:noVBand="1"/>
      </w:tblPr>
      <w:tblGrid>
        <w:gridCol w:w="1975"/>
        <w:gridCol w:w="1372"/>
        <w:gridCol w:w="1372"/>
        <w:gridCol w:w="1372"/>
        <w:gridCol w:w="1372"/>
        <w:gridCol w:w="1372"/>
        <w:gridCol w:w="1372"/>
        <w:gridCol w:w="1372"/>
        <w:gridCol w:w="1372"/>
      </w:tblGrid>
      <w:tr w:rsidR="00BD577E" w:rsidRPr="000D0B9C" w14:paraId="3E24A940" w14:textId="77777777">
        <w:tc>
          <w:tcPr>
            <w:tcW w:w="1975" w:type="dxa"/>
          </w:tcPr>
          <w:p w14:paraId="61C57BE1" w14:textId="77777777" w:rsidR="00BD577E" w:rsidRPr="000D0B9C" w:rsidRDefault="00BD577E" w:rsidP="009214C2">
            <w:pPr>
              <w:rPr>
                <w:rFonts w:ascii="Times" w:hAnsi="Times"/>
                <w:sz w:val="18"/>
              </w:rPr>
            </w:pPr>
            <w:r w:rsidRPr="000D0B9C">
              <w:rPr>
                <w:rFonts w:ascii="Times" w:hAnsi="Times"/>
                <w:sz w:val="18"/>
              </w:rPr>
              <w:t>Study</w:t>
            </w:r>
          </w:p>
        </w:tc>
        <w:tc>
          <w:tcPr>
            <w:tcW w:w="10975" w:type="dxa"/>
            <w:gridSpan w:val="8"/>
            <w:vAlign w:val="center"/>
          </w:tcPr>
          <w:p w14:paraId="702E5FF8" w14:textId="77777777" w:rsidR="00BD577E" w:rsidRPr="000D0B9C" w:rsidRDefault="00BD577E" w:rsidP="009214C2">
            <w:pPr>
              <w:jc w:val="center"/>
              <w:rPr>
                <w:rFonts w:ascii="Times" w:hAnsi="Times"/>
                <w:sz w:val="18"/>
              </w:rPr>
            </w:pPr>
            <w:r>
              <w:rPr>
                <w:rFonts w:ascii="Times" w:hAnsi="Times"/>
                <w:sz w:val="18"/>
              </w:rPr>
              <w:t>Correlations (N pairs)</w:t>
            </w:r>
          </w:p>
        </w:tc>
      </w:tr>
      <w:tr w:rsidR="00BD577E" w:rsidRPr="000D0B9C" w14:paraId="2ADE4006" w14:textId="77777777">
        <w:tc>
          <w:tcPr>
            <w:tcW w:w="1975" w:type="dxa"/>
          </w:tcPr>
          <w:p w14:paraId="1F7DD558" w14:textId="77777777" w:rsidR="00BD577E" w:rsidRPr="000D0B9C" w:rsidRDefault="00BD577E" w:rsidP="009214C2">
            <w:pPr>
              <w:rPr>
                <w:rFonts w:ascii="Times" w:hAnsi="Times"/>
                <w:sz w:val="18"/>
              </w:rPr>
            </w:pPr>
          </w:p>
        </w:tc>
        <w:tc>
          <w:tcPr>
            <w:tcW w:w="5488" w:type="dxa"/>
            <w:gridSpan w:val="4"/>
            <w:vAlign w:val="center"/>
          </w:tcPr>
          <w:p w14:paraId="396E4352" w14:textId="77777777" w:rsidR="00BD577E" w:rsidRPr="000D0B9C" w:rsidRDefault="00BD577E" w:rsidP="009214C2">
            <w:pPr>
              <w:jc w:val="center"/>
              <w:rPr>
                <w:rFonts w:ascii="Times" w:hAnsi="Times"/>
                <w:sz w:val="18"/>
              </w:rPr>
            </w:pPr>
            <w:r>
              <w:rPr>
                <w:rFonts w:ascii="Times" w:hAnsi="Times"/>
                <w:sz w:val="18"/>
              </w:rPr>
              <w:t>Concordant Pairs</w:t>
            </w:r>
          </w:p>
        </w:tc>
        <w:tc>
          <w:tcPr>
            <w:tcW w:w="5488" w:type="dxa"/>
            <w:gridSpan w:val="4"/>
            <w:vAlign w:val="center"/>
          </w:tcPr>
          <w:p w14:paraId="56197D06" w14:textId="77777777" w:rsidR="00BD577E" w:rsidRPr="000D0B9C" w:rsidRDefault="00BD577E" w:rsidP="009214C2">
            <w:pPr>
              <w:jc w:val="center"/>
              <w:rPr>
                <w:rFonts w:ascii="Times" w:hAnsi="Times"/>
                <w:sz w:val="18"/>
              </w:rPr>
            </w:pPr>
            <w:r>
              <w:rPr>
                <w:rFonts w:ascii="Times" w:hAnsi="Times"/>
                <w:sz w:val="18"/>
              </w:rPr>
              <w:t>Discordant Pairs</w:t>
            </w:r>
          </w:p>
        </w:tc>
      </w:tr>
      <w:tr w:rsidR="00BD577E" w:rsidRPr="000D0B9C" w14:paraId="3E525A14" w14:textId="77777777">
        <w:tc>
          <w:tcPr>
            <w:tcW w:w="1975" w:type="dxa"/>
            <w:vAlign w:val="center"/>
          </w:tcPr>
          <w:p w14:paraId="2B4AEEC9" w14:textId="77777777" w:rsidR="00BD577E" w:rsidRPr="000D0B9C" w:rsidRDefault="00BD577E" w:rsidP="009214C2">
            <w:pPr>
              <w:jc w:val="center"/>
              <w:rPr>
                <w:rFonts w:ascii="Times" w:hAnsi="Times"/>
                <w:sz w:val="18"/>
              </w:rPr>
            </w:pPr>
          </w:p>
        </w:tc>
        <w:tc>
          <w:tcPr>
            <w:tcW w:w="1372" w:type="dxa"/>
            <w:vAlign w:val="center"/>
          </w:tcPr>
          <w:p w14:paraId="74B76F3B" w14:textId="77777777" w:rsidR="00BD577E" w:rsidRPr="000D0B9C" w:rsidRDefault="00BD577E" w:rsidP="009214C2">
            <w:pPr>
              <w:jc w:val="center"/>
              <w:rPr>
                <w:rFonts w:ascii="Times" w:hAnsi="Times"/>
                <w:sz w:val="18"/>
              </w:rPr>
            </w:pPr>
            <w:r>
              <w:rPr>
                <w:rFonts w:ascii="Times" w:hAnsi="Times"/>
                <w:sz w:val="18"/>
              </w:rPr>
              <w:t>MZ Twins</w:t>
            </w:r>
          </w:p>
        </w:tc>
        <w:tc>
          <w:tcPr>
            <w:tcW w:w="1372" w:type="dxa"/>
            <w:vAlign w:val="center"/>
          </w:tcPr>
          <w:p w14:paraId="3C331EF3" w14:textId="77777777" w:rsidR="00BD577E" w:rsidRPr="000D0B9C" w:rsidRDefault="00BD577E" w:rsidP="009214C2">
            <w:pPr>
              <w:jc w:val="center"/>
              <w:rPr>
                <w:rFonts w:ascii="Times" w:hAnsi="Times"/>
                <w:sz w:val="18"/>
              </w:rPr>
            </w:pPr>
            <w:r>
              <w:rPr>
                <w:rFonts w:ascii="Times" w:hAnsi="Times"/>
                <w:sz w:val="18"/>
              </w:rPr>
              <w:t>DZ Twins</w:t>
            </w:r>
          </w:p>
        </w:tc>
        <w:tc>
          <w:tcPr>
            <w:tcW w:w="1372" w:type="dxa"/>
            <w:vAlign w:val="center"/>
          </w:tcPr>
          <w:p w14:paraId="10371524" w14:textId="77777777" w:rsidR="00BD577E" w:rsidRPr="000D0B9C" w:rsidRDefault="00BD577E" w:rsidP="009214C2">
            <w:pPr>
              <w:jc w:val="center"/>
              <w:rPr>
                <w:rFonts w:ascii="Times" w:hAnsi="Times"/>
                <w:sz w:val="18"/>
              </w:rPr>
            </w:pPr>
            <w:r>
              <w:rPr>
                <w:rFonts w:ascii="Times" w:hAnsi="Times"/>
                <w:sz w:val="18"/>
              </w:rPr>
              <w:t>Nontwin Genetic Brothers</w:t>
            </w:r>
          </w:p>
        </w:tc>
        <w:tc>
          <w:tcPr>
            <w:tcW w:w="1372" w:type="dxa"/>
            <w:vAlign w:val="center"/>
          </w:tcPr>
          <w:p w14:paraId="2C32B6C8" w14:textId="77777777" w:rsidR="00BD577E" w:rsidRPr="000D0B9C" w:rsidRDefault="00BD577E" w:rsidP="009214C2">
            <w:pPr>
              <w:jc w:val="center"/>
              <w:rPr>
                <w:rFonts w:ascii="Times" w:hAnsi="Times"/>
                <w:sz w:val="18"/>
              </w:rPr>
            </w:pPr>
            <w:r>
              <w:rPr>
                <w:rFonts w:ascii="Times" w:hAnsi="Times"/>
                <w:sz w:val="18"/>
              </w:rPr>
              <w:t>Adoptive Brothers</w:t>
            </w:r>
          </w:p>
        </w:tc>
        <w:tc>
          <w:tcPr>
            <w:tcW w:w="1372" w:type="dxa"/>
            <w:vAlign w:val="center"/>
          </w:tcPr>
          <w:p w14:paraId="309AF30B" w14:textId="77777777" w:rsidR="00BD577E" w:rsidRPr="000D0B9C" w:rsidRDefault="00BD577E" w:rsidP="009214C2">
            <w:pPr>
              <w:jc w:val="center"/>
              <w:rPr>
                <w:rFonts w:ascii="Times" w:hAnsi="Times"/>
                <w:sz w:val="18"/>
              </w:rPr>
            </w:pPr>
            <w:r>
              <w:rPr>
                <w:rFonts w:ascii="Times" w:hAnsi="Times"/>
                <w:sz w:val="18"/>
              </w:rPr>
              <w:t>MZ Twins</w:t>
            </w:r>
          </w:p>
        </w:tc>
        <w:tc>
          <w:tcPr>
            <w:tcW w:w="1372" w:type="dxa"/>
            <w:vAlign w:val="center"/>
          </w:tcPr>
          <w:p w14:paraId="436AC569" w14:textId="77777777" w:rsidR="00BD577E" w:rsidRPr="000D0B9C" w:rsidRDefault="00BD577E" w:rsidP="009214C2">
            <w:pPr>
              <w:jc w:val="center"/>
              <w:rPr>
                <w:rFonts w:ascii="Times" w:hAnsi="Times"/>
                <w:sz w:val="18"/>
              </w:rPr>
            </w:pPr>
            <w:r>
              <w:rPr>
                <w:rFonts w:ascii="Times" w:hAnsi="Times"/>
                <w:sz w:val="18"/>
              </w:rPr>
              <w:t>DZ Twins</w:t>
            </w:r>
          </w:p>
        </w:tc>
        <w:tc>
          <w:tcPr>
            <w:tcW w:w="1372" w:type="dxa"/>
            <w:vAlign w:val="center"/>
          </w:tcPr>
          <w:p w14:paraId="722433DE" w14:textId="77777777" w:rsidR="00BD577E" w:rsidRPr="000D0B9C" w:rsidRDefault="00BD577E" w:rsidP="009214C2">
            <w:pPr>
              <w:jc w:val="center"/>
              <w:rPr>
                <w:rFonts w:ascii="Times" w:hAnsi="Times"/>
                <w:sz w:val="18"/>
              </w:rPr>
            </w:pPr>
            <w:r>
              <w:rPr>
                <w:rFonts w:ascii="Times" w:hAnsi="Times"/>
                <w:sz w:val="18"/>
              </w:rPr>
              <w:t>Nontwin Genetic Brothers</w:t>
            </w:r>
          </w:p>
        </w:tc>
        <w:tc>
          <w:tcPr>
            <w:tcW w:w="1372" w:type="dxa"/>
            <w:vAlign w:val="center"/>
          </w:tcPr>
          <w:p w14:paraId="71E6CCF9" w14:textId="77777777" w:rsidR="00BD577E" w:rsidRPr="000D0B9C" w:rsidRDefault="00BD577E" w:rsidP="009214C2">
            <w:pPr>
              <w:jc w:val="center"/>
              <w:rPr>
                <w:rFonts w:ascii="Times" w:hAnsi="Times"/>
                <w:sz w:val="18"/>
              </w:rPr>
            </w:pPr>
            <w:r>
              <w:rPr>
                <w:rFonts w:ascii="Times" w:hAnsi="Times"/>
                <w:sz w:val="18"/>
              </w:rPr>
              <w:t>Adoptive Brothers</w:t>
            </w:r>
          </w:p>
        </w:tc>
      </w:tr>
      <w:tr w:rsidR="00BD577E" w:rsidRPr="000D0B9C" w14:paraId="2B719DD8" w14:textId="77777777">
        <w:tc>
          <w:tcPr>
            <w:tcW w:w="1975" w:type="dxa"/>
          </w:tcPr>
          <w:p w14:paraId="78568136" w14:textId="77777777" w:rsidR="00BD577E" w:rsidRPr="000D0B9C" w:rsidRDefault="00BD577E" w:rsidP="009214C2">
            <w:pPr>
              <w:rPr>
                <w:rFonts w:ascii="Times" w:hAnsi="Times"/>
                <w:sz w:val="18"/>
              </w:rPr>
            </w:pPr>
            <w:r>
              <w:rPr>
                <w:rFonts w:ascii="Times" w:hAnsi="Times"/>
                <w:sz w:val="18"/>
              </w:rPr>
              <w:t>Bailey &amp; Pillard (1991)</w:t>
            </w:r>
          </w:p>
        </w:tc>
        <w:tc>
          <w:tcPr>
            <w:tcW w:w="1372" w:type="dxa"/>
            <w:vAlign w:val="center"/>
          </w:tcPr>
          <w:p w14:paraId="29A7ED8E" w14:textId="77777777" w:rsidR="00BD577E" w:rsidRPr="000D0B9C" w:rsidRDefault="00BD577E" w:rsidP="009214C2">
            <w:pPr>
              <w:jc w:val="center"/>
              <w:rPr>
                <w:rFonts w:ascii="Times" w:hAnsi="Times"/>
                <w:sz w:val="18"/>
              </w:rPr>
            </w:pPr>
            <w:r>
              <w:rPr>
                <w:rFonts w:ascii="Times" w:hAnsi="Times"/>
                <w:sz w:val="18"/>
              </w:rPr>
              <w:t>.76 (25)</w:t>
            </w:r>
          </w:p>
        </w:tc>
        <w:tc>
          <w:tcPr>
            <w:tcW w:w="1372" w:type="dxa"/>
            <w:vAlign w:val="center"/>
          </w:tcPr>
          <w:p w14:paraId="2A511AA8" w14:textId="77777777" w:rsidR="00BD577E" w:rsidRPr="000D0B9C" w:rsidRDefault="00BD577E" w:rsidP="009214C2">
            <w:pPr>
              <w:jc w:val="center"/>
              <w:rPr>
                <w:rFonts w:ascii="Times" w:hAnsi="Times"/>
                <w:sz w:val="18"/>
              </w:rPr>
            </w:pPr>
            <w:r>
              <w:rPr>
                <w:rFonts w:ascii="Times" w:hAnsi="Times"/>
                <w:sz w:val="18"/>
              </w:rPr>
              <w:t>.43 (11)</w:t>
            </w:r>
          </w:p>
        </w:tc>
        <w:tc>
          <w:tcPr>
            <w:tcW w:w="1372" w:type="dxa"/>
            <w:vAlign w:val="center"/>
          </w:tcPr>
          <w:p w14:paraId="0478701C" w14:textId="77777777" w:rsidR="00BD577E" w:rsidRPr="000D0B9C" w:rsidRDefault="00BD577E" w:rsidP="009214C2">
            <w:pPr>
              <w:jc w:val="center"/>
              <w:rPr>
                <w:rFonts w:ascii="Times" w:hAnsi="Times"/>
                <w:sz w:val="18"/>
              </w:rPr>
            </w:pPr>
          </w:p>
        </w:tc>
        <w:tc>
          <w:tcPr>
            <w:tcW w:w="1372" w:type="dxa"/>
            <w:vAlign w:val="center"/>
          </w:tcPr>
          <w:p w14:paraId="1B7183D1" w14:textId="77777777" w:rsidR="00BD577E" w:rsidRPr="000D0B9C" w:rsidRDefault="00BD577E" w:rsidP="009214C2">
            <w:pPr>
              <w:jc w:val="center"/>
              <w:rPr>
                <w:rFonts w:ascii="Times" w:hAnsi="Times"/>
                <w:sz w:val="18"/>
              </w:rPr>
            </w:pPr>
            <w:r>
              <w:rPr>
                <w:rFonts w:ascii="Times" w:hAnsi="Times"/>
                <w:sz w:val="18"/>
              </w:rPr>
              <w:t>-.26 (6)</w:t>
            </w:r>
          </w:p>
        </w:tc>
        <w:tc>
          <w:tcPr>
            <w:tcW w:w="1372" w:type="dxa"/>
            <w:vAlign w:val="center"/>
          </w:tcPr>
          <w:p w14:paraId="6CDAB1C1" w14:textId="77777777" w:rsidR="00BD577E" w:rsidRPr="000D0B9C" w:rsidRDefault="00BD577E" w:rsidP="009214C2">
            <w:pPr>
              <w:jc w:val="center"/>
              <w:rPr>
                <w:rFonts w:ascii="Times" w:hAnsi="Times"/>
                <w:sz w:val="18"/>
              </w:rPr>
            </w:pPr>
            <w:r>
              <w:rPr>
                <w:rFonts w:ascii="Times" w:hAnsi="Times"/>
                <w:sz w:val="18"/>
              </w:rPr>
              <w:t>.10 (25)</w:t>
            </w:r>
          </w:p>
        </w:tc>
        <w:tc>
          <w:tcPr>
            <w:tcW w:w="1372" w:type="dxa"/>
            <w:vAlign w:val="center"/>
          </w:tcPr>
          <w:p w14:paraId="1CE2283C" w14:textId="77777777" w:rsidR="00BD577E" w:rsidRPr="000D0B9C" w:rsidRDefault="00BD577E" w:rsidP="009214C2">
            <w:pPr>
              <w:jc w:val="center"/>
              <w:rPr>
                <w:rFonts w:ascii="Times" w:hAnsi="Times"/>
                <w:sz w:val="18"/>
              </w:rPr>
            </w:pPr>
            <w:r>
              <w:rPr>
                <w:rFonts w:ascii="Times" w:hAnsi="Times"/>
                <w:sz w:val="18"/>
              </w:rPr>
              <w:t>-.02 (32)</w:t>
            </w:r>
          </w:p>
        </w:tc>
        <w:tc>
          <w:tcPr>
            <w:tcW w:w="1372" w:type="dxa"/>
            <w:vAlign w:val="center"/>
          </w:tcPr>
          <w:p w14:paraId="2B2E47A9" w14:textId="77777777" w:rsidR="00BD577E" w:rsidRPr="000D0B9C" w:rsidRDefault="00BD577E" w:rsidP="009214C2">
            <w:pPr>
              <w:jc w:val="center"/>
              <w:rPr>
                <w:rFonts w:ascii="Times" w:hAnsi="Times"/>
                <w:sz w:val="18"/>
              </w:rPr>
            </w:pPr>
          </w:p>
        </w:tc>
        <w:tc>
          <w:tcPr>
            <w:tcW w:w="1372" w:type="dxa"/>
            <w:vAlign w:val="center"/>
          </w:tcPr>
          <w:p w14:paraId="297FEB46" w14:textId="77777777" w:rsidR="00BD577E" w:rsidRPr="000D0B9C" w:rsidRDefault="00BD577E" w:rsidP="009214C2">
            <w:pPr>
              <w:jc w:val="center"/>
              <w:rPr>
                <w:rFonts w:ascii="Times" w:hAnsi="Times"/>
                <w:sz w:val="18"/>
              </w:rPr>
            </w:pPr>
            <w:r>
              <w:rPr>
                <w:rFonts w:ascii="Times" w:hAnsi="Times"/>
                <w:sz w:val="18"/>
              </w:rPr>
              <w:t>-.06 (25)</w:t>
            </w:r>
          </w:p>
        </w:tc>
      </w:tr>
      <w:tr w:rsidR="00BD577E" w:rsidRPr="000D0B9C" w14:paraId="3EDF3423" w14:textId="77777777">
        <w:tc>
          <w:tcPr>
            <w:tcW w:w="1975" w:type="dxa"/>
          </w:tcPr>
          <w:p w14:paraId="40C130E6" w14:textId="726608A4" w:rsidR="00BD577E" w:rsidRPr="000D0B9C" w:rsidRDefault="00BD577E" w:rsidP="004E4EFF">
            <w:pPr>
              <w:rPr>
                <w:rFonts w:ascii="Times" w:hAnsi="Times"/>
                <w:sz w:val="18"/>
              </w:rPr>
            </w:pPr>
            <w:r>
              <w:rPr>
                <w:rFonts w:ascii="Times" w:hAnsi="Times"/>
                <w:sz w:val="18"/>
              </w:rPr>
              <w:t>Watts et al. (201</w:t>
            </w:r>
            <w:r w:rsidR="004E4EFF">
              <w:rPr>
                <w:rFonts w:ascii="Times" w:hAnsi="Times"/>
                <w:sz w:val="18"/>
              </w:rPr>
              <w:t>8</w:t>
            </w:r>
            <w:r w:rsidR="009C6D61">
              <w:rPr>
                <w:rFonts w:ascii="Times" w:hAnsi="Times"/>
                <w:sz w:val="18"/>
              </w:rPr>
              <w:t>)</w:t>
            </w:r>
          </w:p>
        </w:tc>
        <w:tc>
          <w:tcPr>
            <w:tcW w:w="1372" w:type="dxa"/>
            <w:vAlign w:val="center"/>
          </w:tcPr>
          <w:p w14:paraId="4E7DC1B1" w14:textId="77777777" w:rsidR="00BD577E" w:rsidRPr="000D0B9C" w:rsidRDefault="00BD577E" w:rsidP="009214C2">
            <w:pPr>
              <w:jc w:val="center"/>
              <w:rPr>
                <w:rFonts w:ascii="Times" w:hAnsi="Times"/>
                <w:sz w:val="18"/>
              </w:rPr>
            </w:pPr>
            <w:r>
              <w:rPr>
                <w:rFonts w:ascii="Times" w:hAnsi="Times"/>
                <w:sz w:val="18"/>
              </w:rPr>
              <w:t>.</w:t>
            </w:r>
            <w:r w:rsidR="002D5533">
              <w:rPr>
                <w:rFonts w:ascii="Times" w:hAnsi="Times"/>
                <w:sz w:val="18"/>
              </w:rPr>
              <w:t xml:space="preserve">59 </w:t>
            </w:r>
            <w:r>
              <w:rPr>
                <w:rFonts w:ascii="Times" w:hAnsi="Times"/>
                <w:sz w:val="18"/>
              </w:rPr>
              <w:t>(19)</w:t>
            </w:r>
          </w:p>
        </w:tc>
        <w:tc>
          <w:tcPr>
            <w:tcW w:w="1372" w:type="dxa"/>
            <w:vAlign w:val="center"/>
          </w:tcPr>
          <w:p w14:paraId="497C90D8" w14:textId="77777777" w:rsidR="00BD577E" w:rsidRPr="000D0B9C" w:rsidRDefault="00BD577E" w:rsidP="009214C2">
            <w:pPr>
              <w:jc w:val="center"/>
              <w:rPr>
                <w:rFonts w:ascii="Times" w:hAnsi="Times"/>
                <w:sz w:val="18"/>
              </w:rPr>
            </w:pPr>
          </w:p>
        </w:tc>
        <w:tc>
          <w:tcPr>
            <w:tcW w:w="1372" w:type="dxa"/>
            <w:vAlign w:val="center"/>
          </w:tcPr>
          <w:p w14:paraId="4ACD9DBD" w14:textId="77777777" w:rsidR="00BD577E" w:rsidRPr="000D0B9C" w:rsidRDefault="00BD577E" w:rsidP="009214C2">
            <w:pPr>
              <w:jc w:val="center"/>
              <w:rPr>
                <w:rFonts w:ascii="Times" w:hAnsi="Times"/>
                <w:sz w:val="18"/>
              </w:rPr>
            </w:pPr>
          </w:p>
        </w:tc>
        <w:tc>
          <w:tcPr>
            <w:tcW w:w="1372" w:type="dxa"/>
            <w:vAlign w:val="center"/>
          </w:tcPr>
          <w:p w14:paraId="4D292B62" w14:textId="77777777" w:rsidR="00BD577E" w:rsidRPr="000D0B9C" w:rsidRDefault="00BD577E" w:rsidP="009214C2">
            <w:pPr>
              <w:jc w:val="center"/>
              <w:rPr>
                <w:rFonts w:ascii="Times" w:hAnsi="Times"/>
                <w:sz w:val="18"/>
              </w:rPr>
            </w:pPr>
          </w:p>
        </w:tc>
        <w:tc>
          <w:tcPr>
            <w:tcW w:w="1372" w:type="dxa"/>
            <w:vAlign w:val="center"/>
          </w:tcPr>
          <w:p w14:paraId="3F7232A2" w14:textId="77777777" w:rsidR="00BD577E" w:rsidRPr="000D0B9C" w:rsidRDefault="00BD577E" w:rsidP="009214C2">
            <w:pPr>
              <w:jc w:val="center"/>
              <w:rPr>
                <w:rFonts w:ascii="Times" w:hAnsi="Times"/>
                <w:sz w:val="18"/>
              </w:rPr>
            </w:pPr>
            <w:r>
              <w:rPr>
                <w:rFonts w:ascii="Times" w:hAnsi="Times"/>
                <w:sz w:val="18"/>
              </w:rPr>
              <w:t>-.18 (24)</w:t>
            </w:r>
          </w:p>
        </w:tc>
        <w:tc>
          <w:tcPr>
            <w:tcW w:w="1372" w:type="dxa"/>
            <w:vAlign w:val="center"/>
          </w:tcPr>
          <w:p w14:paraId="1B0D3723" w14:textId="77777777" w:rsidR="00BD577E" w:rsidRPr="000D0B9C" w:rsidRDefault="00BD577E" w:rsidP="009214C2">
            <w:pPr>
              <w:jc w:val="center"/>
              <w:rPr>
                <w:rFonts w:ascii="Times" w:hAnsi="Times"/>
                <w:sz w:val="18"/>
              </w:rPr>
            </w:pPr>
          </w:p>
        </w:tc>
        <w:tc>
          <w:tcPr>
            <w:tcW w:w="1372" w:type="dxa"/>
            <w:vAlign w:val="center"/>
          </w:tcPr>
          <w:p w14:paraId="6508FBBA" w14:textId="77777777" w:rsidR="00BD577E" w:rsidRPr="000D0B9C" w:rsidRDefault="00BD577E" w:rsidP="009214C2">
            <w:pPr>
              <w:jc w:val="center"/>
              <w:rPr>
                <w:rFonts w:ascii="Times" w:hAnsi="Times"/>
                <w:sz w:val="18"/>
              </w:rPr>
            </w:pPr>
          </w:p>
        </w:tc>
        <w:tc>
          <w:tcPr>
            <w:tcW w:w="1372" w:type="dxa"/>
            <w:vAlign w:val="center"/>
          </w:tcPr>
          <w:p w14:paraId="24ADE963" w14:textId="77777777" w:rsidR="00BD577E" w:rsidRPr="000D0B9C" w:rsidRDefault="00BD577E" w:rsidP="009214C2">
            <w:pPr>
              <w:jc w:val="center"/>
              <w:rPr>
                <w:rFonts w:ascii="Times" w:hAnsi="Times"/>
                <w:sz w:val="18"/>
              </w:rPr>
            </w:pPr>
          </w:p>
        </w:tc>
      </w:tr>
      <w:tr w:rsidR="00BD577E" w:rsidRPr="000D0B9C" w14:paraId="44FF498F" w14:textId="77777777">
        <w:tc>
          <w:tcPr>
            <w:tcW w:w="1975" w:type="dxa"/>
          </w:tcPr>
          <w:p w14:paraId="13DFECE6" w14:textId="77777777" w:rsidR="00BD577E" w:rsidRPr="000D0B9C" w:rsidRDefault="00BD577E" w:rsidP="009214C2">
            <w:pPr>
              <w:rPr>
                <w:rFonts w:ascii="Times" w:hAnsi="Times"/>
                <w:sz w:val="18"/>
              </w:rPr>
            </w:pPr>
            <w:r w:rsidRPr="000D0B9C">
              <w:rPr>
                <w:rFonts w:ascii="Times" w:hAnsi="Times"/>
                <w:sz w:val="18"/>
              </w:rPr>
              <w:t>Dawood e</w:t>
            </w:r>
            <w:r>
              <w:rPr>
                <w:rFonts w:ascii="Times" w:hAnsi="Times"/>
                <w:sz w:val="18"/>
              </w:rPr>
              <w:t>t al. (2000)</w:t>
            </w:r>
          </w:p>
        </w:tc>
        <w:tc>
          <w:tcPr>
            <w:tcW w:w="1372" w:type="dxa"/>
            <w:vAlign w:val="center"/>
          </w:tcPr>
          <w:p w14:paraId="108FE04A" w14:textId="77777777" w:rsidR="00BD577E" w:rsidRPr="000D0B9C" w:rsidRDefault="00BD577E" w:rsidP="009214C2">
            <w:pPr>
              <w:jc w:val="center"/>
              <w:rPr>
                <w:rFonts w:ascii="Times" w:hAnsi="Times"/>
                <w:sz w:val="18"/>
              </w:rPr>
            </w:pPr>
          </w:p>
        </w:tc>
        <w:tc>
          <w:tcPr>
            <w:tcW w:w="1372" w:type="dxa"/>
            <w:vAlign w:val="center"/>
          </w:tcPr>
          <w:p w14:paraId="7A9C3B37" w14:textId="77777777" w:rsidR="00BD577E" w:rsidRPr="000D0B9C" w:rsidRDefault="00BD577E" w:rsidP="009214C2">
            <w:pPr>
              <w:jc w:val="center"/>
              <w:rPr>
                <w:rFonts w:ascii="Times" w:hAnsi="Times"/>
                <w:sz w:val="18"/>
              </w:rPr>
            </w:pPr>
          </w:p>
        </w:tc>
        <w:tc>
          <w:tcPr>
            <w:tcW w:w="1372" w:type="dxa"/>
            <w:vAlign w:val="center"/>
          </w:tcPr>
          <w:p w14:paraId="56989FFF" w14:textId="77777777" w:rsidR="00BD577E" w:rsidRPr="000D0B9C" w:rsidRDefault="00BD577E" w:rsidP="009214C2">
            <w:pPr>
              <w:jc w:val="center"/>
              <w:rPr>
                <w:rFonts w:ascii="Times" w:hAnsi="Times"/>
                <w:sz w:val="18"/>
              </w:rPr>
            </w:pPr>
            <w:r>
              <w:rPr>
                <w:rFonts w:ascii="Times" w:hAnsi="Times"/>
                <w:sz w:val="18"/>
              </w:rPr>
              <w:t>.54 (29)</w:t>
            </w:r>
          </w:p>
        </w:tc>
        <w:tc>
          <w:tcPr>
            <w:tcW w:w="1372" w:type="dxa"/>
            <w:vAlign w:val="center"/>
          </w:tcPr>
          <w:p w14:paraId="383ECC95" w14:textId="77777777" w:rsidR="00BD577E" w:rsidRPr="000D0B9C" w:rsidRDefault="00BD577E" w:rsidP="009214C2">
            <w:pPr>
              <w:jc w:val="center"/>
              <w:rPr>
                <w:rFonts w:ascii="Times" w:hAnsi="Times"/>
                <w:sz w:val="18"/>
              </w:rPr>
            </w:pPr>
          </w:p>
        </w:tc>
        <w:tc>
          <w:tcPr>
            <w:tcW w:w="1372" w:type="dxa"/>
            <w:vAlign w:val="center"/>
          </w:tcPr>
          <w:p w14:paraId="5C3B4CE4" w14:textId="77777777" w:rsidR="00BD577E" w:rsidRPr="000D0B9C" w:rsidRDefault="00BD577E" w:rsidP="009214C2">
            <w:pPr>
              <w:jc w:val="center"/>
              <w:rPr>
                <w:rFonts w:ascii="Times" w:hAnsi="Times"/>
                <w:sz w:val="18"/>
              </w:rPr>
            </w:pPr>
          </w:p>
        </w:tc>
        <w:tc>
          <w:tcPr>
            <w:tcW w:w="1372" w:type="dxa"/>
            <w:vAlign w:val="center"/>
          </w:tcPr>
          <w:p w14:paraId="6A019BB8" w14:textId="77777777" w:rsidR="00BD577E" w:rsidRPr="000D0B9C" w:rsidRDefault="00BD577E" w:rsidP="009214C2">
            <w:pPr>
              <w:jc w:val="center"/>
              <w:rPr>
                <w:rFonts w:ascii="Times" w:hAnsi="Times"/>
                <w:sz w:val="18"/>
              </w:rPr>
            </w:pPr>
          </w:p>
        </w:tc>
        <w:tc>
          <w:tcPr>
            <w:tcW w:w="1372" w:type="dxa"/>
            <w:vAlign w:val="center"/>
          </w:tcPr>
          <w:p w14:paraId="5ABFDA54" w14:textId="77777777" w:rsidR="00BD577E" w:rsidRPr="000D0B9C" w:rsidRDefault="00BD577E" w:rsidP="009214C2">
            <w:pPr>
              <w:jc w:val="center"/>
              <w:rPr>
                <w:rFonts w:ascii="Times" w:hAnsi="Times"/>
                <w:sz w:val="18"/>
              </w:rPr>
            </w:pPr>
          </w:p>
        </w:tc>
        <w:tc>
          <w:tcPr>
            <w:tcW w:w="1372" w:type="dxa"/>
            <w:vAlign w:val="center"/>
          </w:tcPr>
          <w:p w14:paraId="0D27A55B" w14:textId="77777777" w:rsidR="00BD577E" w:rsidRPr="000D0B9C" w:rsidRDefault="00BD577E" w:rsidP="009214C2">
            <w:pPr>
              <w:jc w:val="center"/>
              <w:rPr>
                <w:rFonts w:ascii="Times" w:hAnsi="Times"/>
                <w:sz w:val="18"/>
              </w:rPr>
            </w:pPr>
          </w:p>
        </w:tc>
      </w:tr>
    </w:tbl>
    <w:p w14:paraId="10B5C0F4" w14:textId="77777777" w:rsidR="00BD577E" w:rsidRPr="000D0B9C" w:rsidRDefault="00BD577E" w:rsidP="00BD577E">
      <w:pPr>
        <w:rPr>
          <w:rFonts w:ascii="Times" w:hAnsi="Times"/>
          <w:sz w:val="18"/>
        </w:rPr>
      </w:pPr>
    </w:p>
    <w:p w14:paraId="27B8077D" w14:textId="77777777" w:rsidR="00CD4629" w:rsidRDefault="00CD4629" w:rsidP="00175AE3">
      <w:pPr>
        <w:spacing w:line="480" w:lineRule="auto"/>
        <w:rPr>
          <w:rFonts w:ascii="Times" w:hAnsi="Times"/>
        </w:rPr>
        <w:sectPr w:rsidR="00CD4629">
          <w:pgSz w:w="15840" w:h="12240" w:orient="landscape"/>
          <w:pgMar w:top="1440" w:right="1440" w:bottom="1440" w:left="1440" w:header="720" w:footer="720" w:gutter="0"/>
          <w:cols w:space="720"/>
          <w:docGrid w:linePitch="360"/>
        </w:sectPr>
      </w:pPr>
    </w:p>
    <w:p w14:paraId="341DFEE0" w14:textId="77777777" w:rsidR="00811646" w:rsidRDefault="00CD4629" w:rsidP="00CD4629">
      <w:pPr>
        <w:rPr>
          <w:rFonts w:ascii="Times" w:hAnsi="Times"/>
          <w:i/>
          <w:sz w:val="18"/>
          <w:szCs w:val="18"/>
        </w:rPr>
      </w:pPr>
      <w:r w:rsidRPr="00811646">
        <w:rPr>
          <w:rFonts w:ascii="Times" w:hAnsi="Times"/>
          <w:sz w:val="18"/>
          <w:szCs w:val="18"/>
        </w:rPr>
        <w:lastRenderedPageBreak/>
        <w:t xml:space="preserve">Table </w:t>
      </w:r>
      <w:r w:rsidR="00811646">
        <w:rPr>
          <w:rFonts w:ascii="Times" w:hAnsi="Times"/>
          <w:sz w:val="18"/>
          <w:szCs w:val="18"/>
        </w:rPr>
        <w:t>2</w:t>
      </w:r>
    </w:p>
    <w:p w14:paraId="5A041EC0" w14:textId="7DC7A06D" w:rsidR="00CD4629" w:rsidRDefault="00CD4629" w:rsidP="00CD4629">
      <w:pPr>
        <w:rPr>
          <w:rFonts w:ascii="Times" w:hAnsi="Times"/>
          <w:i/>
          <w:sz w:val="18"/>
          <w:szCs w:val="18"/>
        </w:rPr>
      </w:pPr>
      <w:r w:rsidRPr="0042051D">
        <w:rPr>
          <w:rFonts w:ascii="Times" w:hAnsi="Times"/>
          <w:i/>
          <w:sz w:val="18"/>
          <w:szCs w:val="18"/>
        </w:rPr>
        <w:t>Group Ns, Means, and Standard Deviations for childhood and adult gender nonconformity</w:t>
      </w:r>
      <w:r>
        <w:rPr>
          <w:rFonts w:ascii="Times" w:hAnsi="Times"/>
          <w:i/>
          <w:sz w:val="18"/>
          <w:szCs w:val="18"/>
        </w:rPr>
        <w:t>.</w:t>
      </w:r>
    </w:p>
    <w:p w14:paraId="6B1C8B82" w14:textId="77777777" w:rsidR="00CD4629" w:rsidRPr="0042051D" w:rsidRDefault="00CD4629" w:rsidP="00CD4629">
      <w:pPr>
        <w:rPr>
          <w:rFonts w:ascii="Times" w:hAnsi="Times"/>
          <w:i/>
          <w:sz w:val="18"/>
          <w:szCs w:val="18"/>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D4629" w:rsidRPr="0042051D" w14:paraId="2CA60005" w14:textId="77777777">
        <w:tc>
          <w:tcPr>
            <w:tcW w:w="1335" w:type="dxa"/>
          </w:tcPr>
          <w:p w14:paraId="4120D950" w14:textId="77777777" w:rsidR="00CD4629" w:rsidRPr="0042051D" w:rsidRDefault="00CD4629" w:rsidP="009214C2">
            <w:pPr>
              <w:rPr>
                <w:rFonts w:ascii="Times" w:hAnsi="Times" w:cs="Times New Roman (Body CS)"/>
                <w:sz w:val="18"/>
              </w:rPr>
            </w:pPr>
          </w:p>
        </w:tc>
        <w:tc>
          <w:tcPr>
            <w:tcW w:w="4007" w:type="dxa"/>
            <w:gridSpan w:val="3"/>
            <w:vAlign w:val="center"/>
          </w:tcPr>
          <w:p w14:paraId="243D98DF" w14:textId="77777777" w:rsidR="00CD4629" w:rsidRPr="0042051D" w:rsidRDefault="00CD4629" w:rsidP="009214C2">
            <w:pPr>
              <w:jc w:val="center"/>
              <w:rPr>
                <w:rFonts w:ascii="Times" w:hAnsi="Times" w:cs="Times New Roman (Body CS)"/>
                <w:sz w:val="18"/>
              </w:rPr>
            </w:pPr>
            <w:r>
              <w:rPr>
                <w:rFonts w:ascii="Times" w:hAnsi="Times" w:cs="Times New Roman (Body CS)"/>
                <w:sz w:val="18"/>
              </w:rPr>
              <w:t>Childhood Gender Nonconformity</w:t>
            </w:r>
          </w:p>
        </w:tc>
        <w:tc>
          <w:tcPr>
            <w:tcW w:w="4008" w:type="dxa"/>
            <w:gridSpan w:val="3"/>
            <w:vAlign w:val="center"/>
          </w:tcPr>
          <w:p w14:paraId="6A1E6F70" w14:textId="77777777" w:rsidR="00CD4629" w:rsidRPr="0042051D" w:rsidRDefault="00CD4629" w:rsidP="009214C2">
            <w:pPr>
              <w:jc w:val="center"/>
              <w:rPr>
                <w:rFonts w:ascii="Times" w:hAnsi="Times" w:cs="Times New Roman (Body CS)"/>
                <w:sz w:val="18"/>
              </w:rPr>
            </w:pPr>
            <w:r>
              <w:rPr>
                <w:rFonts w:ascii="Times" w:hAnsi="Times" w:cs="Times New Roman (Body CS)"/>
                <w:sz w:val="18"/>
              </w:rPr>
              <w:t>Adult Gender Nonconformity</w:t>
            </w:r>
          </w:p>
        </w:tc>
      </w:tr>
      <w:tr w:rsidR="00CD4629" w:rsidRPr="0042051D" w14:paraId="59B704EE" w14:textId="77777777">
        <w:tc>
          <w:tcPr>
            <w:tcW w:w="1335" w:type="dxa"/>
            <w:vAlign w:val="center"/>
          </w:tcPr>
          <w:p w14:paraId="775B7B9B" w14:textId="77777777" w:rsidR="00CD4629" w:rsidRPr="0042051D" w:rsidRDefault="00CD4629" w:rsidP="009214C2">
            <w:pPr>
              <w:jc w:val="center"/>
              <w:rPr>
                <w:rFonts w:ascii="Times" w:hAnsi="Times" w:cs="Times New Roman (Body CS)"/>
                <w:sz w:val="18"/>
              </w:rPr>
            </w:pPr>
            <w:r w:rsidRPr="0042051D">
              <w:rPr>
                <w:rFonts w:ascii="Times" w:hAnsi="Times" w:cs="Times New Roman (Body CS)"/>
                <w:sz w:val="18"/>
              </w:rPr>
              <w:t>Group</w:t>
            </w:r>
          </w:p>
        </w:tc>
        <w:tc>
          <w:tcPr>
            <w:tcW w:w="1335" w:type="dxa"/>
            <w:vAlign w:val="center"/>
          </w:tcPr>
          <w:p w14:paraId="0BA1E791" w14:textId="77777777" w:rsidR="00CD4629" w:rsidRPr="0042051D" w:rsidRDefault="00CD4629" w:rsidP="009214C2">
            <w:pPr>
              <w:jc w:val="center"/>
              <w:rPr>
                <w:rFonts w:ascii="Times" w:hAnsi="Times" w:cs="Times New Roman (Body CS)"/>
                <w:sz w:val="18"/>
              </w:rPr>
            </w:pPr>
            <w:r>
              <w:rPr>
                <w:rFonts w:ascii="Times" w:hAnsi="Times" w:cs="Times New Roman (Body CS)"/>
                <w:sz w:val="18"/>
              </w:rPr>
              <w:t>N</w:t>
            </w:r>
          </w:p>
        </w:tc>
        <w:tc>
          <w:tcPr>
            <w:tcW w:w="1336" w:type="dxa"/>
            <w:vAlign w:val="center"/>
          </w:tcPr>
          <w:p w14:paraId="5D3D5BB3" w14:textId="77777777" w:rsidR="00CD4629" w:rsidRPr="0042051D" w:rsidRDefault="00CD4629" w:rsidP="009214C2">
            <w:pPr>
              <w:jc w:val="center"/>
              <w:rPr>
                <w:rFonts w:ascii="Times" w:hAnsi="Times" w:cs="Times New Roman (Body CS)"/>
                <w:sz w:val="18"/>
              </w:rPr>
            </w:pPr>
            <w:r>
              <w:rPr>
                <w:rFonts w:ascii="Times" w:hAnsi="Times" w:cs="Times New Roman (Body CS)"/>
                <w:sz w:val="18"/>
              </w:rPr>
              <w:t>Mean</w:t>
            </w:r>
          </w:p>
        </w:tc>
        <w:tc>
          <w:tcPr>
            <w:tcW w:w="1336" w:type="dxa"/>
            <w:vAlign w:val="center"/>
          </w:tcPr>
          <w:p w14:paraId="15F3BA72" w14:textId="77777777" w:rsidR="00CD4629" w:rsidRPr="0042051D" w:rsidRDefault="00CD4629" w:rsidP="009214C2">
            <w:pPr>
              <w:jc w:val="center"/>
              <w:rPr>
                <w:rFonts w:ascii="Times" w:hAnsi="Times" w:cs="Times New Roman (Body CS)"/>
                <w:sz w:val="18"/>
              </w:rPr>
            </w:pPr>
            <w:r>
              <w:rPr>
                <w:rFonts w:ascii="Times" w:hAnsi="Times" w:cs="Times New Roman (Body CS)"/>
                <w:sz w:val="18"/>
              </w:rPr>
              <w:t>SD</w:t>
            </w:r>
          </w:p>
        </w:tc>
        <w:tc>
          <w:tcPr>
            <w:tcW w:w="1336" w:type="dxa"/>
            <w:vAlign w:val="center"/>
          </w:tcPr>
          <w:p w14:paraId="424467C7" w14:textId="77777777" w:rsidR="00CD4629" w:rsidRPr="0042051D" w:rsidRDefault="00CD4629" w:rsidP="009214C2">
            <w:pPr>
              <w:jc w:val="center"/>
              <w:rPr>
                <w:rFonts w:ascii="Times" w:hAnsi="Times" w:cs="Times New Roman (Body CS)"/>
                <w:sz w:val="18"/>
              </w:rPr>
            </w:pPr>
            <w:r>
              <w:rPr>
                <w:rFonts w:ascii="Times" w:hAnsi="Times" w:cs="Times New Roman (Body CS)"/>
                <w:sz w:val="18"/>
              </w:rPr>
              <w:t>N</w:t>
            </w:r>
          </w:p>
        </w:tc>
        <w:tc>
          <w:tcPr>
            <w:tcW w:w="1336" w:type="dxa"/>
            <w:vAlign w:val="center"/>
          </w:tcPr>
          <w:p w14:paraId="554E1841" w14:textId="77777777" w:rsidR="00CD4629" w:rsidRPr="0042051D" w:rsidRDefault="00CD4629" w:rsidP="009214C2">
            <w:pPr>
              <w:jc w:val="center"/>
              <w:rPr>
                <w:rFonts w:ascii="Times" w:hAnsi="Times" w:cs="Times New Roman (Body CS)"/>
                <w:sz w:val="18"/>
              </w:rPr>
            </w:pPr>
            <w:r>
              <w:rPr>
                <w:rFonts w:ascii="Times" w:hAnsi="Times" w:cs="Times New Roman (Body CS)"/>
                <w:sz w:val="18"/>
              </w:rPr>
              <w:t>Mean</w:t>
            </w:r>
          </w:p>
        </w:tc>
        <w:tc>
          <w:tcPr>
            <w:tcW w:w="1336" w:type="dxa"/>
            <w:vAlign w:val="center"/>
          </w:tcPr>
          <w:p w14:paraId="30056316" w14:textId="77777777" w:rsidR="00CD4629" w:rsidRPr="0042051D" w:rsidRDefault="00CD4629" w:rsidP="009214C2">
            <w:pPr>
              <w:jc w:val="center"/>
              <w:rPr>
                <w:rFonts w:ascii="Times" w:hAnsi="Times" w:cs="Times New Roman (Body CS)"/>
                <w:sz w:val="18"/>
              </w:rPr>
            </w:pPr>
            <w:r>
              <w:rPr>
                <w:rFonts w:ascii="Times" w:hAnsi="Times" w:cs="Times New Roman (Body CS)"/>
                <w:sz w:val="18"/>
              </w:rPr>
              <w:t>SD</w:t>
            </w:r>
          </w:p>
        </w:tc>
      </w:tr>
      <w:tr w:rsidR="00CD4629" w:rsidRPr="0042051D" w14:paraId="4FD244E0" w14:textId="77777777">
        <w:tc>
          <w:tcPr>
            <w:tcW w:w="1335" w:type="dxa"/>
          </w:tcPr>
          <w:p w14:paraId="5D44F24E" w14:textId="77777777" w:rsidR="00CD4629" w:rsidRPr="0042051D" w:rsidRDefault="00CD4629" w:rsidP="009214C2">
            <w:pPr>
              <w:rPr>
                <w:rFonts w:ascii="Times" w:hAnsi="Times" w:cs="Times New Roman (Body CS)"/>
                <w:sz w:val="18"/>
              </w:rPr>
            </w:pPr>
            <w:r>
              <w:rPr>
                <w:rFonts w:ascii="Times" w:hAnsi="Times" w:cs="Times New Roman (Body CS)"/>
                <w:sz w:val="18"/>
              </w:rPr>
              <w:t>Heterosexual</w:t>
            </w:r>
          </w:p>
        </w:tc>
        <w:tc>
          <w:tcPr>
            <w:tcW w:w="1335" w:type="dxa"/>
            <w:vAlign w:val="center"/>
          </w:tcPr>
          <w:p w14:paraId="39107DFE" w14:textId="77777777" w:rsidR="00CD4629" w:rsidRPr="0042051D" w:rsidRDefault="00CD4629" w:rsidP="009214C2">
            <w:pPr>
              <w:jc w:val="center"/>
              <w:rPr>
                <w:rFonts w:ascii="Times" w:hAnsi="Times" w:cs="Times New Roman (Body CS)"/>
                <w:sz w:val="18"/>
              </w:rPr>
            </w:pPr>
            <w:r>
              <w:rPr>
                <w:rFonts w:ascii="Times" w:hAnsi="Times" w:cs="Times New Roman (Body CS)"/>
                <w:sz w:val="18"/>
              </w:rPr>
              <w:t>9</w:t>
            </w:r>
            <w:r w:rsidR="00AC0788">
              <w:rPr>
                <w:rFonts w:ascii="Times" w:hAnsi="Times" w:cs="Times New Roman (Body CS)"/>
                <w:sz w:val="18"/>
              </w:rPr>
              <w:t>4</w:t>
            </w:r>
          </w:p>
        </w:tc>
        <w:tc>
          <w:tcPr>
            <w:tcW w:w="1336" w:type="dxa"/>
            <w:vAlign w:val="center"/>
          </w:tcPr>
          <w:p w14:paraId="48BE4314" w14:textId="77777777" w:rsidR="00CD4629" w:rsidRPr="0042051D" w:rsidRDefault="00CD4629" w:rsidP="009214C2">
            <w:pPr>
              <w:jc w:val="center"/>
              <w:rPr>
                <w:rFonts w:ascii="Times" w:hAnsi="Times" w:cs="Times New Roman (Body CS)"/>
                <w:sz w:val="18"/>
              </w:rPr>
            </w:pPr>
            <w:r>
              <w:rPr>
                <w:rFonts w:ascii="Times" w:hAnsi="Times" w:cs="Times New Roman (Body CS)"/>
                <w:sz w:val="18"/>
              </w:rPr>
              <w:t>-0.90</w:t>
            </w:r>
          </w:p>
        </w:tc>
        <w:tc>
          <w:tcPr>
            <w:tcW w:w="1336" w:type="dxa"/>
            <w:vAlign w:val="center"/>
          </w:tcPr>
          <w:p w14:paraId="46202CE2" w14:textId="77777777" w:rsidR="00CD4629" w:rsidRPr="0042051D" w:rsidRDefault="00CD4629" w:rsidP="009214C2">
            <w:pPr>
              <w:jc w:val="center"/>
              <w:rPr>
                <w:rFonts w:ascii="Times" w:hAnsi="Times" w:cs="Times New Roman (Body CS)"/>
                <w:sz w:val="18"/>
              </w:rPr>
            </w:pPr>
            <w:r>
              <w:rPr>
                <w:rFonts w:ascii="Times" w:hAnsi="Times" w:cs="Times New Roman (Body CS)"/>
                <w:sz w:val="18"/>
              </w:rPr>
              <w:t>0.30</w:t>
            </w:r>
          </w:p>
        </w:tc>
        <w:tc>
          <w:tcPr>
            <w:tcW w:w="1336" w:type="dxa"/>
            <w:vAlign w:val="center"/>
          </w:tcPr>
          <w:p w14:paraId="5B66B30A" w14:textId="77777777" w:rsidR="00CD4629" w:rsidRPr="0042051D" w:rsidRDefault="00AC0788" w:rsidP="009214C2">
            <w:pPr>
              <w:jc w:val="center"/>
              <w:rPr>
                <w:rFonts w:ascii="Times" w:hAnsi="Times" w:cs="Times New Roman (Body CS)"/>
                <w:sz w:val="18"/>
              </w:rPr>
            </w:pPr>
            <w:r>
              <w:rPr>
                <w:rFonts w:ascii="Times" w:hAnsi="Times" w:cs="Times New Roman (Body CS)"/>
                <w:sz w:val="18"/>
              </w:rPr>
              <w:t>99</w:t>
            </w:r>
          </w:p>
        </w:tc>
        <w:tc>
          <w:tcPr>
            <w:tcW w:w="1336" w:type="dxa"/>
            <w:vAlign w:val="center"/>
          </w:tcPr>
          <w:p w14:paraId="0DEF77C7" w14:textId="77777777" w:rsidR="00CD4629" w:rsidRPr="0042051D" w:rsidRDefault="00CD4629" w:rsidP="009214C2">
            <w:pPr>
              <w:jc w:val="center"/>
              <w:rPr>
                <w:rFonts w:ascii="Times" w:hAnsi="Times" w:cs="Times New Roman (Body CS)"/>
                <w:sz w:val="18"/>
              </w:rPr>
            </w:pPr>
            <w:r>
              <w:rPr>
                <w:rFonts w:ascii="Times" w:hAnsi="Times" w:cs="Times New Roman (Body CS)"/>
                <w:sz w:val="18"/>
              </w:rPr>
              <w:t>1.68</w:t>
            </w:r>
          </w:p>
        </w:tc>
        <w:tc>
          <w:tcPr>
            <w:tcW w:w="1336" w:type="dxa"/>
            <w:vAlign w:val="center"/>
          </w:tcPr>
          <w:p w14:paraId="36D2CB69" w14:textId="77777777" w:rsidR="00CD4629" w:rsidRPr="0042051D" w:rsidRDefault="00CD4629" w:rsidP="009214C2">
            <w:pPr>
              <w:jc w:val="center"/>
              <w:rPr>
                <w:rFonts w:ascii="Times" w:hAnsi="Times" w:cs="Times New Roman (Body CS)"/>
                <w:sz w:val="18"/>
              </w:rPr>
            </w:pPr>
            <w:r>
              <w:rPr>
                <w:rFonts w:ascii="Times" w:hAnsi="Times" w:cs="Times New Roman (Body CS)"/>
                <w:sz w:val="18"/>
              </w:rPr>
              <w:t>0.78</w:t>
            </w:r>
          </w:p>
        </w:tc>
      </w:tr>
      <w:tr w:rsidR="00CD4629" w:rsidRPr="0042051D" w14:paraId="2B39C78D" w14:textId="77777777">
        <w:tc>
          <w:tcPr>
            <w:tcW w:w="1335" w:type="dxa"/>
          </w:tcPr>
          <w:p w14:paraId="50A91506" w14:textId="77777777" w:rsidR="00CD4629" w:rsidRPr="0042051D" w:rsidRDefault="00CD4629" w:rsidP="009214C2">
            <w:pPr>
              <w:rPr>
                <w:rFonts w:ascii="Times" w:hAnsi="Times" w:cs="Times New Roman (Body CS)"/>
                <w:sz w:val="18"/>
              </w:rPr>
            </w:pPr>
            <w:r w:rsidRPr="0042051D">
              <w:rPr>
                <w:rFonts w:ascii="Times" w:hAnsi="Times" w:cs="Times New Roman (Body CS)"/>
                <w:sz w:val="18"/>
              </w:rPr>
              <w:t xml:space="preserve">Homosexual </w:t>
            </w:r>
          </w:p>
        </w:tc>
        <w:tc>
          <w:tcPr>
            <w:tcW w:w="1335" w:type="dxa"/>
            <w:vAlign w:val="center"/>
          </w:tcPr>
          <w:p w14:paraId="0198643F" w14:textId="77777777" w:rsidR="00CD4629" w:rsidRPr="0042051D" w:rsidRDefault="00CD4629" w:rsidP="009214C2">
            <w:pPr>
              <w:jc w:val="center"/>
              <w:rPr>
                <w:rFonts w:ascii="Times" w:hAnsi="Times" w:cs="Times New Roman (Body CS)"/>
                <w:sz w:val="18"/>
              </w:rPr>
            </w:pPr>
            <w:r>
              <w:rPr>
                <w:rFonts w:ascii="Times" w:hAnsi="Times" w:cs="Times New Roman (Body CS)"/>
                <w:sz w:val="18"/>
              </w:rPr>
              <w:t>1,910</w:t>
            </w:r>
          </w:p>
        </w:tc>
        <w:tc>
          <w:tcPr>
            <w:tcW w:w="1336" w:type="dxa"/>
            <w:vAlign w:val="center"/>
          </w:tcPr>
          <w:p w14:paraId="4E4A68ED" w14:textId="77777777" w:rsidR="00CD4629" w:rsidRPr="0042051D" w:rsidRDefault="00CD4629" w:rsidP="009214C2">
            <w:pPr>
              <w:jc w:val="center"/>
              <w:rPr>
                <w:rFonts w:ascii="Times" w:hAnsi="Times" w:cs="Times New Roman (Body CS)"/>
                <w:sz w:val="18"/>
              </w:rPr>
            </w:pPr>
            <w:r>
              <w:rPr>
                <w:rFonts w:ascii="Times" w:hAnsi="Times" w:cs="Times New Roman (Body CS)"/>
                <w:sz w:val="18"/>
              </w:rPr>
              <w:t>0.04</w:t>
            </w:r>
          </w:p>
        </w:tc>
        <w:tc>
          <w:tcPr>
            <w:tcW w:w="1336" w:type="dxa"/>
            <w:vAlign w:val="center"/>
          </w:tcPr>
          <w:p w14:paraId="17A8341A" w14:textId="77777777" w:rsidR="00CD4629" w:rsidRPr="0042051D" w:rsidRDefault="00CD4629" w:rsidP="009214C2">
            <w:pPr>
              <w:jc w:val="center"/>
              <w:rPr>
                <w:rFonts w:ascii="Times" w:hAnsi="Times" w:cs="Times New Roman (Body CS)"/>
                <w:sz w:val="18"/>
              </w:rPr>
            </w:pPr>
            <w:r>
              <w:rPr>
                <w:rFonts w:ascii="Times" w:hAnsi="Times" w:cs="Times New Roman (Body CS)"/>
                <w:sz w:val="18"/>
              </w:rPr>
              <w:t>0.60</w:t>
            </w:r>
          </w:p>
        </w:tc>
        <w:tc>
          <w:tcPr>
            <w:tcW w:w="1336" w:type="dxa"/>
            <w:vAlign w:val="center"/>
          </w:tcPr>
          <w:p w14:paraId="2AE38CE2" w14:textId="77777777" w:rsidR="00CD4629" w:rsidRPr="0042051D" w:rsidRDefault="00CD4629" w:rsidP="009214C2">
            <w:pPr>
              <w:jc w:val="center"/>
              <w:rPr>
                <w:rFonts w:ascii="Times" w:hAnsi="Times" w:cs="Times New Roman (Body CS)"/>
                <w:sz w:val="18"/>
              </w:rPr>
            </w:pPr>
            <w:r>
              <w:rPr>
                <w:rFonts w:ascii="Times" w:hAnsi="Times" w:cs="Times New Roman (Body CS)"/>
                <w:sz w:val="18"/>
              </w:rPr>
              <w:t>1,943</w:t>
            </w:r>
          </w:p>
        </w:tc>
        <w:tc>
          <w:tcPr>
            <w:tcW w:w="1336" w:type="dxa"/>
            <w:vAlign w:val="center"/>
          </w:tcPr>
          <w:p w14:paraId="76A07FDB" w14:textId="77777777" w:rsidR="00CD4629" w:rsidRPr="0042051D" w:rsidRDefault="00CD4629" w:rsidP="009214C2">
            <w:pPr>
              <w:jc w:val="center"/>
              <w:rPr>
                <w:rFonts w:ascii="Times" w:hAnsi="Times" w:cs="Times New Roman (Body CS)"/>
                <w:sz w:val="18"/>
              </w:rPr>
            </w:pPr>
            <w:r>
              <w:rPr>
                <w:rFonts w:ascii="Times" w:hAnsi="Times" w:cs="Times New Roman (Body CS)"/>
                <w:sz w:val="18"/>
              </w:rPr>
              <w:t>2.48</w:t>
            </w:r>
          </w:p>
        </w:tc>
        <w:tc>
          <w:tcPr>
            <w:tcW w:w="1336" w:type="dxa"/>
            <w:vAlign w:val="center"/>
          </w:tcPr>
          <w:p w14:paraId="0655F8E3" w14:textId="77777777" w:rsidR="00CD4629" w:rsidRPr="0042051D" w:rsidRDefault="00CD4629" w:rsidP="009214C2">
            <w:pPr>
              <w:jc w:val="center"/>
              <w:rPr>
                <w:rFonts w:ascii="Times" w:hAnsi="Times" w:cs="Times New Roman (Body CS)"/>
                <w:sz w:val="18"/>
              </w:rPr>
            </w:pPr>
            <w:r>
              <w:rPr>
                <w:rFonts w:ascii="Times" w:hAnsi="Times" w:cs="Times New Roman (Body CS)"/>
                <w:sz w:val="18"/>
              </w:rPr>
              <w:t>1.08</w:t>
            </w:r>
          </w:p>
        </w:tc>
      </w:tr>
    </w:tbl>
    <w:p w14:paraId="62A930B5" w14:textId="77777777" w:rsidR="00CD4629" w:rsidRPr="0042051D" w:rsidRDefault="00CD4629" w:rsidP="00CD4629">
      <w:pPr>
        <w:rPr>
          <w:rFonts w:ascii="Times" w:hAnsi="Times" w:cs="Times New Roman (Body CS)"/>
          <w:sz w:val="18"/>
        </w:rPr>
      </w:pPr>
    </w:p>
    <w:p w14:paraId="0FBE6A58" w14:textId="77777777" w:rsidR="00D411A3" w:rsidRDefault="00D411A3">
      <w:r>
        <w:br w:type="page"/>
      </w:r>
    </w:p>
    <w:p w14:paraId="17027C9A" w14:textId="77777777" w:rsidR="00D411A3" w:rsidRDefault="00D411A3" w:rsidP="00D411A3"/>
    <w:p w14:paraId="451AAB12" w14:textId="77777777" w:rsidR="00C068D5" w:rsidRPr="00A73C80" w:rsidRDefault="00C068D5" w:rsidP="00C068D5">
      <w:pPr>
        <w:outlineLvl w:val="0"/>
        <w:rPr>
          <w:sz w:val="20"/>
        </w:rPr>
      </w:pPr>
      <w:r w:rsidRPr="0042051D">
        <w:rPr>
          <w:rFonts w:ascii="Times" w:hAnsi="Times"/>
          <w:i/>
          <w:sz w:val="18"/>
          <w:szCs w:val="18"/>
        </w:rPr>
        <w:t xml:space="preserve">Table </w:t>
      </w:r>
      <w:r>
        <w:rPr>
          <w:rFonts w:ascii="Times" w:hAnsi="Times"/>
          <w:i/>
          <w:sz w:val="18"/>
          <w:szCs w:val="18"/>
        </w:rPr>
        <w:t>3</w:t>
      </w:r>
      <w:r w:rsidRPr="0042051D">
        <w:rPr>
          <w:rFonts w:ascii="Times" w:hAnsi="Times"/>
          <w:i/>
          <w:sz w:val="18"/>
          <w:szCs w:val="18"/>
        </w:rPr>
        <w:t xml:space="preserve">. </w:t>
      </w:r>
      <w:r>
        <w:rPr>
          <w:rFonts w:ascii="Times" w:hAnsi="Times"/>
          <w:i/>
          <w:sz w:val="18"/>
          <w:szCs w:val="18"/>
        </w:rPr>
        <w:t>Standardized partial regression coefficients for predicting brothers’ gender nonconformity.</w:t>
      </w:r>
    </w:p>
    <w:tbl>
      <w:tblPr>
        <w:tblStyle w:val="TableGrid"/>
        <w:tblW w:w="0" w:type="auto"/>
        <w:tblLook w:val="04A0" w:firstRow="1" w:lastRow="0" w:firstColumn="1" w:lastColumn="0" w:noHBand="0" w:noVBand="1"/>
      </w:tblPr>
      <w:tblGrid>
        <w:gridCol w:w="1116"/>
        <w:gridCol w:w="1451"/>
        <w:gridCol w:w="726"/>
        <w:gridCol w:w="1574"/>
        <w:gridCol w:w="1338"/>
        <w:gridCol w:w="1307"/>
        <w:gridCol w:w="702"/>
        <w:gridCol w:w="1680"/>
        <w:gridCol w:w="1492"/>
        <w:gridCol w:w="1564"/>
      </w:tblGrid>
      <w:tr w:rsidR="00C068D5" w:rsidRPr="0089329C" w14:paraId="2B949C61" w14:textId="77777777" w:rsidTr="00D82442">
        <w:tc>
          <w:tcPr>
            <w:tcW w:w="1116" w:type="dxa"/>
          </w:tcPr>
          <w:p w14:paraId="2B2198CC" w14:textId="77777777" w:rsidR="00C068D5" w:rsidRPr="0089329C" w:rsidRDefault="00C068D5" w:rsidP="00D82442">
            <w:pPr>
              <w:rPr>
                <w:sz w:val="18"/>
                <w:szCs w:val="18"/>
              </w:rPr>
            </w:pPr>
          </w:p>
        </w:tc>
        <w:tc>
          <w:tcPr>
            <w:tcW w:w="1451" w:type="dxa"/>
          </w:tcPr>
          <w:p w14:paraId="42EF99FC" w14:textId="77777777" w:rsidR="00C068D5" w:rsidRPr="0089329C" w:rsidRDefault="00C068D5" w:rsidP="00D82442">
            <w:pPr>
              <w:rPr>
                <w:sz w:val="18"/>
                <w:szCs w:val="18"/>
              </w:rPr>
            </w:pPr>
          </w:p>
        </w:tc>
        <w:tc>
          <w:tcPr>
            <w:tcW w:w="4945" w:type="dxa"/>
            <w:gridSpan w:val="4"/>
            <w:vAlign w:val="center"/>
          </w:tcPr>
          <w:p w14:paraId="7CF32425" w14:textId="77777777" w:rsidR="00C068D5" w:rsidRPr="0089329C" w:rsidRDefault="00C068D5" w:rsidP="00D82442">
            <w:pPr>
              <w:jc w:val="center"/>
              <w:rPr>
                <w:sz w:val="18"/>
                <w:szCs w:val="18"/>
              </w:rPr>
            </w:pPr>
            <w:r w:rsidRPr="0089329C">
              <w:rPr>
                <w:sz w:val="18"/>
                <w:szCs w:val="18"/>
              </w:rPr>
              <w:t>Concordant Pairs</w:t>
            </w:r>
            <w:r w:rsidRPr="0089329C">
              <w:rPr>
                <w:sz w:val="18"/>
                <w:szCs w:val="18"/>
                <w:vertAlign w:val="superscript"/>
              </w:rPr>
              <w:t>a</w:t>
            </w:r>
          </w:p>
        </w:tc>
        <w:tc>
          <w:tcPr>
            <w:tcW w:w="5438" w:type="dxa"/>
            <w:gridSpan w:val="4"/>
            <w:vAlign w:val="center"/>
          </w:tcPr>
          <w:p w14:paraId="16BEAA36" w14:textId="77777777" w:rsidR="00C068D5" w:rsidRPr="0089329C" w:rsidRDefault="00C068D5" w:rsidP="00D82442">
            <w:pPr>
              <w:jc w:val="center"/>
              <w:rPr>
                <w:sz w:val="18"/>
                <w:szCs w:val="18"/>
              </w:rPr>
            </w:pPr>
            <w:r w:rsidRPr="0089329C">
              <w:rPr>
                <w:sz w:val="18"/>
                <w:szCs w:val="18"/>
              </w:rPr>
              <w:t>Discordant Pairs</w:t>
            </w:r>
            <w:r w:rsidRPr="0089329C">
              <w:rPr>
                <w:sz w:val="18"/>
                <w:szCs w:val="18"/>
                <w:vertAlign w:val="superscript"/>
              </w:rPr>
              <w:t xml:space="preserve"> b</w:t>
            </w:r>
          </w:p>
        </w:tc>
      </w:tr>
      <w:tr w:rsidR="00C068D5" w:rsidRPr="0089329C" w14:paraId="7FC8CC34" w14:textId="77777777" w:rsidTr="00D82442">
        <w:tc>
          <w:tcPr>
            <w:tcW w:w="1116" w:type="dxa"/>
          </w:tcPr>
          <w:p w14:paraId="7F400901" w14:textId="77777777" w:rsidR="00C068D5" w:rsidRPr="0089329C" w:rsidRDefault="00C068D5" w:rsidP="00D82442">
            <w:pPr>
              <w:rPr>
                <w:sz w:val="18"/>
                <w:szCs w:val="18"/>
              </w:rPr>
            </w:pPr>
          </w:p>
        </w:tc>
        <w:tc>
          <w:tcPr>
            <w:tcW w:w="1451" w:type="dxa"/>
          </w:tcPr>
          <w:p w14:paraId="56A66E69" w14:textId="77777777" w:rsidR="00C068D5" w:rsidRPr="0089329C" w:rsidRDefault="00C068D5" w:rsidP="00D82442">
            <w:pPr>
              <w:rPr>
                <w:sz w:val="18"/>
                <w:szCs w:val="18"/>
              </w:rPr>
            </w:pPr>
          </w:p>
        </w:tc>
        <w:tc>
          <w:tcPr>
            <w:tcW w:w="726" w:type="dxa"/>
            <w:vAlign w:val="center"/>
          </w:tcPr>
          <w:p w14:paraId="49E6A682" w14:textId="77777777" w:rsidR="00C068D5" w:rsidRPr="0089329C" w:rsidRDefault="00C068D5" w:rsidP="00D82442">
            <w:pPr>
              <w:jc w:val="center"/>
              <w:rPr>
                <w:sz w:val="18"/>
                <w:szCs w:val="18"/>
              </w:rPr>
            </w:pPr>
          </w:p>
        </w:tc>
        <w:tc>
          <w:tcPr>
            <w:tcW w:w="4219" w:type="dxa"/>
            <w:gridSpan w:val="3"/>
            <w:vAlign w:val="center"/>
          </w:tcPr>
          <w:p w14:paraId="308EA670" w14:textId="77777777" w:rsidR="00C068D5" w:rsidRPr="0089329C" w:rsidRDefault="00C068D5" w:rsidP="00D82442">
            <w:pPr>
              <w:jc w:val="center"/>
              <w:rPr>
                <w:rFonts w:ascii="Symbol" w:hAnsi="Symbol" w:cs="Times New Roman (Body CS)"/>
                <w:sz w:val="18"/>
                <w:szCs w:val="18"/>
              </w:rPr>
            </w:pPr>
            <w:r w:rsidRPr="0089329C">
              <w:rPr>
                <w:sz w:val="18"/>
                <w:szCs w:val="18"/>
              </w:rPr>
              <w:t>Predictor</w:t>
            </w:r>
          </w:p>
        </w:tc>
        <w:tc>
          <w:tcPr>
            <w:tcW w:w="702" w:type="dxa"/>
            <w:vAlign w:val="center"/>
          </w:tcPr>
          <w:p w14:paraId="6B93EF07" w14:textId="77777777" w:rsidR="00C068D5" w:rsidRPr="0089329C" w:rsidRDefault="00C068D5" w:rsidP="00D82442">
            <w:pPr>
              <w:jc w:val="center"/>
              <w:rPr>
                <w:sz w:val="18"/>
                <w:szCs w:val="18"/>
              </w:rPr>
            </w:pPr>
          </w:p>
        </w:tc>
        <w:tc>
          <w:tcPr>
            <w:tcW w:w="4736" w:type="dxa"/>
            <w:gridSpan w:val="3"/>
            <w:vAlign w:val="center"/>
          </w:tcPr>
          <w:p w14:paraId="2545BF4E" w14:textId="77777777" w:rsidR="00C068D5" w:rsidRPr="0089329C" w:rsidRDefault="00C068D5" w:rsidP="00D82442">
            <w:pPr>
              <w:jc w:val="center"/>
              <w:rPr>
                <w:rFonts w:ascii="Symbol" w:hAnsi="Symbol" w:cs="Times New Roman (Body CS)"/>
                <w:sz w:val="18"/>
                <w:szCs w:val="18"/>
              </w:rPr>
            </w:pPr>
            <w:r w:rsidRPr="0089329C">
              <w:rPr>
                <w:sz w:val="18"/>
                <w:szCs w:val="18"/>
              </w:rPr>
              <w:t>Predictor</w:t>
            </w:r>
          </w:p>
        </w:tc>
      </w:tr>
      <w:tr w:rsidR="00C068D5" w:rsidRPr="0089329C" w14:paraId="4E3CD689" w14:textId="77777777" w:rsidTr="00D82442">
        <w:tc>
          <w:tcPr>
            <w:tcW w:w="1116" w:type="dxa"/>
          </w:tcPr>
          <w:p w14:paraId="554EE1EC" w14:textId="77777777" w:rsidR="00C068D5" w:rsidRPr="0089329C" w:rsidRDefault="00C068D5" w:rsidP="00D82442">
            <w:pPr>
              <w:rPr>
                <w:sz w:val="18"/>
                <w:szCs w:val="18"/>
              </w:rPr>
            </w:pPr>
            <w:r w:rsidRPr="0089329C">
              <w:rPr>
                <w:sz w:val="18"/>
                <w:szCs w:val="18"/>
              </w:rPr>
              <w:t xml:space="preserve">Type of </w:t>
            </w:r>
          </w:p>
          <w:p w14:paraId="4E3DFE77" w14:textId="77777777" w:rsidR="00C068D5" w:rsidRPr="0089329C" w:rsidRDefault="00C068D5" w:rsidP="00D82442">
            <w:pPr>
              <w:rPr>
                <w:sz w:val="18"/>
                <w:szCs w:val="18"/>
              </w:rPr>
            </w:pPr>
            <w:r w:rsidRPr="0089329C">
              <w:rPr>
                <w:sz w:val="18"/>
                <w:szCs w:val="18"/>
              </w:rPr>
              <w:t>Brother</w:t>
            </w:r>
          </w:p>
        </w:tc>
        <w:tc>
          <w:tcPr>
            <w:tcW w:w="1451" w:type="dxa"/>
          </w:tcPr>
          <w:p w14:paraId="3B57EC01" w14:textId="77777777" w:rsidR="00C068D5" w:rsidRPr="0089329C" w:rsidRDefault="00C068D5" w:rsidP="00D82442">
            <w:pPr>
              <w:rPr>
                <w:sz w:val="18"/>
                <w:szCs w:val="18"/>
              </w:rPr>
            </w:pPr>
          </w:p>
        </w:tc>
        <w:tc>
          <w:tcPr>
            <w:tcW w:w="726" w:type="dxa"/>
            <w:vAlign w:val="center"/>
          </w:tcPr>
          <w:p w14:paraId="3705B4DC" w14:textId="77777777" w:rsidR="00C068D5" w:rsidRDefault="00C068D5" w:rsidP="00D82442">
            <w:pPr>
              <w:jc w:val="center"/>
              <w:rPr>
                <w:sz w:val="18"/>
                <w:szCs w:val="18"/>
              </w:rPr>
            </w:pPr>
            <w:r w:rsidRPr="0089329C">
              <w:rPr>
                <w:sz w:val="18"/>
                <w:szCs w:val="18"/>
              </w:rPr>
              <w:t>N</w:t>
            </w:r>
          </w:p>
          <w:p w14:paraId="70F8353C" w14:textId="77777777" w:rsidR="00C068D5" w:rsidRPr="0089329C" w:rsidRDefault="00C068D5" w:rsidP="00D82442">
            <w:pPr>
              <w:jc w:val="center"/>
              <w:rPr>
                <w:sz w:val="18"/>
                <w:szCs w:val="18"/>
              </w:rPr>
            </w:pPr>
            <w:r>
              <w:rPr>
                <w:sz w:val="18"/>
                <w:szCs w:val="18"/>
              </w:rPr>
              <w:t>(Pairs)</w:t>
            </w:r>
          </w:p>
        </w:tc>
        <w:tc>
          <w:tcPr>
            <w:tcW w:w="1574" w:type="dxa"/>
            <w:vAlign w:val="center"/>
          </w:tcPr>
          <w:p w14:paraId="7D1F2C6A" w14:textId="77777777" w:rsidR="00C068D5" w:rsidRPr="0089329C" w:rsidRDefault="00C068D5" w:rsidP="00D82442">
            <w:pPr>
              <w:jc w:val="center"/>
              <w:rPr>
                <w:sz w:val="18"/>
                <w:szCs w:val="18"/>
              </w:rPr>
            </w:pPr>
            <w:r w:rsidRPr="0089329C">
              <w:rPr>
                <w:rFonts w:cs="Times New Roman (Body CS)"/>
                <w:sz w:val="18"/>
                <w:szCs w:val="18"/>
              </w:rPr>
              <w:t>Brother’s Gender Nonconformity</w:t>
            </w:r>
          </w:p>
        </w:tc>
        <w:tc>
          <w:tcPr>
            <w:tcW w:w="1338" w:type="dxa"/>
            <w:vAlign w:val="center"/>
          </w:tcPr>
          <w:p w14:paraId="2FF7D4D2" w14:textId="77777777" w:rsidR="00C068D5" w:rsidRPr="0089329C" w:rsidRDefault="00C068D5" w:rsidP="00D82442">
            <w:pPr>
              <w:jc w:val="center"/>
              <w:rPr>
                <w:sz w:val="18"/>
                <w:szCs w:val="18"/>
              </w:rPr>
            </w:pPr>
            <w:r w:rsidRPr="0089329C">
              <w:rPr>
                <w:rFonts w:cs="Times New Roman (Body CS)"/>
                <w:sz w:val="18"/>
                <w:szCs w:val="18"/>
              </w:rPr>
              <w:t>Birth Year</w:t>
            </w:r>
          </w:p>
        </w:tc>
        <w:tc>
          <w:tcPr>
            <w:tcW w:w="1307" w:type="dxa"/>
            <w:vAlign w:val="center"/>
          </w:tcPr>
          <w:p w14:paraId="51AC4EEF" w14:textId="77777777" w:rsidR="00C068D5" w:rsidRPr="0089329C" w:rsidRDefault="00C068D5" w:rsidP="00D82442">
            <w:pPr>
              <w:jc w:val="center"/>
              <w:rPr>
                <w:sz w:val="18"/>
                <w:szCs w:val="18"/>
              </w:rPr>
            </w:pPr>
            <w:r w:rsidRPr="0089329C">
              <w:rPr>
                <w:rFonts w:cs="Times New Roman (Body CS)"/>
                <w:sz w:val="18"/>
                <w:szCs w:val="18"/>
              </w:rPr>
              <w:t>Education</w:t>
            </w:r>
          </w:p>
        </w:tc>
        <w:tc>
          <w:tcPr>
            <w:tcW w:w="702" w:type="dxa"/>
            <w:vAlign w:val="center"/>
          </w:tcPr>
          <w:p w14:paraId="5A5D0E13" w14:textId="59454A56" w:rsidR="00C068D5" w:rsidRPr="0089329C" w:rsidRDefault="00C068D5" w:rsidP="0035171A">
            <w:pPr>
              <w:jc w:val="center"/>
              <w:rPr>
                <w:sz w:val="18"/>
                <w:szCs w:val="18"/>
              </w:rPr>
            </w:pPr>
            <w:r w:rsidRPr="0089329C">
              <w:rPr>
                <w:sz w:val="18"/>
                <w:szCs w:val="18"/>
              </w:rPr>
              <w:t>N</w:t>
            </w:r>
            <w:r w:rsidR="0035171A">
              <w:rPr>
                <w:sz w:val="18"/>
                <w:szCs w:val="18"/>
              </w:rPr>
              <w:t xml:space="preserve"> (Pairs)</w:t>
            </w:r>
          </w:p>
        </w:tc>
        <w:tc>
          <w:tcPr>
            <w:tcW w:w="1680" w:type="dxa"/>
            <w:vAlign w:val="center"/>
          </w:tcPr>
          <w:p w14:paraId="3EF1D448" w14:textId="77777777" w:rsidR="00C068D5" w:rsidRPr="0089329C" w:rsidRDefault="00C068D5" w:rsidP="00D82442">
            <w:pPr>
              <w:jc w:val="center"/>
              <w:rPr>
                <w:sz w:val="18"/>
                <w:szCs w:val="18"/>
              </w:rPr>
            </w:pPr>
            <w:r w:rsidRPr="0089329C">
              <w:rPr>
                <w:rFonts w:cs="Times New Roman (Body CS)"/>
                <w:sz w:val="18"/>
                <w:szCs w:val="18"/>
              </w:rPr>
              <w:t>Brother’s Gender Nonconformity</w:t>
            </w:r>
          </w:p>
        </w:tc>
        <w:tc>
          <w:tcPr>
            <w:tcW w:w="1492" w:type="dxa"/>
            <w:vAlign w:val="center"/>
          </w:tcPr>
          <w:p w14:paraId="5E699EC7" w14:textId="77777777" w:rsidR="00C068D5" w:rsidRPr="0089329C" w:rsidRDefault="00C068D5" w:rsidP="00D82442">
            <w:pPr>
              <w:jc w:val="center"/>
              <w:rPr>
                <w:sz w:val="18"/>
                <w:szCs w:val="18"/>
              </w:rPr>
            </w:pPr>
            <w:r w:rsidRPr="0089329C">
              <w:rPr>
                <w:rFonts w:cs="Times New Roman (Body CS)"/>
                <w:sz w:val="18"/>
                <w:szCs w:val="18"/>
              </w:rPr>
              <w:t>Birth Year</w:t>
            </w:r>
          </w:p>
        </w:tc>
        <w:tc>
          <w:tcPr>
            <w:tcW w:w="1564" w:type="dxa"/>
            <w:vAlign w:val="center"/>
          </w:tcPr>
          <w:p w14:paraId="14FD2338" w14:textId="77777777" w:rsidR="00C068D5" w:rsidRPr="0089329C" w:rsidRDefault="00C068D5" w:rsidP="00D82442">
            <w:pPr>
              <w:jc w:val="center"/>
              <w:rPr>
                <w:sz w:val="18"/>
                <w:szCs w:val="18"/>
              </w:rPr>
            </w:pPr>
            <w:r w:rsidRPr="0089329C">
              <w:rPr>
                <w:rFonts w:cs="Times New Roman (Body CS)"/>
                <w:sz w:val="18"/>
                <w:szCs w:val="18"/>
              </w:rPr>
              <w:t>Education</w:t>
            </w:r>
          </w:p>
        </w:tc>
      </w:tr>
      <w:tr w:rsidR="00C068D5" w:rsidRPr="0089329C" w14:paraId="500C4E9C" w14:textId="77777777" w:rsidTr="00D82442">
        <w:tc>
          <w:tcPr>
            <w:tcW w:w="1116" w:type="dxa"/>
            <w:vMerge w:val="restart"/>
          </w:tcPr>
          <w:p w14:paraId="0EFF32A5" w14:textId="77777777" w:rsidR="00C068D5" w:rsidRPr="0089329C" w:rsidRDefault="00C068D5" w:rsidP="00D82442">
            <w:pPr>
              <w:rPr>
                <w:sz w:val="18"/>
                <w:szCs w:val="18"/>
              </w:rPr>
            </w:pPr>
          </w:p>
          <w:p w14:paraId="6F46947E" w14:textId="77777777" w:rsidR="00C068D5" w:rsidRPr="0089329C" w:rsidRDefault="00C068D5" w:rsidP="00D82442">
            <w:pPr>
              <w:rPr>
                <w:sz w:val="18"/>
                <w:szCs w:val="18"/>
              </w:rPr>
            </w:pPr>
          </w:p>
          <w:p w14:paraId="01BB9A97" w14:textId="77777777" w:rsidR="00C068D5" w:rsidRPr="0089329C" w:rsidRDefault="00C068D5" w:rsidP="00D82442">
            <w:pPr>
              <w:rPr>
                <w:sz w:val="18"/>
                <w:szCs w:val="18"/>
              </w:rPr>
            </w:pPr>
          </w:p>
          <w:p w14:paraId="15264D3A" w14:textId="77777777" w:rsidR="00C068D5" w:rsidRPr="0089329C" w:rsidRDefault="00C068D5" w:rsidP="00D82442">
            <w:pPr>
              <w:rPr>
                <w:sz w:val="18"/>
                <w:szCs w:val="18"/>
              </w:rPr>
            </w:pPr>
          </w:p>
          <w:p w14:paraId="796D70A7" w14:textId="77777777" w:rsidR="00C068D5" w:rsidRPr="0089329C" w:rsidRDefault="00C068D5" w:rsidP="00D82442">
            <w:pPr>
              <w:rPr>
                <w:sz w:val="18"/>
                <w:szCs w:val="18"/>
              </w:rPr>
            </w:pPr>
            <w:r w:rsidRPr="0089329C">
              <w:rPr>
                <w:sz w:val="18"/>
                <w:szCs w:val="18"/>
              </w:rPr>
              <w:t>Full sibling</w:t>
            </w:r>
          </w:p>
        </w:tc>
        <w:tc>
          <w:tcPr>
            <w:tcW w:w="1451" w:type="dxa"/>
          </w:tcPr>
          <w:p w14:paraId="7687AB8E" w14:textId="77777777" w:rsidR="00C068D5" w:rsidRPr="0089329C" w:rsidRDefault="00C068D5" w:rsidP="00D82442">
            <w:pPr>
              <w:rPr>
                <w:sz w:val="18"/>
                <w:szCs w:val="18"/>
              </w:rPr>
            </w:pPr>
          </w:p>
          <w:p w14:paraId="4DCD4E36" w14:textId="77777777" w:rsidR="00C068D5" w:rsidRPr="0089329C" w:rsidRDefault="00C068D5" w:rsidP="00D82442">
            <w:pPr>
              <w:rPr>
                <w:sz w:val="18"/>
                <w:szCs w:val="18"/>
              </w:rPr>
            </w:pPr>
            <w:r w:rsidRPr="0089329C">
              <w:rPr>
                <w:sz w:val="18"/>
                <w:szCs w:val="18"/>
              </w:rPr>
              <w:t>Childhood</w:t>
            </w:r>
          </w:p>
          <w:p w14:paraId="583E4F8C" w14:textId="77777777" w:rsidR="00C068D5" w:rsidRPr="0089329C" w:rsidRDefault="00C068D5" w:rsidP="00D82442">
            <w:pPr>
              <w:rPr>
                <w:sz w:val="18"/>
                <w:szCs w:val="18"/>
              </w:rPr>
            </w:pPr>
            <w:r w:rsidRPr="0089329C">
              <w:rPr>
                <w:sz w:val="18"/>
                <w:szCs w:val="18"/>
              </w:rPr>
              <w:t xml:space="preserve">Gender </w:t>
            </w:r>
          </w:p>
          <w:p w14:paraId="697E9735" w14:textId="77777777" w:rsidR="00C068D5" w:rsidRPr="0089329C" w:rsidRDefault="00C068D5" w:rsidP="00D82442">
            <w:pPr>
              <w:rPr>
                <w:sz w:val="18"/>
                <w:szCs w:val="18"/>
              </w:rPr>
            </w:pPr>
            <w:r w:rsidRPr="0089329C">
              <w:rPr>
                <w:sz w:val="18"/>
                <w:szCs w:val="18"/>
              </w:rPr>
              <w:t>Nonconformity</w:t>
            </w:r>
          </w:p>
        </w:tc>
        <w:tc>
          <w:tcPr>
            <w:tcW w:w="726" w:type="dxa"/>
            <w:vAlign w:val="center"/>
          </w:tcPr>
          <w:p w14:paraId="387BB4EE" w14:textId="77777777" w:rsidR="00C068D5" w:rsidRPr="0089329C" w:rsidRDefault="00C068D5" w:rsidP="00D82442">
            <w:pPr>
              <w:rPr>
                <w:sz w:val="18"/>
                <w:szCs w:val="18"/>
              </w:rPr>
            </w:pPr>
          </w:p>
          <w:p w14:paraId="7CD8DEC8" w14:textId="77777777" w:rsidR="00C068D5" w:rsidRPr="0089329C" w:rsidRDefault="00C068D5" w:rsidP="00D82442">
            <w:pPr>
              <w:jc w:val="center"/>
              <w:rPr>
                <w:sz w:val="18"/>
                <w:szCs w:val="18"/>
              </w:rPr>
            </w:pPr>
            <w:r w:rsidRPr="0089329C">
              <w:rPr>
                <w:sz w:val="18"/>
                <w:szCs w:val="18"/>
              </w:rPr>
              <w:t>672</w:t>
            </w:r>
          </w:p>
        </w:tc>
        <w:tc>
          <w:tcPr>
            <w:tcW w:w="1574" w:type="dxa"/>
            <w:vAlign w:val="center"/>
          </w:tcPr>
          <w:p w14:paraId="26E79412" w14:textId="77777777" w:rsidR="00C068D5" w:rsidRPr="0089329C" w:rsidRDefault="00C068D5" w:rsidP="00D82442">
            <w:pPr>
              <w:jc w:val="center"/>
              <w:rPr>
                <w:sz w:val="18"/>
                <w:szCs w:val="18"/>
              </w:rPr>
            </w:pPr>
          </w:p>
          <w:p w14:paraId="1D28424B" w14:textId="77777777" w:rsidR="00C068D5" w:rsidRPr="0089329C" w:rsidRDefault="00C068D5" w:rsidP="00D82442">
            <w:pPr>
              <w:jc w:val="center"/>
              <w:rPr>
                <w:sz w:val="18"/>
                <w:szCs w:val="18"/>
              </w:rPr>
            </w:pPr>
            <w:r w:rsidRPr="0089329C">
              <w:rPr>
                <w:sz w:val="18"/>
                <w:szCs w:val="18"/>
              </w:rPr>
              <w:t>0.263</w:t>
            </w:r>
            <w:r>
              <w:rPr>
                <w:sz w:val="18"/>
                <w:szCs w:val="18"/>
              </w:rPr>
              <w:t>**</w:t>
            </w:r>
          </w:p>
          <w:p w14:paraId="2C84033A" w14:textId="77777777" w:rsidR="00C068D5" w:rsidRPr="0089329C" w:rsidRDefault="00C068D5" w:rsidP="00D82442">
            <w:pPr>
              <w:jc w:val="center"/>
              <w:rPr>
                <w:sz w:val="18"/>
                <w:szCs w:val="18"/>
              </w:rPr>
            </w:pPr>
            <w:r w:rsidRPr="0089329C">
              <w:rPr>
                <w:sz w:val="18"/>
                <w:szCs w:val="18"/>
              </w:rPr>
              <w:t>0.188–0.337</w:t>
            </w:r>
          </w:p>
          <w:p w14:paraId="5F7C8296" w14:textId="77777777" w:rsidR="00C068D5" w:rsidRPr="0089329C" w:rsidRDefault="00C068D5" w:rsidP="00D82442">
            <w:pPr>
              <w:jc w:val="center"/>
              <w:rPr>
                <w:sz w:val="18"/>
                <w:szCs w:val="18"/>
              </w:rPr>
            </w:pPr>
          </w:p>
        </w:tc>
        <w:tc>
          <w:tcPr>
            <w:tcW w:w="1338" w:type="dxa"/>
            <w:vAlign w:val="center"/>
          </w:tcPr>
          <w:p w14:paraId="46AAAF60" w14:textId="77777777" w:rsidR="00C068D5" w:rsidRDefault="00C068D5" w:rsidP="00D82442">
            <w:pPr>
              <w:jc w:val="center"/>
              <w:rPr>
                <w:sz w:val="18"/>
                <w:szCs w:val="18"/>
              </w:rPr>
            </w:pPr>
          </w:p>
          <w:p w14:paraId="1D16CB85" w14:textId="77777777" w:rsidR="00C068D5" w:rsidRPr="0089329C" w:rsidRDefault="00C068D5" w:rsidP="00D82442">
            <w:pPr>
              <w:jc w:val="center"/>
              <w:rPr>
                <w:sz w:val="18"/>
                <w:szCs w:val="18"/>
              </w:rPr>
            </w:pPr>
            <w:r w:rsidRPr="0089329C">
              <w:rPr>
                <w:sz w:val="18"/>
                <w:szCs w:val="18"/>
              </w:rPr>
              <w:t>0.151</w:t>
            </w:r>
            <w:r>
              <w:rPr>
                <w:sz w:val="18"/>
                <w:szCs w:val="18"/>
              </w:rPr>
              <w:t>**</w:t>
            </w:r>
          </w:p>
          <w:p w14:paraId="0E8A7866" w14:textId="77777777" w:rsidR="00C068D5" w:rsidRPr="0089329C" w:rsidRDefault="00C068D5" w:rsidP="00D82442">
            <w:pPr>
              <w:jc w:val="center"/>
              <w:rPr>
                <w:sz w:val="18"/>
                <w:szCs w:val="18"/>
              </w:rPr>
            </w:pPr>
            <w:r w:rsidRPr="0089329C">
              <w:rPr>
                <w:sz w:val="18"/>
                <w:szCs w:val="18"/>
              </w:rPr>
              <w:t>0.075–0.226</w:t>
            </w:r>
          </w:p>
          <w:p w14:paraId="713994AD" w14:textId="77777777" w:rsidR="00C068D5" w:rsidRPr="0089329C" w:rsidRDefault="00C068D5" w:rsidP="00D82442">
            <w:pPr>
              <w:jc w:val="center"/>
              <w:rPr>
                <w:sz w:val="18"/>
                <w:szCs w:val="18"/>
              </w:rPr>
            </w:pPr>
          </w:p>
        </w:tc>
        <w:tc>
          <w:tcPr>
            <w:tcW w:w="1307" w:type="dxa"/>
            <w:vAlign w:val="center"/>
          </w:tcPr>
          <w:p w14:paraId="4909B6D2" w14:textId="77777777" w:rsidR="00C068D5" w:rsidRDefault="00C068D5" w:rsidP="00D82442">
            <w:pPr>
              <w:jc w:val="center"/>
              <w:rPr>
                <w:sz w:val="18"/>
                <w:szCs w:val="18"/>
              </w:rPr>
            </w:pPr>
          </w:p>
          <w:p w14:paraId="14B76770" w14:textId="77777777" w:rsidR="00C068D5" w:rsidRPr="0089329C" w:rsidRDefault="00C068D5" w:rsidP="00D82442">
            <w:pPr>
              <w:jc w:val="center"/>
              <w:rPr>
                <w:sz w:val="18"/>
                <w:szCs w:val="18"/>
              </w:rPr>
            </w:pPr>
            <w:r w:rsidRPr="0089329C">
              <w:rPr>
                <w:sz w:val="18"/>
                <w:szCs w:val="18"/>
              </w:rPr>
              <w:t>-0.037</w:t>
            </w:r>
          </w:p>
          <w:p w14:paraId="5B0802A9" w14:textId="77777777" w:rsidR="00C068D5" w:rsidRPr="0089329C" w:rsidRDefault="00C068D5" w:rsidP="00D82442">
            <w:pPr>
              <w:jc w:val="center"/>
              <w:rPr>
                <w:sz w:val="18"/>
                <w:szCs w:val="18"/>
              </w:rPr>
            </w:pPr>
            <w:r w:rsidRPr="0089329C">
              <w:rPr>
                <w:sz w:val="18"/>
                <w:szCs w:val="18"/>
              </w:rPr>
              <w:t>-0.112–0.037</w:t>
            </w:r>
          </w:p>
          <w:p w14:paraId="5D5AF877" w14:textId="77777777" w:rsidR="00C068D5" w:rsidRPr="0089329C" w:rsidRDefault="00C068D5" w:rsidP="00D82442">
            <w:pPr>
              <w:jc w:val="center"/>
              <w:rPr>
                <w:sz w:val="18"/>
                <w:szCs w:val="18"/>
              </w:rPr>
            </w:pPr>
          </w:p>
        </w:tc>
        <w:tc>
          <w:tcPr>
            <w:tcW w:w="702" w:type="dxa"/>
            <w:vAlign w:val="center"/>
          </w:tcPr>
          <w:p w14:paraId="05FADCBA" w14:textId="77777777" w:rsidR="00C068D5" w:rsidRPr="0089329C" w:rsidRDefault="00C068D5" w:rsidP="00D82442">
            <w:pPr>
              <w:jc w:val="center"/>
              <w:rPr>
                <w:sz w:val="18"/>
                <w:szCs w:val="18"/>
              </w:rPr>
            </w:pPr>
            <w:r w:rsidRPr="0089329C">
              <w:rPr>
                <w:sz w:val="18"/>
                <w:szCs w:val="18"/>
              </w:rPr>
              <w:t>79</w:t>
            </w:r>
          </w:p>
        </w:tc>
        <w:tc>
          <w:tcPr>
            <w:tcW w:w="1680" w:type="dxa"/>
            <w:vAlign w:val="center"/>
          </w:tcPr>
          <w:p w14:paraId="03F289D7" w14:textId="77777777" w:rsidR="00C068D5" w:rsidRDefault="00C068D5" w:rsidP="00D82442">
            <w:pPr>
              <w:jc w:val="center"/>
              <w:rPr>
                <w:sz w:val="18"/>
                <w:szCs w:val="18"/>
              </w:rPr>
            </w:pPr>
          </w:p>
          <w:p w14:paraId="0A9EAE69" w14:textId="77777777" w:rsidR="00C068D5" w:rsidRPr="0089329C" w:rsidRDefault="00C068D5" w:rsidP="00D82442">
            <w:pPr>
              <w:jc w:val="center"/>
              <w:rPr>
                <w:sz w:val="18"/>
                <w:szCs w:val="18"/>
              </w:rPr>
            </w:pPr>
            <w:r w:rsidRPr="0089329C">
              <w:rPr>
                <w:sz w:val="18"/>
                <w:szCs w:val="18"/>
              </w:rPr>
              <w:t>0.220</w:t>
            </w:r>
          </w:p>
          <w:p w14:paraId="0495B98E" w14:textId="77777777" w:rsidR="00C068D5" w:rsidRPr="0089329C" w:rsidRDefault="00C068D5" w:rsidP="00D82442">
            <w:pPr>
              <w:jc w:val="center"/>
              <w:rPr>
                <w:sz w:val="18"/>
                <w:szCs w:val="18"/>
              </w:rPr>
            </w:pPr>
            <w:r w:rsidRPr="0089329C">
              <w:rPr>
                <w:sz w:val="18"/>
                <w:szCs w:val="18"/>
              </w:rPr>
              <w:t>-0.011–0.451</w:t>
            </w:r>
          </w:p>
          <w:p w14:paraId="7EFC3408" w14:textId="77777777" w:rsidR="00C068D5" w:rsidRPr="0089329C" w:rsidRDefault="00C068D5" w:rsidP="00D82442">
            <w:pPr>
              <w:jc w:val="center"/>
              <w:rPr>
                <w:sz w:val="18"/>
                <w:szCs w:val="18"/>
              </w:rPr>
            </w:pPr>
          </w:p>
        </w:tc>
        <w:tc>
          <w:tcPr>
            <w:tcW w:w="1492" w:type="dxa"/>
            <w:vAlign w:val="center"/>
          </w:tcPr>
          <w:p w14:paraId="2C6500A2" w14:textId="77777777" w:rsidR="00C068D5" w:rsidRDefault="00C068D5" w:rsidP="00D82442">
            <w:pPr>
              <w:jc w:val="center"/>
              <w:rPr>
                <w:sz w:val="18"/>
                <w:szCs w:val="18"/>
              </w:rPr>
            </w:pPr>
          </w:p>
          <w:p w14:paraId="39D605B8" w14:textId="77777777" w:rsidR="00C068D5" w:rsidRPr="0089329C" w:rsidRDefault="00C068D5" w:rsidP="00D82442">
            <w:pPr>
              <w:jc w:val="center"/>
              <w:rPr>
                <w:sz w:val="18"/>
                <w:szCs w:val="18"/>
              </w:rPr>
            </w:pPr>
            <w:r w:rsidRPr="0089329C">
              <w:rPr>
                <w:sz w:val="18"/>
                <w:szCs w:val="18"/>
              </w:rPr>
              <w:t>0.170</w:t>
            </w:r>
          </w:p>
          <w:p w14:paraId="62A62687" w14:textId="77777777" w:rsidR="00C068D5" w:rsidRPr="0089329C" w:rsidRDefault="00C068D5" w:rsidP="00D82442">
            <w:pPr>
              <w:jc w:val="center"/>
              <w:rPr>
                <w:sz w:val="18"/>
                <w:szCs w:val="18"/>
              </w:rPr>
            </w:pPr>
            <w:r w:rsidRPr="0089329C">
              <w:rPr>
                <w:sz w:val="18"/>
                <w:szCs w:val="18"/>
              </w:rPr>
              <w:t>-0.051–0.392</w:t>
            </w:r>
          </w:p>
          <w:p w14:paraId="1B20FC36" w14:textId="77777777" w:rsidR="00C068D5" w:rsidRPr="0089329C" w:rsidRDefault="00C068D5" w:rsidP="00D82442">
            <w:pPr>
              <w:jc w:val="center"/>
              <w:rPr>
                <w:sz w:val="18"/>
                <w:szCs w:val="18"/>
              </w:rPr>
            </w:pPr>
          </w:p>
        </w:tc>
        <w:tc>
          <w:tcPr>
            <w:tcW w:w="1564" w:type="dxa"/>
            <w:vAlign w:val="center"/>
          </w:tcPr>
          <w:p w14:paraId="5B785E0F" w14:textId="77777777" w:rsidR="00C068D5" w:rsidRDefault="00C068D5" w:rsidP="00D82442">
            <w:pPr>
              <w:jc w:val="center"/>
              <w:rPr>
                <w:sz w:val="18"/>
                <w:szCs w:val="18"/>
              </w:rPr>
            </w:pPr>
          </w:p>
          <w:p w14:paraId="33BD595D" w14:textId="77777777" w:rsidR="00C068D5" w:rsidRPr="0089329C" w:rsidRDefault="00C068D5" w:rsidP="00D82442">
            <w:pPr>
              <w:jc w:val="center"/>
              <w:rPr>
                <w:sz w:val="18"/>
                <w:szCs w:val="18"/>
              </w:rPr>
            </w:pPr>
            <w:r w:rsidRPr="0089329C">
              <w:rPr>
                <w:sz w:val="18"/>
                <w:szCs w:val="18"/>
              </w:rPr>
              <w:t>0.183</w:t>
            </w:r>
          </w:p>
          <w:p w14:paraId="021A1E8E" w14:textId="77777777" w:rsidR="00C068D5" w:rsidRPr="0089329C" w:rsidRDefault="00C068D5" w:rsidP="00D82442">
            <w:pPr>
              <w:jc w:val="center"/>
              <w:rPr>
                <w:sz w:val="18"/>
                <w:szCs w:val="18"/>
              </w:rPr>
            </w:pPr>
            <w:r w:rsidRPr="0089329C">
              <w:rPr>
                <w:sz w:val="18"/>
                <w:szCs w:val="18"/>
              </w:rPr>
              <w:t>-0.039–0.405</w:t>
            </w:r>
          </w:p>
          <w:p w14:paraId="3F12D1ED" w14:textId="77777777" w:rsidR="00C068D5" w:rsidRPr="0089329C" w:rsidRDefault="00C068D5" w:rsidP="00D82442">
            <w:pPr>
              <w:jc w:val="center"/>
              <w:rPr>
                <w:sz w:val="18"/>
                <w:szCs w:val="18"/>
              </w:rPr>
            </w:pPr>
          </w:p>
        </w:tc>
      </w:tr>
      <w:tr w:rsidR="00C068D5" w:rsidRPr="0089329C" w14:paraId="48406C94" w14:textId="77777777" w:rsidTr="00D82442">
        <w:tc>
          <w:tcPr>
            <w:tcW w:w="1116" w:type="dxa"/>
            <w:vMerge/>
          </w:tcPr>
          <w:p w14:paraId="03309B88" w14:textId="77777777" w:rsidR="00C068D5" w:rsidRPr="0089329C" w:rsidRDefault="00C068D5" w:rsidP="00D82442">
            <w:pPr>
              <w:rPr>
                <w:sz w:val="18"/>
                <w:szCs w:val="18"/>
              </w:rPr>
            </w:pPr>
          </w:p>
        </w:tc>
        <w:tc>
          <w:tcPr>
            <w:tcW w:w="1451" w:type="dxa"/>
          </w:tcPr>
          <w:p w14:paraId="7ACB503F" w14:textId="77777777" w:rsidR="00C068D5" w:rsidRPr="0089329C" w:rsidRDefault="00C068D5" w:rsidP="00D82442">
            <w:pPr>
              <w:rPr>
                <w:sz w:val="18"/>
                <w:szCs w:val="18"/>
              </w:rPr>
            </w:pPr>
          </w:p>
          <w:p w14:paraId="64D288A8" w14:textId="77777777" w:rsidR="00C068D5" w:rsidRPr="0089329C" w:rsidRDefault="00C068D5" w:rsidP="00D82442">
            <w:pPr>
              <w:rPr>
                <w:sz w:val="18"/>
                <w:szCs w:val="18"/>
              </w:rPr>
            </w:pPr>
            <w:r w:rsidRPr="0089329C">
              <w:rPr>
                <w:sz w:val="18"/>
                <w:szCs w:val="18"/>
              </w:rPr>
              <w:t>Adult</w:t>
            </w:r>
          </w:p>
          <w:p w14:paraId="7BD18B0A" w14:textId="77777777" w:rsidR="00C068D5" w:rsidRPr="0089329C" w:rsidRDefault="00C068D5" w:rsidP="00D82442">
            <w:pPr>
              <w:rPr>
                <w:sz w:val="18"/>
                <w:szCs w:val="18"/>
              </w:rPr>
            </w:pPr>
            <w:r w:rsidRPr="0089329C">
              <w:rPr>
                <w:sz w:val="18"/>
                <w:szCs w:val="18"/>
              </w:rPr>
              <w:t xml:space="preserve">Gender </w:t>
            </w:r>
          </w:p>
          <w:p w14:paraId="30D0020F" w14:textId="77777777" w:rsidR="00C068D5" w:rsidRPr="0089329C" w:rsidRDefault="00C068D5" w:rsidP="00D82442">
            <w:pPr>
              <w:rPr>
                <w:sz w:val="18"/>
                <w:szCs w:val="18"/>
              </w:rPr>
            </w:pPr>
            <w:r w:rsidRPr="0089329C">
              <w:rPr>
                <w:sz w:val="18"/>
                <w:szCs w:val="18"/>
              </w:rPr>
              <w:t>Nonconformity</w:t>
            </w:r>
          </w:p>
        </w:tc>
        <w:tc>
          <w:tcPr>
            <w:tcW w:w="726" w:type="dxa"/>
            <w:vAlign w:val="center"/>
          </w:tcPr>
          <w:p w14:paraId="36EBC401" w14:textId="77777777" w:rsidR="00C068D5" w:rsidRPr="0089329C" w:rsidRDefault="00C068D5" w:rsidP="00D82442">
            <w:pPr>
              <w:jc w:val="center"/>
              <w:rPr>
                <w:sz w:val="18"/>
                <w:szCs w:val="18"/>
              </w:rPr>
            </w:pPr>
          </w:p>
          <w:p w14:paraId="0DCB29F1" w14:textId="77777777" w:rsidR="00C068D5" w:rsidRPr="0089329C" w:rsidRDefault="00C068D5" w:rsidP="00D82442">
            <w:pPr>
              <w:jc w:val="center"/>
              <w:rPr>
                <w:sz w:val="18"/>
                <w:szCs w:val="18"/>
              </w:rPr>
            </w:pPr>
          </w:p>
          <w:p w14:paraId="4614B248" w14:textId="77777777" w:rsidR="00C068D5" w:rsidRPr="0089329C" w:rsidRDefault="00C068D5" w:rsidP="00D82442">
            <w:pPr>
              <w:jc w:val="center"/>
              <w:rPr>
                <w:sz w:val="18"/>
                <w:szCs w:val="18"/>
              </w:rPr>
            </w:pPr>
            <w:r w:rsidRPr="0089329C">
              <w:rPr>
                <w:sz w:val="18"/>
                <w:szCs w:val="18"/>
              </w:rPr>
              <w:t>697</w:t>
            </w:r>
          </w:p>
        </w:tc>
        <w:tc>
          <w:tcPr>
            <w:tcW w:w="1574" w:type="dxa"/>
            <w:vAlign w:val="center"/>
          </w:tcPr>
          <w:p w14:paraId="230842AF" w14:textId="77777777" w:rsidR="00C068D5" w:rsidRPr="0089329C" w:rsidRDefault="00C068D5" w:rsidP="00D82442">
            <w:pPr>
              <w:jc w:val="center"/>
              <w:rPr>
                <w:sz w:val="18"/>
                <w:szCs w:val="18"/>
              </w:rPr>
            </w:pPr>
          </w:p>
          <w:p w14:paraId="0EF2F4D7" w14:textId="77777777" w:rsidR="00C068D5" w:rsidRPr="0089329C" w:rsidRDefault="00C068D5" w:rsidP="00D82442">
            <w:pPr>
              <w:jc w:val="center"/>
              <w:rPr>
                <w:sz w:val="18"/>
                <w:szCs w:val="18"/>
              </w:rPr>
            </w:pPr>
            <w:r w:rsidRPr="0089329C">
              <w:rPr>
                <w:sz w:val="18"/>
                <w:szCs w:val="18"/>
              </w:rPr>
              <w:t>0.168</w:t>
            </w:r>
            <w:r>
              <w:rPr>
                <w:sz w:val="18"/>
                <w:szCs w:val="18"/>
              </w:rPr>
              <w:t>**</w:t>
            </w:r>
          </w:p>
          <w:p w14:paraId="19A7979A" w14:textId="77777777" w:rsidR="00C068D5" w:rsidRPr="0089329C" w:rsidRDefault="00C068D5" w:rsidP="00D82442">
            <w:pPr>
              <w:jc w:val="center"/>
              <w:rPr>
                <w:sz w:val="18"/>
                <w:szCs w:val="18"/>
              </w:rPr>
            </w:pPr>
            <w:r w:rsidRPr="0089329C">
              <w:rPr>
                <w:sz w:val="18"/>
                <w:szCs w:val="18"/>
              </w:rPr>
              <w:t>0.094–0.241</w:t>
            </w:r>
          </w:p>
          <w:p w14:paraId="4D6FAAF6" w14:textId="77777777" w:rsidR="00C068D5" w:rsidRPr="0089329C" w:rsidRDefault="00C068D5" w:rsidP="00D82442">
            <w:pPr>
              <w:jc w:val="center"/>
              <w:rPr>
                <w:sz w:val="18"/>
                <w:szCs w:val="18"/>
              </w:rPr>
            </w:pPr>
          </w:p>
        </w:tc>
        <w:tc>
          <w:tcPr>
            <w:tcW w:w="1338" w:type="dxa"/>
            <w:vAlign w:val="center"/>
          </w:tcPr>
          <w:p w14:paraId="4FFE8C2A" w14:textId="77777777" w:rsidR="00C068D5" w:rsidRDefault="00C068D5" w:rsidP="00D82442">
            <w:pPr>
              <w:jc w:val="center"/>
              <w:rPr>
                <w:sz w:val="18"/>
                <w:szCs w:val="18"/>
              </w:rPr>
            </w:pPr>
          </w:p>
          <w:p w14:paraId="7353F734" w14:textId="77777777" w:rsidR="00C068D5" w:rsidRPr="0089329C" w:rsidRDefault="00C068D5" w:rsidP="00D82442">
            <w:pPr>
              <w:jc w:val="center"/>
              <w:rPr>
                <w:sz w:val="18"/>
                <w:szCs w:val="18"/>
              </w:rPr>
            </w:pPr>
            <w:r w:rsidRPr="0089329C">
              <w:rPr>
                <w:sz w:val="18"/>
                <w:szCs w:val="18"/>
              </w:rPr>
              <w:t>0.153</w:t>
            </w:r>
            <w:r>
              <w:rPr>
                <w:sz w:val="18"/>
                <w:szCs w:val="18"/>
              </w:rPr>
              <w:t>**</w:t>
            </w:r>
          </w:p>
          <w:p w14:paraId="773F7ED2" w14:textId="77777777" w:rsidR="00C068D5" w:rsidRPr="0089329C" w:rsidRDefault="00C068D5" w:rsidP="00D82442">
            <w:pPr>
              <w:jc w:val="center"/>
              <w:rPr>
                <w:sz w:val="18"/>
                <w:szCs w:val="18"/>
              </w:rPr>
            </w:pPr>
            <w:r w:rsidRPr="0089329C">
              <w:rPr>
                <w:sz w:val="18"/>
                <w:szCs w:val="18"/>
              </w:rPr>
              <w:t>0.079–0.228</w:t>
            </w:r>
          </w:p>
          <w:p w14:paraId="59F14515" w14:textId="77777777" w:rsidR="00C068D5" w:rsidRPr="0089329C" w:rsidRDefault="00C068D5" w:rsidP="00D82442">
            <w:pPr>
              <w:jc w:val="center"/>
              <w:rPr>
                <w:sz w:val="18"/>
                <w:szCs w:val="18"/>
              </w:rPr>
            </w:pPr>
          </w:p>
        </w:tc>
        <w:tc>
          <w:tcPr>
            <w:tcW w:w="1307" w:type="dxa"/>
            <w:vAlign w:val="center"/>
          </w:tcPr>
          <w:p w14:paraId="17F42E24" w14:textId="77777777" w:rsidR="00C068D5" w:rsidRDefault="00C068D5" w:rsidP="00D82442">
            <w:pPr>
              <w:jc w:val="center"/>
              <w:rPr>
                <w:sz w:val="18"/>
                <w:szCs w:val="18"/>
              </w:rPr>
            </w:pPr>
          </w:p>
          <w:p w14:paraId="0D9AEA0E" w14:textId="77777777" w:rsidR="00C068D5" w:rsidRPr="0089329C" w:rsidRDefault="00C068D5" w:rsidP="00D82442">
            <w:pPr>
              <w:jc w:val="center"/>
              <w:rPr>
                <w:sz w:val="18"/>
                <w:szCs w:val="18"/>
              </w:rPr>
            </w:pPr>
            <w:r w:rsidRPr="0089329C">
              <w:rPr>
                <w:sz w:val="18"/>
                <w:szCs w:val="18"/>
              </w:rPr>
              <w:t>-0.031</w:t>
            </w:r>
          </w:p>
          <w:p w14:paraId="0B11DFCC" w14:textId="77777777" w:rsidR="00C068D5" w:rsidRPr="0089329C" w:rsidRDefault="00C068D5" w:rsidP="00D82442">
            <w:pPr>
              <w:jc w:val="center"/>
              <w:rPr>
                <w:sz w:val="18"/>
                <w:szCs w:val="18"/>
              </w:rPr>
            </w:pPr>
            <w:r w:rsidRPr="0089329C">
              <w:rPr>
                <w:sz w:val="18"/>
                <w:szCs w:val="18"/>
              </w:rPr>
              <w:t>-0.105–0.043</w:t>
            </w:r>
          </w:p>
          <w:p w14:paraId="47C35E3D" w14:textId="77777777" w:rsidR="00C068D5" w:rsidRPr="0089329C" w:rsidRDefault="00C068D5" w:rsidP="00D82442">
            <w:pPr>
              <w:jc w:val="center"/>
              <w:rPr>
                <w:sz w:val="18"/>
                <w:szCs w:val="18"/>
              </w:rPr>
            </w:pPr>
          </w:p>
        </w:tc>
        <w:tc>
          <w:tcPr>
            <w:tcW w:w="702" w:type="dxa"/>
            <w:vAlign w:val="center"/>
          </w:tcPr>
          <w:p w14:paraId="2D032ECA" w14:textId="77777777" w:rsidR="00C068D5" w:rsidRPr="0089329C" w:rsidRDefault="00C068D5" w:rsidP="00D82442">
            <w:pPr>
              <w:jc w:val="center"/>
              <w:rPr>
                <w:sz w:val="18"/>
                <w:szCs w:val="18"/>
              </w:rPr>
            </w:pPr>
            <w:r w:rsidRPr="0089329C">
              <w:rPr>
                <w:sz w:val="18"/>
                <w:szCs w:val="18"/>
              </w:rPr>
              <w:t>82</w:t>
            </w:r>
          </w:p>
        </w:tc>
        <w:tc>
          <w:tcPr>
            <w:tcW w:w="1680" w:type="dxa"/>
            <w:vAlign w:val="center"/>
          </w:tcPr>
          <w:p w14:paraId="6E26D30C" w14:textId="77777777" w:rsidR="00C068D5" w:rsidRDefault="00C068D5" w:rsidP="00D82442">
            <w:pPr>
              <w:jc w:val="center"/>
              <w:rPr>
                <w:sz w:val="18"/>
                <w:szCs w:val="18"/>
              </w:rPr>
            </w:pPr>
          </w:p>
          <w:p w14:paraId="627B6121" w14:textId="77777777" w:rsidR="00C068D5" w:rsidRPr="0089329C" w:rsidRDefault="00C068D5" w:rsidP="00D82442">
            <w:pPr>
              <w:jc w:val="center"/>
              <w:rPr>
                <w:sz w:val="18"/>
                <w:szCs w:val="18"/>
              </w:rPr>
            </w:pPr>
            <w:r w:rsidRPr="0089329C">
              <w:rPr>
                <w:sz w:val="18"/>
                <w:szCs w:val="18"/>
              </w:rPr>
              <w:t>0.079</w:t>
            </w:r>
          </w:p>
          <w:p w14:paraId="324A0CE0" w14:textId="77777777" w:rsidR="00C068D5" w:rsidRPr="0089329C" w:rsidRDefault="00C068D5" w:rsidP="00D82442">
            <w:pPr>
              <w:jc w:val="center"/>
              <w:rPr>
                <w:sz w:val="18"/>
                <w:szCs w:val="18"/>
              </w:rPr>
            </w:pPr>
            <w:r w:rsidRPr="0089329C">
              <w:rPr>
                <w:sz w:val="18"/>
                <w:szCs w:val="18"/>
              </w:rPr>
              <w:t>-0.138–0.296</w:t>
            </w:r>
          </w:p>
          <w:p w14:paraId="5DDCB7B4" w14:textId="77777777" w:rsidR="00C068D5" w:rsidRPr="0089329C" w:rsidRDefault="00C068D5" w:rsidP="00D82442">
            <w:pPr>
              <w:jc w:val="center"/>
              <w:rPr>
                <w:sz w:val="18"/>
                <w:szCs w:val="18"/>
              </w:rPr>
            </w:pPr>
          </w:p>
        </w:tc>
        <w:tc>
          <w:tcPr>
            <w:tcW w:w="1492" w:type="dxa"/>
            <w:vAlign w:val="center"/>
          </w:tcPr>
          <w:p w14:paraId="7780556B" w14:textId="77777777" w:rsidR="00C068D5" w:rsidRDefault="00C068D5" w:rsidP="00D82442">
            <w:pPr>
              <w:jc w:val="center"/>
              <w:rPr>
                <w:sz w:val="18"/>
                <w:szCs w:val="18"/>
              </w:rPr>
            </w:pPr>
          </w:p>
          <w:p w14:paraId="1159F2B1" w14:textId="77777777" w:rsidR="00C068D5" w:rsidRPr="0089329C" w:rsidRDefault="00C068D5" w:rsidP="00D82442">
            <w:pPr>
              <w:jc w:val="center"/>
              <w:rPr>
                <w:sz w:val="18"/>
                <w:szCs w:val="18"/>
              </w:rPr>
            </w:pPr>
            <w:r w:rsidRPr="0089329C">
              <w:rPr>
                <w:sz w:val="18"/>
                <w:szCs w:val="18"/>
              </w:rPr>
              <w:t>0.259</w:t>
            </w:r>
            <w:r>
              <w:rPr>
                <w:sz w:val="18"/>
                <w:szCs w:val="18"/>
              </w:rPr>
              <w:t>*</w:t>
            </w:r>
          </w:p>
          <w:p w14:paraId="42C03DDA" w14:textId="77777777" w:rsidR="00C068D5" w:rsidRPr="0089329C" w:rsidRDefault="00C068D5" w:rsidP="00D82442">
            <w:pPr>
              <w:jc w:val="center"/>
              <w:rPr>
                <w:sz w:val="18"/>
                <w:szCs w:val="18"/>
              </w:rPr>
            </w:pPr>
            <w:r w:rsidRPr="0089329C">
              <w:rPr>
                <w:sz w:val="18"/>
                <w:szCs w:val="18"/>
              </w:rPr>
              <w:t>0.046–0.471</w:t>
            </w:r>
          </w:p>
          <w:p w14:paraId="6411ADF5" w14:textId="77777777" w:rsidR="00C068D5" w:rsidRPr="0089329C" w:rsidRDefault="00C068D5" w:rsidP="00D82442">
            <w:pPr>
              <w:jc w:val="center"/>
              <w:rPr>
                <w:sz w:val="18"/>
                <w:szCs w:val="18"/>
              </w:rPr>
            </w:pPr>
          </w:p>
        </w:tc>
        <w:tc>
          <w:tcPr>
            <w:tcW w:w="1564" w:type="dxa"/>
            <w:vAlign w:val="center"/>
          </w:tcPr>
          <w:p w14:paraId="154B8113" w14:textId="77777777" w:rsidR="00C068D5" w:rsidRDefault="00C068D5" w:rsidP="00D82442">
            <w:pPr>
              <w:jc w:val="center"/>
              <w:rPr>
                <w:sz w:val="18"/>
                <w:szCs w:val="18"/>
              </w:rPr>
            </w:pPr>
          </w:p>
          <w:p w14:paraId="0CA36D0E" w14:textId="77777777" w:rsidR="00C068D5" w:rsidRPr="0089329C" w:rsidRDefault="00C068D5" w:rsidP="00D82442">
            <w:pPr>
              <w:jc w:val="center"/>
              <w:rPr>
                <w:sz w:val="18"/>
                <w:szCs w:val="18"/>
              </w:rPr>
            </w:pPr>
            <w:r w:rsidRPr="0089329C">
              <w:rPr>
                <w:sz w:val="18"/>
                <w:szCs w:val="18"/>
              </w:rPr>
              <w:t>0.085</w:t>
            </w:r>
          </w:p>
          <w:p w14:paraId="749B5992" w14:textId="77777777" w:rsidR="00C068D5" w:rsidRPr="0089329C" w:rsidRDefault="00C068D5" w:rsidP="00D82442">
            <w:pPr>
              <w:jc w:val="center"/>
              <w:rPr>
                <w:sz w:val="18"/>
                <w:szCs w:val="18"/>
              </w:rPr>
            </w:pPr>
            <w:r w:rsidRPr="0089329C">
              <w:rPr>
                <w:sz w:val="18"/>
                <w:szCs w:val="18"/>
              </w:rPr>
              <w:t>-0.119–0.289</w:t>
            </w:r>
          </w:p>
          <w:p w14:paraId="06C82BAE" w14:textId="77777777" w:rsidR="00C068D5" w:rsidRPr="0089329C" w:rsidRDefault="00C068D5" w:rsidP="00D82442">
            <w:pPr>
              <w:jc w:val="center"/>
              <w:rPr>
                <w:sz w:val="18"/>
                <w:szCs w:val="18"/>
              </w:rPr>
            </w:pPr>
          </w:p>
        </w:tc>
      </w:tr>
      <w:tr w:rsidR="00C068D5" w:rsidRPr="0089329C" w14:paraId="11935992" w14:textId="77777777" w:rsidTr="00D82442">
        <w:tc>
          <w:tcPr>
            <w:tcW w:w="1116" w:type="dxa"/>
            <w:vMerge w:val="restart"/>
          </w:tcPr>
          <w:p w14:paraId="6A9256B6" w14:textId="77777777" w:rsidR="00C068D5" w:rsidRPr="0089329C" w:rsidRDefault="00C068D5" w:rsidP="00D82442">
            <w:pPr>
              <w:rPr>
                <w:sz w:val="18"/>
                <w:szCs w:val="18"/>
              </w:rPr>
            </w:pPr>
          </w:p>
          <w:p w14:paraId="0B156202" w14:textId="77777777" w:rsidR="00C068D5" w:rsidRPr="0089329C" w:rsidRDefault="00C068D5" w:rsidP="00D82442">
            <w:pPr>
              <w:rPr>
                <w:sz w:val="18"/>
                <w:szCs w:val="18"/>
              </w:rPr>
            </w:pPr>
          </w:p>
          <w:p w14:paraId="4E5D8AB1" w14:textId="77777777" w:rsidR="00C068D5" w:rsidRPr="0089329C" w:rsidRDefault="00C068D5" w:rsidP="00D82442">
            <w:pPr>
              <w:rPr>
                <w:sz w:val="18"/>
                <w:szCs w:val="18"/>
              </w:rPr>
            </w:pPr>
          </w:p>
          <w:p w14:paraId="759E8954" w14:textId="77777777" w:rsidR="00C068D5" w:rsidRPr="0089329C" w:rsidRDefault="00C068D5" w:rsidP="00D82442">
            <w:pPr>
              <w:rPr>
                <w:sz w:val="18"/>
                <w:szCs w:val="18"/>
              </w:rPr>
            </w:pPr>
          </w:p>
          <w:p w14:paraId="5E076455" w14:textId="77777777" w:rsidR="00C068D5" w:rsidRPr="0089329C" w:rsidRDefault="00C068D5" w:rsidP="00D82442">
            <w:pPr>
              <w:rPr>
                <w:sz w:val="18"/>
                <w:szCs w:val="18"/>
              </w:rPr>
            </w:pPr>
            <w:r w:rsidRPr="0089329C">
              <w:rPr>
                <w:sz w:val="18"/>
                <w:szCs w:val="18"/>
              </w:rPr>
              <w:t>MZ twin</w:t>
            </w:r>
          </w:p>
        </w:tc>
        <w:tc>
          <w:tcPr>
            <w:tcW w:w="1451" w:type="dxa"/>
          </w:tcPr>
          <w:p w14:paraId="5CA104CB" w14:textId="77777777" w:rsidR="00C068D5" w:rsidRPr="0089329C" w:rsidRDefault="00C068D5" w:rsidP="00D82442">
            <w:pPr>
              <w:rPr>
                <w:sz w:val="18"/>
                <w:szCs w:val="18"/>
              </w:rPr>
            </w:pPr>
          </w:p>
          <w:p w14:paraId="2841B983" w14:textId="77777777" w:rsidR="00C068D5" w:rsidRPr="0089329C" w:rsidRDefault="00C068D5" w:rsidP="00D82442">
            <w:pPr>
              <w:rPr>
                <w:sz w:val="18"/>
                <w:szCs w:val="18"/>
              </w:rPr>
            </w:pPr>
            <w:r w:rsidRPr="0089329C">
              <w:rPr>
                <w:sz w:val="18"/>
                <w:szCs w:val="18"/>
              </w:rPr>
              <w:t>Childhood</w:t>
            </w:r>
          </w:p>
          <w:p w14:paraId="7C76A14A" w14:textId="77777777" w:rsidR="00C068D5" w:rsidRPr="0089329C" w:rsidRDefault="00C068D5" w:rsidP="00D82442">
            <w:pPr>
              <w:rPr>
                <w:sz w:val="18"/>
                <w:szCs w:val="18"/>
              </w:rPr>
            </w:pPr>
            <w:r w:rsidRPr="0089329C">
              <w:rPr>
                <w:sz w:val="18"/>
                <w:szCs w:val="18"/>
              </w:rPr>
              <w:t xml:space="preserve">Gender </w:t>
            </w:r>
          </w:p>
          <w:p w14:paraId="6E1697C1" w14:textId="77777777" w:rsidR="00C068D5" w:rsidRPr="0089329C" w:rsidRDefault="00C068D5" w:rsidP="00D82442">
            <w:pPr>
              <w:rPr>
                <w:sz w:val="18"/>
                <w:szCs w:val="18"/>
              </w:rPr>
            </w:pPr>
            <w:r w:rsidRPr="0089329C">
              <w:rPr>
                <w:sz w:val="18"/>
                <w:szCs w:val="18"/>
              </w:rPr>
              <w:t>Nonconformity</w:t>
            </w:r>
          </w:p>
          <w:p w14:paraId="73C8BB53" w14:textId="77777777" w:rsidR="00C068D5" w:rsidRPr="0089329C" w:rsidRDefault="00C068D5" w:rsidP="00D82442">
            <w:pPr>
              <w:rPr>
                <w:sz w:val="18"/>
                <w:szCs w:val="18"/>
              </w:rPr>
            </w:pPr>
          </w:p>
        </w:tc>
        <w:tc>
          <w:tcPr>
            <w:tcW w:w="726" w:type="dxa"/>
            <w:vAlign w:val="center"/>
          </w:tcPr>
          <w:p w14:paraId="76C754DD" w14:textId="77777777" w:rsidR="00C068D5" w:rsidRPr="0089329C" w:rsidRDefault="00C068D5" w:rsidP="00D82442">
            <w:pPr>
              <w:jc w:val="center"/>
              <w:rPr>
                <w:sz w:val="18"/>
                <w:szCs w:val="18"/>
              </w:rPr>
            </w:pPr>
            <w:r w:rsidRPr="0089329C">
              <w:rPr>
                <w:sz w:val="18"/>
                <w:szCs w:val="18"/>
              </w:rPr>
              <w:t>8</w:t>
            </w:r>
          </w:p>
        </w:tc>
        <w:tc>
          <w:tcPr>
            <w:tcW w:w="1574" w:type="dxa"/>
            <w:vAlign w:val="center"/>
          </w:tcPr>
          <w:p w14:paraId="580F89E9" w14:textId="77777777" w:rsidR="00C068D5" w:rsidRPr="0089329C" w:rsidRDefault="00C068D5" w:rsidP="00D82442">
            <w:pPr>
              <w:jc w:val="center"/>
              <w:rPr>
                <w:sz w:val="18"/>
                <w:szCs w:val="18"/>
              </w:rPr>
            </w:pPr>
            <w:r w:rsidRPr="0089329C">
              <w:rPr>
                <w:sz w:val="18"/>
                <w:szCs w:val="18"/>
              </w:rPr>
              <w:t>0.541</w:t>
            </w:r>
            <w:r>
              <w:rPr>
                <w:sz w:val="18"/>
                <w:szCs w:val="18"/>
              </w:rPr>
              <w:t>*</w:t>
            </w:r>
          </w:p>
          <w:p w14:paraId="672A9193" w14:textId="77777777" w:rsidR="00C068D5" w:rsidRPr="0089329C" w:rsidRDefault="00C068D5" w:rsidP="00D82442">
            <w:pPr>
              <w:jc w:val="center"/>
              <w:rPr>
                <w:sz w:val="18"/>
                <w:szCs w:val="18"/>
              </w:rPr>
            </w:pPr>
            <w:r w:rsidRPr="0089329C">
              <w:rPr>
                <w:sz w:val="18"/>
                <w:szCs w:val="18"/>
              </w:rPr>
              <w:t>0.123–0.958</w:t>
            </w:r>
          </w:p>
        </w:tc>
        <w:tc>
          <w:tcPr>
            <w:tcW w:w="1338" w:type="dxa"/>
            <w:vAlign w:val="center"/>
          </w:tcPr>
          <w:p w14:paraId="671F9DC0" w14:textId="77777777" w:rsidR="00C068D5" w:rsidRPr="0089329C" w:rsidRDefault="00C068D5" w:rsidP="00D82442">
            <w:pPr>
              <w:jc w:val="center"/>
              <w:rPr>
                <w:sz w:val="18"/>
                <w:szCs w:val="18"/>
              </w:rPr>
            </w:pPr>
            <w:r w:rsidRPr="0089329C">
              <w:rPr>
                <w:sz w:val="18"/>
                <w:szCs w:val="18"/>
              </w:rPr>
              <w:t>0.277</w:t>
            </w:r>
          </w:p>
          <w:p w14:paraId="42F3B76D" w14:textId="77777777" w:rsidR="00C068D5" w:rsidRPr="0089329C" w:rsidRDefault="00C068D5" w:rsidP="00D82442">
            <w:pPr>
              <w:jc w:val="center"/>
              <w:rPr>
                <w:sz w:val="18"/>
                <w:szCs w:val="18"/>
              </w:rPr>
            </w:pPr>
            <w:r w:rsidRPr="0089329C">
              <w:rPr>
                <w:sz w:val="18"/>
                <w:szCs w:val="18"/>
              </w:rPr>
              <w:t>-0.464–1.019</w:t>
            </w:r>
          </w:p>
        </w:tc>
        <w:tc>
          <w:tcPr>
            <w:tcW w:w="1307" w:type="dxa"/>
            <w:vAlign w:val="center"/>
          </w:tcPr>
          <w:p w14:paraId="1AD0A0EC" w14:textId="77777777" w:rsidR="00C068D5" w:rsidRPr="0089329C" w:rsidRDefault="00C068D5" w:rsidP="00D82442">
            <w:pPr>
              <w:jc w:val="center"/>
              <w:rPr>
                <w:sz w:val="18"/>
                <w:szCs w:val="18"/>
              </w:rPr>
            </w:pPr>
            <w:r w:rsidRPr="0089329C">
              <w:rPr>
                <w:sz w:val="18"/>
                <w:szCs w:val="18"/>
              </w:rPr>
              <w:t>0.418</w:t>
            </w:r>
          </w:p>
          <w:p w14:paraId="50BA4CC8" w14:textId="77777777" w:rsidR="00C068D5" w:rsidRPr="0089329C" w:rsidRDefault="00C068D5" w:rsidP="00D82442">
            <w:pPr>
              <w:jc w:val="center"/>
              <w:rPr>
                <w:sz w:val="18"/>
                <w:szCs w:val="18"/>
              </w:rPr>
            </w:pPr>
            <w:r w:rsidRPr="0089329C">
              <w:rPr>
                <w:sz w:val="18"/>
                <w:szCs w:val="18"/>
              </w:rPr>
              <w:t>-0.353–1.189</w:t>
            </w:r>
          </w:p>
        </w:tc>
        <w:tc>
          <w:tcPr>
            <w:tcW w:w="702" w:type="dxa"/>
            <w:vAlign w:val="center"/>
          </w:tcPr>
          <w:p w14:paraId="162086B3" w14:textId="77777777" w:rsidR="00C068D5" w:rsidRPr="0089329C" w:rsidRDefault="00C068D5" w:rsidP="00D82442">
            <w:pPr>
              <w:jc w:val="center"/>
              <w:rPr>
                <w:sz w:val="18"/>
                <w:szCs w:val="18"/>
              </w:rPr>
            </w:pPr>
          </w:p>
        </w:tc>
        <w:tc>
          <w:tcPr>
            <w:tcW w:w="1680" w:type="dxa"/>
            <w:vAlign w:val="center"/>
          </w:tcPr>
          <w:p w14:paraId="78DC4608" w14:textId="77777777" w:rsidR="00C068D5" w:rsidRPr="0089329C" w:rsidRDefault="00C068D5" w:rsidP="00D82442">
            <w:pPr>
              <w:jc w:val="center"/>
              <w:rPr>
                <w:sz w:val="18"/>
                <w:szCs w:val="18"/>
              </w:rPr>
            </w:pPr>
          </w:p>
        </w:tc>
        <w:tc>
          <w:tcPr>
            <w:tcW w:w="1492" w:type="dxa"/>
            <w:vAlign w:val="center"/>
          </w:tcPr>
          <w:p w14:paraId="3577AC46" w14:textId="77777777" w:rsidR="00C068D5" w:rsidRPr="0089329C" w:rsidRDefault="00C068D5" w:rsidP="00D82442">
            <w:pPr>
              <w:jc w:val="center"/>
              <w:rPr>
                <w:sz w:val="18"/>
                <w:szCs w:val="18"/>
              </w:rPr>
            </w:pPr>
          </w:p>
        </w:tc>
        <w:tc>
          <w:tcPr>
            <w:tcW w:w="1564" w:type="dxa"/>
            <w:vAlign w:val="center"/>
          </w:tcPr>
          <w:p w14:paraId="4B18CD93" w14:textId="77777777" w:rsidR="00C068D5" w:rsidRPr="0089329C" w:rsidRDefault="00C068D5" w:rsidP="00D82442">
            <w:pPr>
              <w:jc w:val="center"/>
              <w:rPr>
                <w:sz w:val="18"/>
                <w:szCs w:val="18"/>
              </w:rPr>
            </w:pPr>
          </w:p>
        </w:tc>
      </w:tr>
      <w:tr w:rsidR="00C068D5" w:rsidRPr="0089329C" w14:paraId="72FCEC0B" w14:textId="77777777" w:rsidTr="00D82442">
        <w:tc>
          <w:tcPr>
            <w:tcW w:w="1116" w:type="dxa"/>
            <w:vMerge/>
          </w:tcPr>
          <w:p w14:paraId="5CDFEF5C" w14:textId="77777777" w:rsidR="00C068D5" w:rsidRPr="0089329C" w:rsidRDefault="00C068D5" w:rsidP="00D82442">
            <w:pPr>
              <w:rPr>
                <w:sz w:val="18"/>
                <w:szCs w:val="18"/>
              </w:rPr>
            </w:pPr>
          </w:p>
        </w:tc>
        <w:tc>
          <w:tcPr>
            <w:tcW w:w="1451" w:type="dxa"/>
          </w:tcPr>
          <w:p w14:paraId="15EE748A" w14:textId="77777777" w:rsidR="00C068D5" w:rsidRPr="0089329C" w:rsidRDefault="00C068D5" w:rsidP="00D82442">
            <w:pPr>
              <w:rPr>
                <w:sz w:val="18"/>
                <w:szCs w:val="18"/>
              </w:rPr>
            </w:pPr>
          </w:p>
          <w:p w14:paraId="77F99CFC" w14:textId="77777777" w:rsidR="00C068D5" w:rsidRPr="0089329C" w:rsidRDefault="00C068D5" w:rsidP="00D82442">
            <w:pPr>
              <w:rPr>
                <w:sz w:val="18"/>
                <w:szCs w:val="18"/>
              </w:rPr>
            </w:pPr>
            <w:r w:rsidRPr="0089329C">
              <w:rPr>
                <w:sz w:val="18"/>
                <w:szCs w:val="18"/>
              </w:rPr>
              <w:t>Adult</w:t>
            </w:r>
          </w:p>
          <w:p w14:paraId="3E085AFF" w14:textId="77777777" w:rsidR="00C068D5" w:rsidRPr="0089329C" w:rsidRDefault="00C068D5" w:rsidP="00D82442">
            <w:pPr>
              <w:rPr>
                <w:sz w:val="18"/>
                <w:szCs w:val="18"/>
              </w:rPr>
            </w:pPr>
            <w:r w:rsidRPr="0089329C">
              <w:rPr>
                <w:sz w:val="18"/>
                <w:szCs w:val="18"/>
              </w:rPr>
              <w:t xml:space="preserve">Gender </w:t>
            </w:r>
          </w:p>
          <w:p w14:paraId="6197AE65" w14:textId="77777777" w:rsidR="00C068D5" w:rsidRPr="0089329C" w:rsidRDefault="00C068D5" w:rsidP="00D82442">
            <w:pPr>
              <w:rPr>
                <w:sz w:val="18"/>
                <w:szCs w:val="18"/>
              </w:rPr>
            </w:pPr>
            <w:r w:rsidRPr="0089329C">
              <w:rPr>
                <w:sz w:val="18"/>
                <w:szCs w:val="18"/>
              </w:rPr>
              <w:t>Nonconformity</w:t>
            </w:r>
          </w:p>
          <w:p w14:paraId="130A36A8" w14:textId="77777777" w:rsidR="00C068D5" w:rsidRPr="0089329C" w:rsidRDefault="00C068D5" w:rsidP="00D82442">
            <w:pPr>
              <w:rPr>
                <w:sz w:val="18"/>
                <w:szCs w:val="18"/>
              </w:rPr>
            </w:pPr>
          </w:p>
        </w:tc>
        <w:tc>
          <w:tcPr>
            <w:tcW w:w="726" w:type="dxa"/>
            <w:vAlign w:val="center"/>
          </w:tcPr>
          <w:p w14:paraId="09DF75F8" w14:textId="77777777" w:rsidR="00C068D5" w:rsidRPr="0089329C" w:rsidRDefault="00C068D5" w:rsidP="00D82442">
            <w:pPr>
              <w:jc w:val="center"/>
              <w:rPr>
                <w:sz w:val="18"/>
                <w:szCs w:val="18"/>
              </w:rPr>
            </w:pPr>
            <w:r w:rsidRPr="0089329C">
              <w:rPr>
                <w:sz w:val="18"/>
                <w:szCs w:val="18"/>
              </w:rPr>
              <w:t>8</w:t>
            </w:r>
          </w:p>
        </w:tc>
        <w:tc>
          <w:tcPr>
            <w:tcW w:w="1574" w:type="dxa"/>
            <w:vAlign w:val="center"/>
          </w:tcPr>
          <w:p w14:paraId="5CBD61A4" w14:textId="77777777" w:rsidR="00C068D5" w:rsidRPr="0089329C" w:rsidRDefault="00C068D5" w:rsidP="00D82442">
            <w:pPr>
              <w:jc w:val="center"/>
              <w:rPr>
                <w:sz w:val="18"/>
                <w:szCs w:val="18"/>
              </w:rPr>
            </w:pPr>
            <w:r w:rsidRPr="0089329C">
              <w:rPr>
                <w:sz w:val="18"/>
                <w:szCs w:val="18"/>
              </w:rPr>
              <w:t>0.342</w:t>
            </w:r>
          </w:p>
          <w:p w14:paraId="6857B368" w14:textId="77777777" w:rsidR="00C068D5" w:rsidRPr="0089329C" w:rsidRDefault="00C068D5" w:rsidP="00D82442">
            <w:pPr>
              <w:jc w:val="center"/>
              <w:rPr>
                <w:sz w:val="18"/>
                <w:szCs w:val="18"/>
              </w:rPr>
            </w:pPr>
            <w:r w:rsidRPr="0089329C">
              <w:rPr>
                <w:sz w:val="18"/>
                <w:szCs w:val="18"/>
              </w:rPr>
              <w:t>-0.991–1.674</w:t>
            </w:r>
          </w:p>
        </w:tc>
        <w:tc>
          <w:tcPr>
            <w:tcW w:w="1338" w:type="dxa"/>
            <w:vAlign w:val="center"/>
          </w:tcPr>
          <w:p w14:paraId="078A8D07" w14:textId="77777777" w:rsidR="00C068D5" w:rsidRPr="0089329C" w:rsidRDefault="00C068D5" w:rsidP="00D82442">
            <w:pPr>
              <w:jc w:val="center"/>
              <w:rPr>
                <w:sz w:val="18"/>
                <w:szCs w:val="18"/>
              </w:rPr>
            </w:pPr>
            <w:r w:rsidRPr="0089329C">
              <w:rPr>
                <w:sz w:val="18"/>
                <w:szCs w:val="18"/>
              </w:rPr>
              <w:t>1.481</w:t>
            </w:r>
            <w:r>
              <w:rPr>
                <w:sz w:val="18"/>
                <w:szCs w:val="18"/>
              </w:rPr>
              <w:t>*</w:t>
            </w:r>
          </w:p>
          <w:p w14:paraId="6950FCC3" w14:textId="77777777" w:rsidR="00C068D5" w:rsidRPr="0089329C" w:rsidRDefault="00C068D5" w:rsidP="00D82442">
            <w:pPr>
              <w:jc w:val="center"/>
              <w:rPr>
                <w:sz w:val="18"/>
                <w:szCs w:val="18"/>
              </w:rPr>
            </w:pPr>
            <w:r w:rsidRPr="0089329C">
              <w:rPr>
                <w:sz w:val="18"/>
                <w:szCs w:val="18"/>
              </w:rPr>
              <w:t>0.112–2.849</w:t>
            </w:r>
          </w:p>
        </w:tc>
        <w:tc>
          <w:tcPr>
            <w:tcW w:w="1307" w:type="dxa"/>
            <w:vAlign w:val="center"/>
          </w:tcPr>
          <w:p w14:paraId="62FDC005" w14:textId="77777777" w:rsidR="00C068D5" w:rsidRPr="0089329C" w:rsidRDefault="00C068D5" w:rsidP="00D82442">
            <w:pPr>
              <w:jc w:val="center"/>
              <w:rPr>
                <w:sz w:val="18"/>
                <w:szCs w:val="18"/>
              </w:rPr>
            </w:pPr>
            <w:r w:rsidRPr="0089329C">
              <w:rPr>
                <w:sz w:val="18"/>
                <w:szCs w:val="18"/>
              </w:rPr>
              <w:t>1.449</w:t>
            </w:r>
            <w:r>
              <w:rPr>
                <w:sz w:val="18"/>
                <w:szCs w:val="18"/>
              </w:rPr>
              <w:t>*</w:t>
            </w:r>
          </w:p>
          <w:p w14:paraId="3BBC7155" w14:textId="77777777" w:rsidR="00C068D5" w:rsidRPr="0089329C" w:rsidRDefault="00C068D5" w:rsidP="00D82442">
            <w:pPr>
              <w:jc w:val="center"/>
              <w:rPr>
                <w:sz w:val="18"/>
                <w:szCs w:val="18"/>
              </w:rPr>
            </w:pPr>
            <w:r w:rsidRPr="0089329C">
              <w:rPr>
                <w:sz w:val="18"/>
                <w:szCs w:val="18"/>
              </w:rPr>
              <w:t>0.160–2.739</w:t>
            </w:r>
          </w:p>
        </w:tc>
        <w:tc>
          <w:tcPr>
            <w:tcW w:w="702" w:type="dxa"/>
            <w:vAlign w:val="center"/>
          </w:tcPr>
          <w:p w14:paraId="4754AAD6" w14:textId="77777777" w:rsidR="00C068D5" w:rsidRPr="0089329C" w:rsidRDefault="00C068D5" w:rsidP="00D82442">
            <w:pPr>
              <w:jc w:val="center"/>
              <w:rPr>
                <w:sz w:val="18"/>
                <w:szCs w:val="18"/>
              </w:rPr>
            </w:pPr>
          </w:p>
        </w:tc>
        <w:tc>
          <w:tcPr>
            <w:tcW w:w="1680" w:type="dxa"/>
            <w:vAlign w:val="center"/>
          </w:tcPr>
          <w:p w14:paraId="162AAF3C" w14:textId="77777777" w:rsidR="00C068D5" w:rsidRPr="0089329C" w:rsidRDefault="00C068D5" w:rsidP="00D82442">
            <w:pPr>
              <w:jc w:val="center"/>
              <w:rPr>
                <w:sz w:val="18"/>
                <w:szCs w:val="18"/>
              </w:rPr>
            </w:pPr>
          </w:p>
        </w:tc>
        <w:tc>
          <w:tcPr>
            <w:tcW w:w="1492" w:type="dxa"/>
            <w:vAlign w:val="center"/>
          </w:tcPr>
          <w:p w14:paraId="7E913BF4" w14:textId="77777777" w:rsidR="00C068D5" w:rsidRPr="0089329C" w:rsidRDefault="00C068D5" w:rsidP="00D82442">
            <w:pPr>
              <w:jc w:val="center"/>
              <w:rPr>
                <w:sz w:val="18"/>
                <w:szCs w:val="18"/>
              </w:rPr>
            </w:pPr>
          </w:p>
        </w:tc>
        <w:tc>
          <w:tcPr>
            <w:tcW w:w="1564" w:type="dxa"/>
            <w:vAlign w:val="center"/>
          </w:tcPr>
          <w:p w14:paraId="24B5F175" w14:textId="77777777" w:rsidR="00C068D5" w:rsidRPr="0089329C" w:rsidRDefault="00C068D5" w:rsidP="00D82442">
            <w:pPr>
              <w:jc w:val="center"/>
              <w:rPr>
                <w:sz w:val="18"/>
                <w:szCs w:val="18"/>
              </w:rPr>
            </w:pPr>
          </w:p>
        </w:tc>
      </w:tr>
      <w:tr w:rsidR="00C068D5" w:rsidRPr="0089329C" w14:paraId="62145821" w14:textId="77777777" w:rsidTr="00D82442">
        <w:tc>
          <w:tcPr>
            <w:tcW w:w="1116" w:type="dxa"/>
            <w:vMerge w:val="restart"/>
          </w:tcPr>
          <w:p w14:paraId="6BF85A54" w14:textId="77777777" w:rsidR="00C068D5" w:rsidRPr="0089329C" w:rsidRDefault="00C068D5" w:rsidP="00D82442">
            <w:pPr>
              <w:rPr>
                <w:sz w:val="18"/>
                <w:szCs w:val="18"/>
              </w:rPr>
            </w:pPr>
          </w:p>
          <w:p w14:paraId="31AE3DEE" w14:textId="77777777" w:rsidR="00C068D5" w:rsidRPr="0089329C" w:rsidRDefault="00C068D5" w:rsidP="00D82442">
            <w:pPr>
              <w:rPr>
                <w:sz w:val="18"/>
                <w:szCs w:val="18"/>
              </w:rPr>
            </w:pPr>
          </w:p>
          <w:p w14:paraId="048A9F38" w14:textId="77777777" w:rsidR="00C068D5" w:rsidRPr="0089329C" w:rsidRDefault="00C068D5" w:rsidP="00D82442">
            <w:pPr>
              <w:rPr>
                <w:sz w:val="18"/>
                <w:szCs w:val="18"/>
              </w:rPr>
            </w:pPr>
          </w:p>
          <w:p w14:paraId="550ACCF5" w14:textId="77777777" w:rsidR="00C068D5" w:rsidRPr="0089329C" w:rsidRDefault="00C068D5" w:rsidP="00D82442">
            <w:pPr>
              <w:rPr>
                <w:sz w:val="18"/>
                <w:szCs w:val="18"/>
              </w:rPr>
            </w:pPr>
          </w:p>
          <w:p w14:paraId="1A65B3E4" w14:textId="77777777" w:rsidR="00C068D5" w:rsidRPr="0089329C" w:rsidRDefault="00C068D5" w:rsidP="00D82442">
            <w:pPr>
              <w:rPr>
                <w:sz w:val="18"/>
                <w:szCs w:val="18"/>
              </w:rPr>
            </w:pPr>
            <w:r w:rsidRPr="0089329C">
              <w:rPr>
                <w:sz w:val="18"/>
                <w:szCs w:val="18"/>
              </w:rPr>
              <w:t>Half sibling</w:t>
            </w:r>
          </w:p>
        </w:tc>
        <w:tc>
          <w:tcPr>
            <w:tcW w:w="1451" w:type="dxa"/>
          </w:tcPr>
          <w:p w14:paraId="4AB2DFFC" w14:textId="77777777" w:rsidR="00C068D5" w:rsidRPr="0089329C" w:rsidRDefault="00C068D5" w:rsidP="00D82442">
            <w:pPr>
              <w:rPr>
                <w:sz w:val="18"/>
                <w:szCs w:val="18"/>
              </w:rPr>
            </w:pPr>
          </w:p>
          <w:p w14:paraId="4B479C31" w14:textId="77777777" w:rsidR="00C068D5" w:rsidRPr="0089329C" w:rsidRDefault="00C068D5" w:rsidP="00D82442">
            <w:pPr>
              <w:rPr>
                <w:sz w:val="18"/>
                <w:szCs w:val="18"/>
              </w:rPr>
            </w:pPr>
            <w:r w:rsidRPr="0089329C">
              <w:rPr>
                <w:sz w:val="18"/>
                <w:szCs w:val="18"/>
              </w:rPr>
              <w:t>Childhood</w:t>
            </w:r>
          </w:p>
          <w:p w14:paraId="153FCEE2" w14:textId="77777777" w:rsidR="00C068D5" w:rsidRPr="0089329C" w:rsidRDefault="00C068D5" w:rsidP="00D82442">
            <w:pPr>
              <w:rPr>
                <w:sz w:val="18"/>
                <w:szCs w:val="18"/>
              </w:rPr>
            </w:pPr>
            <w:r w:rsidRPr="0089329C">
              <w:rPr>
                <w:sz w:val="18"/>
                <w:szCs w:val="18"/>
              </w:rPr>
              <w:t xml:space="preserve">Gender </w:t>
            </w:r>
          </w:p>
          <w:p w14:paraId="4BF067BA" w14:textId="77777777" w:rsidR="00C068D5" w:rsidRPr="0089329C" w:rsidRDefault="00C068D5" w:rsidP="00D82442">
            <w:pPr>
              <w:rPr>
                <w:sz w:val="18"/>
                <w:szCs w:val="18"/>
              </w:rPr>
            </w:pPr>
            <w:r w:rsidRPr="0089329C">
              <w:rPr>
                <w:sz w:val="18"/>
                <w:szCs w:val="18"/>
              </w:rPr>
              <w:t>Nonconformity</w:t>
            </w:r>
          </w:p>
          <w:p w14:paraId="60C82A2D" w14:textId="77777777" w:rsidR="00C068D5" w:rsidRPr="0089329C" w:rsidRDefault="00C068D5" w:rsidP="00D82442">
            <w:pPr>
              <w:rPr>
                <w:sz w:val="18"/>
                <w:szCs w:val="18"/>
              </w:rPr>
            </w:pPr>
          </w:p>
        </w:tc>
        <w:tc>
          <w:tcPr>
            <w:tcW w:w="726" w:type="dxa"/>
            <w:vAlign w:val="center"/>
          </w:tcPr>
          <w:p w14:paraId="7A06F7DB" w14:textId="77777777" w:rsidR="00C068D5" w:rsidRPr="0089329C" w:rsidRDefault="00C068D5" w:rsidP="00D82442">
            <w:pPr>
              <w:jc w:val="center"/>
              <w:rPr>
                <w:sz w:val="18"/>
                <w:szCs w:val="18"/>
              </w:rPr>
            </w:pPr>
            <w:r w:rsidRPr="0089329C">
              <w:rPr>
                <w:sz w:val="18"/>
                <w:szCs w:val="18"/>
              </w:rPr>
              <w:t>31</w:t>
            </w:r>
          </w:p>
        </w:tc>
        <w:tc>
          <w:tcPr>
            <w:tcW w:w="1574" w:type="dxa"/>
            <w:vAlign w:val="center"/>
          </w:tcPr>
          <w:p w14:paraId="785F81E5" w14:textId="77777777" w:rsidR="00C068D5" w:rsidRDefault="00C068D5" w:rsidP="00D82442">
            <w:pPr>
              <w:jc w:val="center"/>
              <w:rPr>
                <w:sz w:val="18"/>
                <w:szCs w:val="18"/>
              </w:rPr>
            </w:pPr>
          </w:p>
          <w:p w14:paraId="0307196B" w14:textId="77777777" w:rsidR="00C068D5" w:rsidRPr="0089329C" w:rsidRDefault="00C068D5" w:rsidP="00D82442">
            <w:pPr>
              <w:jc w:val="center"/>
              <w:rPr>
                <w:sz w:val="18"/>
                <w:szCs w:val="18"/>
              </w:rPr>
            </w:pPr>
            <w:r w:rsidRPr="0089329C">
              <w:rPr>
                <w:sz w:val="18"/>
                <w:szCs w:val="18"/>
              </w:rPr>
              <w:t>0.160</w:t>
            </w:r>
          </w:p>
          <w:p w14:paraId="4266CEA6" w14:textId="77777777" w:rsidR="00C068D5" w:rsidRDefault="00C068D5" w:rsidP="00D82442">
            <w:pPr>
              <w:jc w:val="center"/>
              <w:rPr>
                <w:sz w:val="18"/>
                <w:szCs w:val="18"/>
              </w:rPr>
            </w:pPr>
            <w:r w:rsidRPr="0089329C">
              <w:rPr>
                <w:sz w:val="18"/>
                <w:szCs w:val="18"/>
              </w:rPr>
              <w:t>-0.245–0.410</w:t>
            </w:r>
          </w:p>
          <w:p w14:paraId="7D1299A9" w14:textId="77777777" w:rsidR="00C068D5" w:rsidRPr="0089329C" w:rsidRDefault="00C068D5" w:rsidP="00D82442">
            <w:pPr>
              <w:jc w:val="center"/>
              <w:rPr>
                <w:sz w:val="18"/>
                <w:szCs w:val="18"/>
              </w:rPr>
            </w:pPr>
          </w:p>
        </w:tc>
        <w:tc>
          <w:tcPr>
            <w:tcW w:w="1338" w:type="dxa"/>
            <w:vAlign w:val="center"/>
          </w:tcPr>
          <w:p w14:paraId="4D9DD3B1" w14:textId="77777777" w:rsidR="00C068D5" w:rsidRDefault="00C068D5" w:rsidP="00D82442">
            <w:pPr>
              <w:jc w:val="center"/>
              <w:rPr>
                <w:sz w:val="18"/>
                <w:szCs w:val="18"/>
              </w:rPr>
            </w:pPr>
          </w:p>
          <w:p w14:paraId="3ACF0B56" w14:textId="77777777" w:rsidR="00C068D5" w:rsidRPr="0089329C" w:rsidRDefault="00C068D5" w:rsidP="00D82442">
            <w:pPr>
              <w:jc w:val="center"/>
              <w:rPr>
                <w:sz w:val="18"/>
                <w:szCs w:val="18"/>
              </w:rPr>
            </w:pPr>
            <w:r w:rsidRPr="0089329C">
              <w:rPr>
                <w:sz w:val="18"/>
                <w:szCs w:val="18"/>
              </w:rPr>
              <w:t>0.210</w:t>
            </w:r>
          </w:p>
          <w:p w14:paraId="33F2BA82" w14:textId="77777777" w:rsidR="00C068D5" w:rsidRDefault="00C068D5" w:rsidP="00D82442">
            <w:pPr>
              <w:jc w:val="center"/>
              <w:rPr>
                <w:sz w:val="18"/>
                <w:szCs w:val="18"/>
              </w:rPr>
            </w:pPr>
            <w:r w:rsidRPr="0089329C">
              <w:rPr>
                <w:sz w:val="18"/>
                <w:szCs w:val="18"/>
              </w:rPr>
              <w:t>-0.316–0.540</w:t>
            </w:r>
          </w:p>
          <w:p w14:paraId="01E9E605" w14:textId="77777777" w:rsidR="00C068D5" w:rsidRPr="0089329C" w:rsidRDefault="00C068D5" w:rsidP="00D82442">
            <w:pPr>
              <w:jc w:val="center"/>
              <w:rPr>
                <w:sz w:val="18"/>
                <w:szCs w:val="18"/>
              </w:rPr>
            </w:pPr>
          </w:p>
        </w:tc>
        <w:tc>
          <w:tcPr>
            <w:tcW w:w="1307" w:type="dxa"/>
            <w:vAlign w:val="center"/>
          </w:tcPr>
          <w:p w14:paraId="052A0AA9" w14:textId="77777777" w:rsidR="00C068D5" w:rsidRDefault="00C068D5" w:rsidP="00D82442">
            <w:pPr>
              <w:jc w:val="center"/>
              <w:rPr>
                <w:sz w:val="18"/>
                <w:szCs w:val="18"/>
              </w:rPr>
            </w:pPr>
          </w:p>
          <w:p w14:paraId="38E7BBC1" w14:textId="77777777" w:rsidR="00C068D5" w:rsidRPr="0089329C" w:rsidRDefault="00C068D5" w:rsidP="00D82442">
            <w:pPr>
              <w:jc w:val="center"/>
              <w:rPr>
                <w:sz w:val="18"/>
                <w:szCs w:val="18"/>
              </w:rPr>
            </w:pPr>
            <w:r w:rsidRPr="0089329C">
              <w:rPr>
                <w:sz w:val="18"/>
                <w:szCs w:val="18"/>
              </w:rPr>
              <w:t>0.193</w:t>
            </w:r>
          </w:p>
          <w:p w14:paraId="2D1ABB17" w14:textId="77777777" w:rsidR="00C068D5" w:rsidRDefault="00C068D5" w:rsidP="00D82442">
            <w:pPr>
              <w:jc w:val="center"/>
              <w:rPr>
                <w:sz w:val="18"/>
                <w:szCs w:val="18"/>
              </w:rPr>
            </w:pPr>
            <w:r w:rsidRPr="0089329C">
              <w:rPr>
                <w:sz w:val="18"/>
                <w:szCs w:val="18"/>
              </w:rPr>
              <w:t>-0.189–0.603</w:t>
            </w:r>
          </w:p>
          <w:p w14:paraId="75881FB1" w14:textId="77777777" w:rsidR="00C068D5" w:rsidRPr="0089329C" w:rsidRDefault="00C068D5" w:rsidP="00D82442">
            <w:pPr>
              <w:jc w:val="center"/>
              <w:rPr>
                <w:sz w:val="18"/>
                <w:szCs w:val="18"/>
              </w:rPr>
            </w:pPr>
          </w:p>
        </w:tc>
        <w:tc>
          <w:tcPr>
            <w:tcW w:w="702" w:type="dxa"/>
            <w:vAlign w:val="center"/>
          </w:tcPr>
          <w:p w14:paraId="0234CE4D" w14:textId="77777777" w:rsidR="00C068D5" w:rsidRPr="0089329C" w:rsidRDefault="00C068D5" w:rsidP="00D82442">
            <w:pPr>
              <w:jc w:val="center"/>
              <w:rPr>
                <w:sz w:val="18"/>
                <w:szCs w:val="18"/>
              </w:rPr>
            </w:pPr>
          </w:p>
        </w:tc>
        <w:tc>
          <w:tcPr>
            <w:tcW w:w="1680" w:type="dxa"/>
            <w:vAlign w:val="center"/>
          </w:tcPr>
          <w:p w14:paraId="3EDB2355" w14:textId="77777777" w:rsidR="00C068D5" w:rsidRPr="0089329C" w:rsidRDefault="00C068D5" w:rsidP="00D82442">
            <w:pPr>
              <w:jc w:val="center"/>
              <w:rPr>
                <w:sz w:val="18"/>
                <w:szCs w:val="18"/>
              </w:rPr>
            </w:pPr>
          </w:p>
        </w:tc>
        <w:tc>
          <w:tcPr>
            <w:tcW w:w="1492" w:type="dxa"/>
            <w:vAlign w:val="center"/>
          </w:tcPr>
          <w:p w14:paraId="77E75908" w14:textId="77777777" w:rsidR="00C068D5" w:rsidRPr="0089329C" w:rsidRDefault="00C068D5" w:rsidP="00D82442">
            <w:pPr>
              <w:jc w:val="center"/>
              <w:rPr>
                <w:sz w:val="18"/>
                <w:szCs w:val="18"/>
              </w:rPr>
            </w:pPr>
          </w:p>
        </w:tc>
        <w:tc>
          <w:tcPr>
            <w:tcW w:w="1564" w:type="dxa"/>
            <w:vAlign w:val="center"/>
          </w:tcPr>
          <w:p w14:paraId="014F80FF" w14:textId="77777777" w:rsidR="00C068D5" w:rsidRPr="0089329C" w:rsidRDefault="00C068D5" w:rsidP="00D82442">
            <w:pPr>
              <w:jc w:val="center"/>
              <w:rPr>
                <w:sz w:val="18"/>
                <w:szCs w:val="18"/>
              </w:rPr>
            </w:pPr>
          </w:p>
        </w:tc>
      </w:tr>
      <w:tr w:rsidR="00C068D5" w:rsidRPr="0089329C" w14:paraId="3CAD28A0" w14:textId="77777777" w:rsidTr="00D82442">
        <w:tc>
          <w:tcPr>
            <w:tcW w:w="1116" w:type="dxa"/>
            <w:vMerge/>
          </w:tcPr>
          <w:p w14:paraId="4185CB3F" w14:textId="77777777" w:rsidR="00C068D5" w:rsidRPr="0089329C" w:rsidRDefault="00C068D5" w:rsidP="00D82442">
            <w:pPr>
              <w:rPr>
                <w:sz w:val="18"/>
                <w:szCs w:val="18"/>
              </w:rPr>
            </w:pPr>
          </w:p>
        </w:tc>
        <w:tc>
          <w:tcPr>
            <w:tcW w:w="1451" w:type="dxa"/>
          </w:tcPr>
          <w:p w14:paraId="44D30C59" w14:textId="77777777" w:rsidR="00C068D5" w:rsidRPr="0089329C" w:rsidRDefault="00C068D5" w:rsidP="00D82442">
            <w:pPr>
              <w:rPr>
                <w:sz w:val="18"/>
                <w:szCs w:val="18"/>
              </w:rPr>
            </w:pPr>
          </w:p>
          <w:p w14:paraId="6F8D91B7" w14:textId="77777777" w:rsidR="00C068D5" w:rsidRPr="0089329C" w:rsidRDefault="00C068D5" w:rsidP="00D82442">
            <w:pPr>
              <w:rPr>
                <w:sz w:val="18"/>
                <w:szCs w:val="18"/>
              </w:rPr>
            </w:pPr>
            <w:r w:rsidRPr="0089329C">
              <w:rPr>
                <w:sz w:val="18"/>
                <w:szCs w:val="18"/>
              </w:rPr>
              <w:t>Adult</w:t>
            </w:r>
          </w:p>
          <w:p w14:paraId="251BFC17" w14:textId="77777777" w:rsidR="00C068D5" w:rsidRPr="0089329C" w:rsidRDefault="00C068D5" w:rsidP="00D82442">
            <w:pPr>
              <w:rPr>
                <w:sz w:val="18"/>
                <w:szCs w:val="18"/>
              </w:rPr>
            </w:pPr>
            <w:r w:rsidRPr="0089329C">
              <w:rPr>
                <w:sz w:val="18"/>
                <w:szCs w:val="18"/>
              </w:rPr>
              <w:t xml:space="preserve">Gender </w:t>
            </w:r>
          </w:p>
          <w:p w14:paraId="3DA2B355" w14:textId="77777777" w:rsidR="00C068D5" w:rsidRPr="0089329C" w:rsidRDefault="00C068D5" w:rsidP="00D82442">
            <w:pPr>
              <w:rPr>
                <w:sz w:val="18"/>
                <w:szCs w:val="18"/>
              </w:rPr>
            </w:pPr>
            <w:r w:rsidRPr="0089329C">
              <w:rPr>
                <w:sz w:val="18"/>
                <w:szCs w:val="18"/>
              </w:rPr>
              <w:t>Nonconformity</w:t>
            </w:r>
          </w:p>
          <w:p w14:paraId="25C68777" w14:textId="77777777" w:rsidR="00C068D5" w:rsidRPr="0089329C" w:rsidRDefault="00C068D5" w:rsidP="00D82442">
            <w:pPr>
              <w:rPr>
                <w:sz w:val="18"/>
                <w:szCs w:val="18"/>
              </w:rPr>
            </w:pPr>
          </w:p>
        </w:tc>
        <w:tc>
          <w:tcPr>
            <w:tcW w:w="726" w:type="dxa"/>
            <w:vAlign w:val="center"/>
          </w:tcPr>
          <w:p w14:paraId="4C47B3ED" w14:textId="77777777" w:rsidR="00C068D5" w:rsidRPr="0089329C" w:rsidRDefault="00C068D5" w:rsidP="00D82442">
            <w:pPr>
              <w:jc w:val="center"/>
              <w:rPr>
                <w:sz w:val="18"/>
                <w:szCs w:val="18"/>
              </w:rPr>
            </w:pPr>
            <w:r w:rsidRPr="0089329C">
              <w:rPr>
                <w:sz w:val="18"/>
                <w:szCs w:val="18"/>
              </w:rPr>
              <w:t>34</w:t>
            </w:r>
          </w:p>
        </w:tc>
        <w:tc>
          <w:tcPr>
            <w:tcW w:w="1574" w:type="dxa"/>
            <w:vAlign w:val="center"/>
          </w:tcPr>
          <w:p w14:paraId="75CE60D0" w14:textId="77777777" w:rsidR="00C068D5" w:rsidRPr="0089329C" w:rsidRDefault="00C068D5" w:rsidP="00D82442">
            <w:pPr>
              <w:jc w:val="center"/>
              <w:rPr>
                <w:sz w:val="18"/>
                <w:szCs w:val="18"/>
              </w:rPr>
            </w:pPr>
            <w:r w:rsidRPr="0089329C">
              <w:rPr>
                <w:sz w:val="18"/>
                <w:szCs w:val="18"/>
              </w:rPr>
              <w:t>0.329</w:t>
            </w:r>
            <w:r>
              <w:rPr>
                <w:sz w:val="18"/>
                <w:szCs w:val="18"/>
              </w:rPr>
              <w:t>*</w:t>
            </w:r>
          </w:p>
          <w:p w14:paraId="096503FA" w14:textId="77777777" w:rsidR="00C068D5" w:rsidRPr="0089329C" w:rsidRDefault="00C068D5" w:rsidP="00D82442">
            <w:pPr>
              <w:jc w:val="center"/>
              <w:rPr>
                <w:sz w:val="18"/>
                <w:szCs w:val="18"/>
              </w:rPr>
            </w:pPr>
            <w:r w:rsidRPr="0089329C">
              <w:rPr>
                <w:sz w:val="18"/>
                <w:szCs w:val="18"/>
              </w:rPr>
              <w:t>0.036–0.622</w:t>
            </w:r>
          </w:p>
        </w:tc>
        <w:tc>
          <w:tcPr>
            <w:tcW w:w="1338" w:type="dxa"/>
            <w:vAlign w:val="center"/>
          </w:tcPr>
          <w:p w14:paraId="03563D67" w14:textId="77777777" w:rsidR="00C068D5" w:rsidRPr="0089329C" w:rsidRDefault="00C068D5" w:rsidP="00D82442">
            <w:pPr>
              <w:jc w:val="center"/>
              <w:rPr>
                <w:sz w:val="18"/>
                <w:szCs w:val="18"/>
              </w:rPr>
            </w:pPr>
            <w:r w:rsidRPr="0089329C">
              <w:rPr>
                <w:sz w:val="18"/>
                <w:szCs w:val="18"/>
              </w:rPr>
              <w:t>0.171</w:t>
            </w:r>
          </w:p>
          <w:p w14:paraId="1E7E5902" w14:textId="77777777" w:rsidR="00C068D5" w:rsidRPr="0089329C" w:rsidRDefault="00C068D5" w:rsidP="00D82442">
            <w:pPr>
              <w:jc w:val="center"/>
              <w:rPr>
                <w:sz w:val="18"/>
                <w:szCs w:val="18"/>
              </w:rPr>
            </w:pPr>
            <w:r w:rsidRPr="0089329C">
              <w:rPr>
                <w:sz w:val="18"/>
                <w:szCs w:val="18"/>
              </w:rPr>
              <w:t>-0.157–0.542</w:t>
            </w:r>
          </w:p>
        </w:tc>
        <w:tc>
          <w:tcPr>
            <w:tcW w:w="1307" w:type="dxa"/>
            <w:vAlign w:val="center"/>
          </w:tcPr>
          <w:p w14:paraId="70296B3B" w14:textId="77777777" w:rsidR="00C068D5" w:rsidRPr="0089329C" w:rsidRDefault="00C068D5" w:rsidP="00D82442">
            <w:pPr>
              <w:jc w:val="center"/>
              <w:rPr>
                <w:sz w:val="18"/>
                <w:szCs w:val="18"/>
              </w:rPr>
            </w:pPr>
            <w:r w:rsidRPr="0089329C">
              <w:rPr>
                <w:sz w:val="18"/>
                <w:szCs w:val="18"/>
              </w:rPr>
              <w:t>-0.053</w:t>
            </w:r>
          </w:p>
          <w:p w14:paraId="0003978B" w14:textId="77777777" w:rsidR="00C068D5" w:rsidRPr="0089329C" w:rsidRDefault="00C068D5" w:rsidP="00D82442">
            <w:pPr>
              <w:jc w:val="center"/>
              <w:rPr>
                <w:sz w:val="18"/>
                <w:szCs w:val="18"/>
              </w:rPr>
            </w:pPr>
            <w:r w:rsidRPr="0089329C">
              <w:rPr>
                <w:sz w:val="18"/>
                <w:szCs w:val="18"/>
              </w:rPr>
              <w:t>-0.384–0.278</w:t>
            </w:r>
          </w:p>
        </w:tc>
        <w:tc>
          <w:tcPr>
            <w:tcW w:w="702" w:type="dxa"/>
            <w:vAlign w:val="center"/>
          </w:tcPr>
          <w:p w14:paraId="24D9728F" w14:textId="77777777" w:rsidR="00C068D5" w:rsidRPr="0089329C" w:rsidRDefault="00C068D5" w:rsidP="00D82442">
            <w:pPr>
              <w:jc w:val="center"/>
              <w:rPr>
                <w:sz w:val="18"/>
                <w:szCs w:val="18"/>
              </w:rPr>
            </w:pPr>
          </w:p>
        </w:tc>
        <w:tc>
          <w:tcPr>
            <w:tcW w:w="1680" w:type="dxa"/>
            <w:vAlign w:val="center"/>
          </w:tcPr>
          <w:p w14:paraId="450CA13B" w14:textId="77777777" w:rsidR="00C068D5" w:rsidRPr="0089329C" w:rsidRDefault="00C068D5" w:rsidP="00D82442">
            <w:pPr>
              <w:jc w:val="center"/>
              <w:rPr>
                <w:sz w:val="18"/>
                <w:szCs w:val="18"/>
              </w:rPr>
            </w:pPr>
          </w:p>
        </w:tc>
        <w:tc>
          <w:tcPr>
            <w:tcW w:w="1492" w:type="dxa"/>
            <w:vAlign w:val="center"/>
          </w:tcPr>
          <w:p w14:paraId="10922E77" w14:textId="77777777" w:rsidR="00C068D5" w:rsidRPr="0089329C" w:rsidRDefault="00C068D5" w:rsidP="00D82442">
            <w:pPr>
              <w:jc w:val="center"/>
              <w:rPr>
                <w:sz w:val="18"/>
                <w:szCs w:val="18"/>
              </w:rPr>
            </w:pPr>
          </w:p>
        </w:tc>
        <w:tc>
          <w:tcPr>
            <w:tcW w:w="1564" w:type="dxa"/>
            <w:vAlign w:val="center"/>
          </w:tcPr>
          <w:p w14:paraId="530D34BD" w14:textId="77777777" w:rsidR="00C068D5" w:rsidRPr="0089329C" w:rsidRDefault="00C068D5" w:rsidP="00D82442">
            <w:pPr>
              <w:jc w:val="center"/>
              <w:rPr>
                <w:sz w:val="18"/>
                <w:szCs w:val="18"/>
              </w:rPr>
            </w:pPr>
          </w:p>
        </w:tc>
      </w:tr>
    </w:tbl>
    <w:p w14:paraId="59FC6687" w14:textId="77777777" w:rsidR="00C068D5" w:rsidRPr="0089329C" w:rsidRDefault="00C068D5" w:rsidP="00C068D5">
      <w:pPr>
        <w:rPr>
          <w:sz w:val="18"/>
          <w:szCs w:val="18"/>
        </w:rPr>
      </w:pPr>
    </w:p>
    <w:p w14:paraId="2EC3D86F" w14:textId="3F5C0C5A" w:rsidR="002553A2" w:rsidRPr="0089329C" w:rsidRDefault="002553A2" w:rsidP="002553A2">
      <w:pPr>
        <w:rPr>
          <w:sz w:val="18"/>
          <w:szCs w:val="18"/>
        </w:rPr>
      </w:pPr>
      <w:r w:rsidRPr="0089329C">
        <w:rPr>
          <w:sz w:val="18"/>
          <w:szCs w:val="18"/>
        </w:rPr>
        <w:t xml:space="preserve">Coefficients </w:t>
      </w:r>
      <w:r w:rsidR="00811646">
        <w:rPr>
          <w:sz w:val="18"/>
          <w:szCs w:val="18"/>
        </w:rPr>
        <w:t xml:space="preserve">for concordant pairs </w:t>
      </w:r>
      <w:r w:rsidRPr="0089329C">
        <w:rPr>
          <w:sz w:val="18"/>
          <w:szCs w:val="18"/>
        </w:rPr>
        <w:t>are from the multiple regression predicting the first homosexual brother’s childhood and adult gender nonconformity scores from the second brother’s respective scores, controlling for the first brother’s birth year and educational level.</w:t>
      </w:r>
      <w:r w:rsidR="00811646">
        <w:rPr>
          <w:sz w:val="18"/>
          <w:szCs w:val="18"/>
        </w:rPr>
        <w:t xml:space="preserve"> </w:t>
      </w:r>
      <w:r w:rsidRPr="0089329C">
        <w:rPr>
          <w:sz w:val="18"/>
          <w:szCs w:val="18"/>
        </w:rPr>
        <w:t xml:space="preserve">Coefficients </w:t>
      </w:r>
      <w:r w:rsidR="00811646">
        <w:rPr>
          <w:sz w:val="18"/>
          <w:szCs w:val="18"/>
        </w:rPr>
        <w:t xml:space="preserve">for discordant pairs </w:t>
      </w:r>
      <w:r w:rsidRPr="0089329C">
        <w:rPr>
          <w:sz w:val="18"/>
          <w:szCs w:val="18"/>
        </w:rPr>
        <w:t>are from the multiple regression predicting heterosexual brothers’ childhood and adult gender nonconformity scores from homosexual brother’s respective scores, controlling for heterosexual brothers’ birth year and educational level.</w:t>
      </w:r>
      <w:r w:rsidR="00811646">
        <w:rPr>
          <w:sz w:val="18"/>
          <w:szCs w:val="18"/>
        </w:rPr>
        <w:t xml:space="preserve"> </w:t>
      </w:r>
      <w:r w:rsidRPr="0089329C">
        <w:rPr>
          <w:sz w:val="18"/>
          <w:szCs w:val="18"/>
        </w:rPr>
        <w:t>Cells for predictors include the standar</w:t>
      </w:r>
      <w:r w:rsidR="00E91E9B">
        <w:rPr>
          <w:sz w:val="18"/>
          <w:szCs w:val="18"/>
        </w:rPr>
        <w:t>dized estimate in the first row and</w:t>
      </w:r>
      <w:r w:rsidRPr="0089329C">
        <w:rPr>
          <w:sz w:val="18"/>
          <w:szCs w:val="18"/>
        </w:rPr>
        <w:t xml:space="preserve"> the</w:t>
      </w:r>
      <w:r w:rsidR="00B65EBE">
        <w:rPr>
          <w:sz w:val="18"/>
          <w:szCs w:val="18"/>
        </w:rPr>
        <w:t>ir</w:t>
      </w:r>
      <w:r w:rsidRPr="0089329C">
        <w:rPr>
          <w:sz w:val="18"/>
          <w:szCs w:val="18"/>
        </w:rPr>
        <w:t xml:space="preserve"> 95% confidence interval in the second row.</w:t>
      </w:r>
    </w:p>
    <w:p w14:paraId="2A52E781" w14:textId="77777777" w:rsidR="002553A2" w:rsidRPr="0089329C" w:rsidRDefault="002553A2" w:rsidP="002553A2">
      <w:pPr>
        <w:rPr>
          <w:sz w:val="18"/>
          <w:szCs w:val="18"/>
        </w:rPr>
      </w:pPr>
      <w:r w:rsidRPr="0089329C">
        <w:rPr>
          <w:sz w:val="18"/>
          <w:szCs w:val="18"/>
        </w:rPr>
        <w:t>*</w:t>
      </w:r>
      <w:r w:rsidRPr="0089329C">
        <w:rPr>
          <w:i/>
          <w:sz w:val="18"/>
          <w:szCs w:val="18"/>
        </w:rPr>
        <w:t>p</w:t>
      </w:r>
      <w:r w:rsidRPr="0089329C">
        <w:rPr>
          <w:sz w:val="18"/>
          <w:szCs w:val="18"/>
        </w:rPr>
        <w:t>&lt;.05</w:t>
      </w:r>
    </w:p>
    <w:p w14:paraId="297C79EF" w14:textId="035F06AC" w:rsidR="00CD4629" w:rsidRDefault="002553A2">
      <w:pPr>
        <w:rPr>
          <w:rFonts w:ascii="Times" w:hAnsi="Times"/>
        </w:rPr>
      </w:pPr>
      <w:r w:rsidRPr="0089329C">
        <w:rPr>
          <w:sz w:val="18"/>
          <w:szCs w:val="18"/>
        </w:rPr>
        <w:t>**</w:t>
      </w:r>
      <w:r w:rsidRPr="0089329C">
        <w:rPr>
          <w:i/>
          <w:sz w:val="18"/>
          <w:szCs w:val="18"/>
        </w:rPr>
        <w:t>p</w:t>
      </w:r>
      <w:r w:rsidRPr="0089329C">
        <w:rPr>
          <w:sz w:val="18"/>
          <w:szCs w:val="18"/>
        </w:rPr>
        <w:t>&lt;.0001</w:t>
      </w:r>
      <w:r w:rsidR="00CD4629">
        <w:rPr>
          <w:rFonts w:ascii="Times" w:hAnsi="Times"/>
        </w:rPr>
        <w:br w:type="page"/>
      </w:r>
    </w:p>
    <w:p w14:paraId="275E848B" w14:textId="6F8FA81B" w:rsidR="00875766" w:rsidRDefault="00E91E9B" w:rsidP="00175AE3">
      <w:pPr>
        <w:spacing w:line="480" w:lineRule="auto"/>
        <w:rPr>
          <w:rFonts w:ascii="Times" w:hAnsi="Times"/>
        </w:rPr>
      </w:pPr>
      <w:r>
        <w:rPr>
          <w:rFonts w:ascii="Times" w:hAnsi="Times"/>
          <w:noProof/>
        </w:rPr>
        <w:lastRenderedPageBreak/>
        <w:drawing>
          <wp:inline distT="0" distB="0" distL="0" distR="0" wp14:anchorId="59AE03D9" wp14:editId="1E574688">
            <wp:extent cx="8229600" cy="296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png"/>
                    <pic:cNvPicPr/>
                  </pic:nvPicPr>
                  <pic:blipFill>
                    <a:blip r:embed="rId10"/>
                    <a:stretch>
                      <a:fillRect/>
                    </a:stretch>
                  </pic:blipFill>
                  <pic:spPr>
                    <a:xfrm>
                      <a:off x="0" y="0"/>
                      <a:ext cx="8229600" cy="2961005"/>
                    </a:xfrm>
                    <a:prstGeom prst="rect">
                      <a:avLst/>
                    </a:prstGeom>
                  </pic:spPr>
                </pic:pic>
              </a:graphicData>
            </a:graphic>
          </wp:inline>
        </w:drawing>
      </w:r>
    </w:p>
    <w:p w14:paraId="700F7D3E" w14:textId="5DF37CA1" w:rsidR="00CD4629" w:rsidRPr="005733B0" w:rsidRDefault="00875766" w:rsidP="00175AE3">
      <w:pPr>
        <w:spacing w:line="480" w:lineRule="auto"/>
        <w:rPr>
          <w:rFonts w:ascii="Times" w:hAnsi="Times"/>
        </w:rPr>
      </w:pPr>
      <w:r w:rsidRPr="00875766">
        <w:rPr>
          <w:rFonts w:ascii="Times" w:hAnsi="Times"/>
        </w:rPr>
        <w:t xml:space="preserve">Figure 1. Self-reported childhood gender nonconformity (left) and adult gender nonconformity (right) distributions for heterosexual (top) and homosexual (bottom) participants. Higher scores (i.e., to the right) indicate increased gender nonconformity. </w:t>
      </w:r>
    </w:p>
    <w:sectPr w:rsidR="00CD4629" w:rsidRPr="005733B0" w:rsidSect="009F349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99ADE" w14:textId="77777777" w:rsidR="00ED406E" w:rsidRDefault="00ED406E" w:rsidP="000F4906">
      <w:r>
        <w:separator/>
      </w:r>
    </w:p>
  </w:endnote>
  <w:endnote w:type="continuationSeparator" w:id="0">
    <w:p w14:paraId="14CB6471" w14:textId="77777777" w:rsidR="00ED406E" w:rsidRDefault="00ED406E" w:rsidP="000F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panose1 w:val="020B06040202020202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9B887" w14:textId="77777777" w:rsidR="00ED406E" w:rsidRDefault="00ED406E" w:rsidP="000F4906">
      <w:r>
        <w:separator/>
      </w:r>
    </w:p>
  </w:footnote>
  <w:footnote w:type="continuationSeparator" w:id="0">
    <w:p w14:paraId="4FB073F0" w14:textId="77777777" w:rsidR="00ED406E" w:rsidRDefault="00ED406E" w:rsidP="000F4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8409949"/>
      <w:docPartObj>
        <w:docPartGallery w:val="Page Numbers (Top of Page)"/>
        <w:docPartUnique/>
      </w:docPartObj>
    </w:sdtPr>
    <w:sdtEndPr>
      <w:rPr>
        <w:rStyle w:val="PageNumber"/>
      </w:rPr>
    </w:sdtEndPr>
    <w:sdtContent>
      <w:p w14:paraId="2A095B72" w14:textId="77777777" w:rsidR="00704BE7" w:rsidRDefault="00704BE7" w:rsidP="00921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5F184" w14:textId="77777777" w:rsidR="00704BE7" w:rsidRDefault="00704BE7" w:rsidP="000F49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194050"/>
      <w:docPartObj>
        <w:docPartGallery w:val="Page Numbers (Top of Page)"/>
        <w:docPartUnique/>
      </w:docPartObj>
    </w:sdtPr>
    <w:sdtEndPr>
      <w:rPr>
        <w:rStyle w:val="PageNumber"/>
      </w:rPr>
    </w:sdtEndPr>
    <w:sdtContent>
      <w:p w14:paraId="67FBD97E" w14:textId="77777777" w:rsidR="00704BE7" w:rsidRDefault="00704BE7" w:rsidP="00921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301C">
          <w:rPr>
            <w:rStyle w:val="PageNumber"/>
            <w:noProof/>
          </w:rPr>
          <w:t>13</w:t>
        </w:r>
        <w:r>
          <w:rPr>
            <w:rStyle w:val="PageNumber"/>
          </w:rPr>
          <w:fldChar w:fldCharType="end"/>
        </w:r>
      </w:p>
    </w:sdtContent>
  </w:sdt>
  <w:p w14:paraId="43D3B866" w14:textId="77777777" w:rsidR="00704BE7" w:rsidRDefault="00704BE7" w:rsidP="000F4906">
    <w:pPr>
      <w:pStyle w:val="Header"/>
      <w:ind w:right="360"/>
    </w:pPr>
    <w:r>
      <w:t>FAMILIALITY OF GENDER NONCONFORMITY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82"/>
    <w:rsid w:val="000046BE"/>
    <w:rsid w:val="00007047"/>
    <w:rsid w:val="00012994"/>
    <w:rsid w:val="000135A2"/>
    <w:rsid w:val="00015FDE"/>
    <w:rsid w:val="0002267A"/>
    <w:rsid w:val="00023561"/>
    <w:rsid w:val="00025F09"/>
    <w:rsid w:val="000267B7"/>
    <w:rsid w:val="00033CAE"/>
    <w:rsid w:val="00037A69"/>
    <w:rsid w:val="00037C49"/>
    <w:rsid w:val="000423F0"/>
    <w:rsid w:val="00045AAB"/>
    <w:rsid w:val="000468F3"/>
    <w:rsid w:val="000533C1"/>
    <w:rsid w:val="00057AE5"/>
    <w:rsid w:val="000637F5"/>
    <w:rsid w:val="000641B9"/>
    <w:rsid w:val="00064259"/>
    <w:rsid w:val="00064AE1"/>
    <w:rsid w:val="000660B7"/>
    <w:rsid w:val="000737FB"/>
    <w:rsid w:val="0008180B"/>
    <w:rsid w:val="000826B1"/>
    <w:rsid w:val="00092282"/>
    <w:rsid w:val="0009273C"/>
    <w:rsid w:val="00092A04"/>
    <w:rsid w:val="000941D2"/>
    <w:rsid w:val="00094CDF"/>
    <w:rsid w:val="000967FC"/>
    <w:rsid w:val="000978DD"/>
    <w:rsid w:val="000B4EAC"/>
    <w:rsid w:val="000B7076"/>
    <w:rsid w:val="000B75D1"/>
    <w:rsid w:val="000C4220"/>
    <w:rsid w:val="000C55EE"/>
    <w:rsid w:val="000E595C"/>
    <w:rsid w:val="000F0476"/>
    <w:rsid w:val="000F4262"/>
    <w:rsid w:val="000F4906"/>
    <w:rsid w:val="000F7798"/>
    <w:rsid w:val="0010704F"/>
    <w:rsid w:val="00120890"/>
    <w:rsid w:val="00120FE5"/>
    <w:rsid w:val="001217AA"/>
    <w:rsid w:val="00122AE6"/>
    <w:rsid w:val="00122AFA"/>
    <w:rsid w:val="0013715B"/>
    <w:rsid w:val="00140738"/>
    <w:rsid w:val="001413D2"/>
    <w:rsid w:val="00146D43"/>
    <w:rsid w:val="001578A9"/>
    <w:rsid w:val="00160E95"/>
    <w:rsid w:val="0017182B"/>
    <w:rsid w:val="00175AE3"/>
    <w:rsid w:val="00176084"/>
    <w:rsid w:val="00180426"/>
    <w:rsid w:val="00183714"/>
    <w:rsid w:val="00183980"/>
    <w:rsid w:val="00184590"/>
    <w:rsid w:val="00185E32"/>
    <w:rsid w:val="00190AFA"/>
    <w:rsid w:val="0019444B"/>
    <w:rsid w:val="0019485C"/>
    <w:rsid w:val="001A09AE"/>
    <w:rsid w:val="001A4659"/>
    <w:rsid w:val="001A7682"/>
    <w:rsid w:val="001A7FA4"/>
    <w:rsid w:val="001B3821"/>
    <w:rsid w:val="001B66F9"/>
    <w:rsid w:val="001C015D"/>
    <w:rsid w:val="001C4E21"/>
    <w:rsid w:val="001D15D2"/>
    <w:rsid w:val="001D2978"/>
    <w:rsid w:val="001D30E2"/>
    <w:rsid w:val="001D52EF"/>
    <w:rsid w:val="001E16EA"/>
    <w:rsid w:val="001E2D9D"/>
    <w:rsid w:val="001E4276"/>
    <w:rsid w:val="001E53A7"/>
    <w:rsid w:val="002001D5"/>
    <w:rsid w:val="002007E8"/>
    <w:rsid w:val="00212CDD"/>
    <w:rsid w:val="00217064"/>
    <w:rsid w:val="00217671"/>
    <w:rsid w:val="00220A19"/>
    <w:rsid w:val="002233AC"/>
    <w:rsid w:val="0022489B"/>
    <w:rsid w:val="002250E2"/>
    <w:rsid w:val="002266FA"/>
    <w:rsid w:val="00230EFB"/>
    <w:rsid w:val="00232E51"/>
    <w:rsid w:val="00236EC4"/>
    <w:rsid w:val="002400BA"/>
    <w:rsid w:val="002409A2"/>
    <w:rsid w:val="00244685"/>
    <w:rsid w:val="002449F2"/>
    <w:rsid w:val="002553A2"/>
    <w:rsid w:val="00263138"/>
    <w:rsid w:val="00263565"/>
    <w:rsid w:val="002643BF"/>
    <w:rsid w:val="002761CE"/>
    <w:rsid w:val="00280897"/>
    <w:rsid w:val="00281D08"/>
    <w:rsid w:val="00285BC9"/>
    <w:rsid w:val="0028613D"/>
    <w:rsid w:val="00290582"/>
    <w:rsid w:val="00290697"/>
    <w:rsid w:val="00297D8E"/>
    <w:rsid w:val="002A37C8"/>
    <w:rsid w:val="002B4FA4"/>
    <w:rsid w:val="002D238D"/>
    <w:rsid w:val="002D31E1"/>
    <w:rsid w:val="002D5533"/>
    <w:rsid w:val="002E4B82"/>
    <w:rsid w:val="002E6CA0"/>
    <w:rsid w:val="002E78C7"/>
    <w:rsid w:val="002E7D2B"/>
    <w:rsid w:val="00302087"/>
    <w:rsid w:val="00303505"/>
    <w:rsid w:val="00306163"/>
    <w:rsid w:val="00312D5E"/>
    <w:rsid w:val="00315B48"/>
    <w:rsid w:val="00316EFA"/>
    <w:rsid w:val="003230FF"/>
    <w:rsid w:val="0032472F"/>
    <w:rsid w:val="00333E48"/>
    <w:rsid w:val="00337D88"/>
    <w:rsid w:val="0034105D"/>
    <w:rsid w:val="0034344B"/>
    <w:rsid w:val="00345AE8"/>
    <w:rsid w:val="00350C0C"/>
    <w:rsid w:val="0035171A"/>
    <w:rsid w:val="003534CA"/>
    <w:rsid w:val="00353A95"/>
    <w:rsid w:val="00354DD6"/>
    <w:rsid w:val="00362627"/>
    <w:rsid w:val="00383876"/>
    <w:rsid w:val="00385E47"/>
    <w:rsid w:val="00390DFF"/>
    <w:rsid w:val="003910DE"/>
    <w:rsid w:val="00394426"/>
    <w:rsid w:val="00395594"/>
    <w:rsid w:val="00396130"/>
    <w:rsid w:val="003A0134"/>
    <w:rsid w:val="003A0A63"/>
    <w:rsid w:val="003A3F21"/>
    <w:rsid w:val="003B1075"/>
    <w:rsid w:val="003B4D52"/>
    <w:rsid w:val="003B762A"/>
    <w:rsid w:val="003B7CF6"/>
    <w:rsid w:val="003C55FE"/>
    <w:rsid w:val="003D6FA2"/>
    <w:rsid w:val="003F24A1"/>
    <w:rsid w:val="003F5AD0"/>
    <w:rsid w:val="004008C5"/>
    <w:rsid w:val="004012C5"/>
    <w:rsid w:val="00407F53"/>
    <w:rsid w:val="00415682"/>
    <w:rsid w:val="004157A2"/>
    <w:rsid w:val="00415CE0"/>
    <w:rsid w:val="00415F23"/>
    <w:rsid w:val="00416107"/>
    <w:rsid w:val="004340F5"/>
    <w:rsid w:val="004347C9"/>
    <w:rsid w:val="00437E2A"/>
    <w:rsid w:val="00443BAC"/>
    <w:rsid w:val="0044621C"/>
    <w:rsid w:val="00450F0F"/>
    <w:rsid w:val="004512B1"/>
    <w:rsid w:val="00452413"/>
    <w:rsid w:val="00456C91"/>
    <w:rsid w:val="00474389"/>
    <w:rsid w:val="00475ABD"/>
    <w:rsid w:val="0048002E"/>
    <w:rsid w:val="00484D64"/>
    <w:rsid w:val="004963BB"/>
    <w:rsid w:val="004A2596"/>
    <w:rsid w:val="004A330C"/>
    <w:rsid w:val="004B2BA0"/>
    <w:rsid w:val="004B544A"/>
    <w:rsid w:val="004C049F"/>
    <w:rsid w:val="004C17DC"/>
    <w:rsid w:val="004D3413"/>
    <w:rsid w:val="004D3885"/>
    <w:rsid w:val="004D5CEF"/>
    <w:rsid w:val="004D694A"/>
    <w:rsid w:val="004E0B6B"/>
    <w:rsid w:val="004E117C"/>
    <w:rsid w:val="004E142A"/>
    <w:rsid w:val="004E4EFF"/>
    <w:rsid w:val="004E755C"/>
    <w:rsid w:val="004F2287"/>
    <w:rsid w:val="005012C6"/>
    <w:rsid w:val="005112C7"/>
    <w:rsid w:val="00511B17"/>
    <w:rsid w:val="005138D5"/>
    <w:rsid w:val="005158DC"/>
    <w:rsid w:val="0051725C"/>
    <w:rsid w:val="0052121B"/>
    <w:rsid w:val="005216F9"/>
    <w:rsid w:val="00525396"/>
    <w:rsid w:val="00535727"/>
    <w:rsid w:val="005360DE"/>
    <w:rsid w:val="0055046A"/>
    <w:rsid w:val="00563E5D"/>
    <w:rsid w:val="005733B0"/>
    <w:rsid w:val="00583909"/>
    <w:rsid w:val="00583A35"/>
    <w:rsid w:val="00583CD8"/>
    <w:rsid w:val="00586080"/>
    <w:rsid w:val="00591D4F"/>
    <w:rsid w:val="005A24F0"/>
    <w:rsid w:val="005A3A1D"/>
    <w:rsid w:val="005A7E17"/>
    <w:rsid w:val="005B1185"/>
    <w:rsid w:val="005B553E"/>
    <w:rsid w:val="005C3453"/>
    <w:rsid w:val="005C373A"/>
    <w:rsid w:val="005C4C0C"/>
    <w:rsid w:val="005D0DBC"/>
    <w:rsid w:val="005D35DA"/>
    <w:rsid w:val="005D4586"/>
    <w:rsid w:val="005D6030"/>
    <w:rsid w:val="005D603D"/>
    <w:rsid w:val="005E009D"/>
    <w:rsid w:val="005E2E8F"/>
    <w:rsid w:val="005E3FC0"/>
    <w:rsid w:val="005F29E1"/>
    <w:rsid w:val="005F4091"/>
    <w:rsid w:val="00600483"/>
    <w:rsid w:val="00603AD4"/>
    <w:rsid w:val="00607012"/>
    <w:rsid w:val="00610C9A"/>
    <w:rsid w:val="006148FC"/>
    <w:rsid w:val="006177E0"/>
    <w:rsid w:val="00620670"/>
    <w:rsid w:val="00624B73"/>
    <w:rsid w:val="00624EDD"/>
    <w:rsid w:val="00625932"/>
    <w:rsid w:val="00625A54"/>
    <w:rsid w:val="00631E3D"/>
    <w:rsid w:val="0064081A"/>
    <w:rsid w:val="00642785"/>
    <w:rsid w:val="00644D31"/>
    <w:rsid w:val="00653BAE"/>
    <w:rsid w:val="006629BA"/>
    <w:rsid w:val="00663B2C"/>
    <w:rsid w:val="00670DA1"/>
    <w:rsid w:val="006740CE"/>
    <w:rsid w:val="00676DCC"/>
    <w:rsid w:val="00680201"/>
    <w:rsid w:val="00681764"/>
    <w:rsid w:val="00684E40"/>
    <w:rsid w:val="00694F70"/>
    <w:rsid w:val="006A1692"/>
    <w:rsid w:val="006B11E6"/>
    <w:rsid w:val="006B124C"/>
    <w:rsid w:val="006B40E7"/>
    <w:rsid w:val="006C187F"/>
    <w:rsid w:val="006C308F"/>
    <w:rsid w:val="006C510A"/>
    <w:rsid w:val="006D1F33"/>
    <w:rsid w:val="006D2363"/>
    <w:rsid w:val="006D621F"/>
    <w:rsid w:val="006E2217"/>
    <w:rsid w:val="006E656D"/>
    <w:rsid w:val="006E6F58"/>
    <w:rsid w:val="006F1594"/>
    <w:rsid w:val="006F3039"/>
    <w:rsid w:val="0070027E"/>
    <w:rsid w:val="00704BE7"/>
    <w:rsid w:val="0071337C"/>
    <w:rsid w:val="00713A41"/>
    <w:rsid w:val="007146EE"/>
    <w:rsid w:val="00717551"/>
    <w:rsid w:val="00721795"/>
    <w:rsid w:val="00723E8E"/>
    <w:rsid w:val="00727593"/>
    <w:rsid w:val="007305CF"/>
    <w:rsid w:val="007344EF"/>
    <w:rsid w:val="00740D17"/>
    <w:rsid w:val="00740F48"/>
    <w:rsid w:val="007425BB"/>
    <w:rsid w:val="00746ED8"/>
    <w:rsid w:val="00755002"/>
    <w:rsid w:val="00755FF3"/>
    <w:rsid w:val="0075744A"/>
    <w:rsid w:val="00760C8E"/>
    <w:rsid w:val="00762728"/>
    <w:rsid w:val="00762BB6"/>
    <w:rsid w:val="00763037"/>
    <w:rsid w:val="0076497E"/>
    <w:rsid w:val="00764F40"/>
    <w:rsid w:val="007704F3"/>
    <w:rsid w:val="007731D6"/>
    <w:rsid w:val="00773B93"/>
    <w:rsid w:val="00780E36"/>
    <w:rsid w:val="00787A89"/>
    <w:rsid w:val="00791766"/>
    <w:rsid w:val="00791E80"/>
    <w:rsid w:val="0079291F"/>
    <w:rsid w:val="00796F63"/>
    <w:rsid w:val="007A06C9"/>
    <w:rsid w:val="007A2787"/>
    <w:rsid w:val="007A6D06"/>
    <w:rsid w:val="007A6E58"/>
    <w:rsid w:val="007B19E7"/>
    <w:rsid w:val="007B6E3C"/>
    <w:rsid w:val="007C3350"/>
    <w:rsid w:val="007C449C"/>
    <w:rsid w:val="007C46C8"/>
    <w:rsid w:val="007D305A"/>
    <w:rsid w:val="007D4D58"/>
    <w:rsid w:val="007D5238"/>
    <w:rsid w:val="007D62AE"/>
    <w:rsid w:val="007E07BD"/>
    <w:rsid w:val="007E272A"/>
    <w:rsid w:val="007E54DB"/>
    <w:rsid w:val="007F6788"/>
    <w:rsid w:val="0080402F"/>
    <w:rsid w:val="00804734"/>
    <w:rsid w:val="00804A77"/>
    <w:rsid w:val="00811646"/>
    <w:rsid w:val="00811793"/>
    <w:rsid w:val="00814460"/>
    <w:rsid w:val="008249E6"/>
    <w:rsid w:val="00824DB2"/>
    <w:rsid w:val="00825BDD"/>
    <w:rsid w:val="00835637"/>
    <w:rsid w:val="008379D9"/>
    <w:rsid w:val="00840F88"/>
    <w:rsid w:val="0085609E"/>
    <w:rsid w:val="00865F40"/>
    <w:rsid w:val="0087301F"/>
    <w:rsid w:val="00873CBA"/>
    <w:rsid w:val="00875766"/>
    <w:rsid w:val="00882361"/>
    <w:rsid w:val="00887506"/>
    <w:rsid w:val="0088798D"/>
    <w:rsid w:val="00890BC2"/>
    <w:rsid w:val="008B1BE5"/>
    <w:rsid w:val="008B3965"/>
    <w:rsid w:val="008C4AA6"/>
    <w:rsid w:val="008C7763"/>
    <w:rsid w:val="008D2CF0"/>
    <w:rsid w:val="008D363B"/>
    <w:rsid w:val="008D7679"/>
    <w:rsid w:val="008D7A7E"/>
    <w:rsid w:val="008E0180"/>
    <w:rsid w:val="008E0679"/>
    <w:rsid w:val="008E388C"/>
    <w:rsid w:val="008E3F8C"/>
    <w:rsid w:val="008E4FE2"/>
    <w:rsid w:val="008E57ED"/>
    <w:rsid w:val="008E7726"/>
    <w:rsid w:val="008E7906"/>
    <w:rsid w:val="008E7D44"/>
    <w:rsid w:val="008F5A5C"/>
    <w:rsid w:val="008F6A51"/>
    <w:rsid w:val="009007A3"/>
    <w:rsid w:val="009041B7"/>
    <w:rsid w:val="0091211E"/>
    <w:rsid w:val="0092143F"/>
    <w:rsid w:val="009214C2"/>
    <w:rsid w:val="0092300F"/>
    <w:rsid w:val="00926CFC"/>
    <w:rsid w:val="009303E3"/>
    <w:rsid w:val="0094292B"/>
    <w:rsid w:val="0094647F"/>
    <w:rsid w:val="00946BD1"/>
    <w:rsid w:val="009615A7"/>
    <w:rsid w:val="00963B9D"/>
    <w:rsid w:val="00966B19"/>
    <w:rsid w:val="009705CE"/>
    <w:rsid w:val="00987C5C"/>
    <w:rsid w:val="00990537"/>
    <w:rsid w:val="00991832"/>
    <w:rsid w:val="00994B3A"/>
    <w:rsid w:val="00997847"/>
    <w:rsid w:val="009A024A"/>
    <w:rsid w:val="009A1FF8"/>
    <w:rsid w:val="009A4A74"/>
    <w:rsid w:val="009A5CE7"/>
    <w:rsid w:val="009A7636"/>
    <w:rsid w:val="009B1BD2"/>
    <w:rsid w:val="009C65A1"/>
    <w:rsid w:val="009C6D61"/>
    <w:rsid w:val="009D59A9"/>
    <w:rsid w:val="009D5F34"/>
    <w:rsid w:val="009E0A81"/>
    <w:rsid w:val="009E25B3"/>
    <w:rsid w:val="009E275A"/>
    <w:rsid w:val="009F162B"/>
    <w:rsid w:val="009F2568"/>
    <w:rsid w:val="009F2705"/>
    <w:rsid w:val="009F349E"/>
    <w:rsid w:val="009F4DD3"/>
    <w:rsid w:val="00A01242"/>
    <w:rsid w:val="00A046F9"/>
    <w:rsid w:val="00A1125A"/>
    <w:rsid w:val="00A14624"/>
    <w:rsid w:val="00A21520"/>
    <w:rsid w:val="00A2323C"/>
    <w:rsid w:val="00A2326D"/>
    <w:rsid w:val="00A2675A"/>
    <w:rsid w:val="00A3341A"/>
    <w:rsid w:val="00A36216"/>
    <w:rsid w:val="00A36B43"/>
    <w:rsid w:val="00A4033C"/>
    <w:rsid w:val="00A41C37"/>
    <w:rsid w:val="00A43F07"/>
    <w:rsid w:val="00A53169"/>
    <w:rsid w:val="00A57BA9"/>
    <w:rsid w:val="00A62E5F"/>
    <w:rsid w:val="00A6382F"/>
    <w:rsid w:val="00A710A2"/>
    <w:rsid w:val="00A81AE0"/>
    <w:rsid w:val="00A903AF"/>
    <w:rsid w:val="00A97400"/>
    <w:rsid w:val="00AA137D"/>
    <w:rsid w:val="00AA5B7D"/>
    <w:rsid w:val="00AB7259"/>
    <w:rsid w:val="00AC0788"/>
    <w:rsid w:val="00AC3AC8"/>
    <w:rsid w:val="00AC7966"/>
    <w:rsid w:val="00AD6FBD"/>
    <w:rsid w:val="00AD78A6"/>
    <w:rsid w:val="00AE2B08"/>
    <w:rsid w:val="00AE5996"/>
    <w:rsid w:val="00AF18C2"/>
    <w:rsid w:val="00AF24E6"/>
    <w:rsid w:val="00AF33FB"/>
    <w:rsid w:val="00AF34B9"/>
    <w:rsid w:val="00AF635A"/>
    <w:rsid w:val="00B0092F"/>
    <w:rsid w:val="00B018D5"/>
    <w:rsid w:val="00B0768D"/>
    <w:rsid w:val="00B1366D"/>
    <w:rsid w:val="00B23335"/>
    <w:rsid w:val="00B2696E"/>
    <w:rsid w:val="00B309F1"/>
    <w:rsid w:val="00B35E44"/>
    <w:rsid w:val="00B41C40"/>
    <w:rsid w:val="00B41FF9"/>
    <w:rsid w:val="00B565AE"/>
    <w:rsid w:val="00B627E9"/>
    <w:rsid w:val="00B62BA0"/>
    <w:rsid w:val="00B6365A"/>
    <w:rsid w:val="00B65EBE"/>
    <w:rsid w:val="00B70D24"/>
    <w:rsid w:val="00B7182A"/>
    <w:rsid w:val="00B72F4C"/>
    <w:rsid w:val="00B9178D"/>
    <w:rsid w:val="00B96630"/>
    <w:rsid w:val="00B96E14"/>
    <w:rsid w:val="00BA00F4"/>
    <w:rsid w:val="00BA5D60"/>
    <w:rsid w:val="00BB027D"/>
    <w:rsid w:val="00BB0309"/>
    <w:rsid w:val="00BB36F5"/>
    <w:rsid w:val="00BB43B4"/>
    <w:rsid w:val="00BC03B4"/>
    <w:rsid w:val="00BC2525"/>
    <w:rsid w:val="00BC40CB"/>
    <w:rsid w:val="00BC482E"/>
    <w:rsid w:val="00BC6162"/>
    <w:rsid w:val="00BC67BE"/>
    <w:rsid w:val="00BD2A04"/>
    <w:rsid w:val="00BD577E"/>
    <w:rsid w:val="00BE22B9"/>
    <w:rsid w:val="00BF0DBE"/>
    <w:rsid w:val="00BF6F8D"/>
    <w:rsid w:val="00C055FD"/>
    <w:rsid w:val="00C0573F"/>
    <w:rsid w:val="00C068D5"/>
    <w:rsid w:val="00C104A2"/>
    <w:rsid w:val="00C13180"/>
    <w:rsid w:val="00C22261"/>
    <w:rsid w:val="00C23059"/>
    <w:rsid w:val="00C24878"/>
    <w:rsid w:val="00C466B2"/>
    <w:rsid w:val="00C508D7"/>
    <w:rsid w:val="00C54216"/>
    <w:rsid w:val="00C56F6B"/>
    <w:rsid w:val="00C57C2B"/>
    <w:rsid w:val="00C607C0"/>
    <w:rsid w:val="00C6180B"/>
    <w:rsid w:val="00C633A2"/>
    <w:rsid w:val="00C64BF1"/>
    <w:rsid w:val="00C651A7"/>
    <w:rsid w:val="00C656B8"/>
    <w:rsid w:val="00C66CD7"/>
    <w:rsid w:val="00C670C5"/>
    <w:rsid w:val="00C67D64"/>
    <w:rsid w:val="00C715AC"/>
    <w:rsid w:val="00C7477F"/>
    <w:rsid w:val="00C751C1"/>
    <w:rsid w:val="00C757AB"/>
    <w:rsid w:val="00C75A82"/>
    <w:rsid w:val="00C76BE0"/>
    <w:rsid w:val="00C82E56"/>
    <w:rsid w:val="00C861F4"/>
    <w:rsid w:val="00C9450A"/>
    <w:rsid w:val="00C9578E"/>
    <w:rsid w:val="00C97CFB"/>
    <w:rsid w:val="00CA301C"/>
    <w:rsid w:val="00CA7BA5"/>
    <w:rsid w:val="00CB2669"/>
    <w:rsid w:val="00CC287A"/>
    <w:rsid w:val="00CC5C29"/>
    <w:rsid w:val="00CD3238"/>
    <w:rsid w:val="00CD4629"/>
    <w:rsid w:val="00CD6B5B"/>
    <w:rsid w:val="00CE34FD"/>
    <w:rsid w:val="00CE4A0C"/>
    <w:rsid w:val="00CF0669"/>
    <w:rsid w:val="00CF731D"/>
    <w:rsid w:val="00D019B8"/>
    <w:rsid w:val="00D057F9"/>
    <w:rsid w:val="00D14A12"/>
    <w:rsid w:val="00D32DCD"/>
    <w:rsid w:val="00D3530E"/>
    <w:rsid w:val="00D411A3"/>
    <w:rsid w:val="00D43376"/>
    <w:rsid w:val="00D438EF"/>
    <w:rsid w:val="00D50031"/>
    <w:rsid w:val="00D51492"/>
    <w:rsid w:val="00D52F33"/>
    <w:rsid w:val="00D56CC3"/>
    <w:rsid w:val="00D616E1"/>
    <w:rsid w:val="00D67CFA"/>
    <w:rsid w:val="00D7517E"/>
    <w:rsid w:val="00D82442"/>
    <w:rsid w:val="00D857D8"/>
    <w:rsid w:val="00D91005"/>
    <w:rsid w:val="00D9574F"/>
    <w:rsid w:val="00D960AB"/>
    <w:rsid w:val="00D97D8D"/>
    <w:rsid w:val="00DA7D2B"/>
    <w:rsid w:val="00DB207F"/>
    <w:rsid w:val="00DB2525"/>
    <w:rsid w:val="00DC0A9E"/>
    <w:rsid w:val="00DC6F29"/>
    <w:rsid w:val="00DC7353"/>
    <w:rsid w:val="00DD0475"/>
    <w:rsid w:val="00DD391F"/>
    <w:rsid w:val="00DD3A00"/>
    <w:rsid w:val="00DD488F"/>
    <w:rsid w:val="00DD4BB3"/>
    <w:rsid w:val="00DE510A"/>
    <w:rsid w:val="00DF1BE1"/>
    <w:rsid w:val="00DF2B3E"/>
    <w:rsid w:val="00DF4939"/>
    <w:rsid w:val="00E00507"/>
    <w:rsid w:val="00E0333E"/>
    <w:rsid w:val="00E040ED"/>
    <w:rsid w:val="00E04BA4"/>
    <w:rsid w:val="00E12537"/>
    <w:rsid w:val="00E33504"/>
    <w:rsid w:val="00E33AE9"/>
    <w:rsid w:val="00E36906"/>
    <w:rsid w:val="00E371BE"/>
    <w:rsid w:val="00E377EA"/>
    <w:rsid w:val="00E42E97"/>
    <w:rsid w:val="00E4450C"/>
    <w:rsid w:val="00E45892"/>
    <w:rsid w:val="00E4743F"/>
    <w:rsid w:val="00E50663"/>
    <w:rsid w:val="00E50B7A"/>
    <w:rsid w:val="00E522DF"/>
    <w:rsid w:val="00E5298F"/>
    <w:rsid w:val="00E541D8"/>
    <w:rsid w:val="00E61401"/>
    <w:rsid w:val="00E62803"/>
    <w:rsid w:val="00E7546C"/>
    <w:rsid w:val="00E7668B"/>
    <w:rsid w:val="00E77C13"/>
    <w:rsid w:val="00E8485C"/>
    <w:rsid w:val="00E856AF"/>
    <w:rsid w:val="00E865EB"/>
    <w:rsid w:val="00E91E9B"/>
    <w:rsid w:val="00E925B5"/>
    <w:rsid w:val="00E940B5"/>
    <w:rsid w:val="00E94977"/>
    <w:rsid w:val="00EA4DCE"/>
    <w:rsid w:val="00EB0822"/>
    <w:rsid w:val="00EB16A1"/>
    <w:rsid w:val="00EB345B"/>
    <w:rsid w:val="00EB7930"/>
    <w:rsid w:val="00EC5365"/>
    <w:rsid w:val="00EC5F31"/>
    <w:rsid w:val="00ED406E"/>
    <w:rsid w:val="00ED4E6A"/>
    <w:rsid w:val="00ED5666"/>
    <w:rsid w:val="00EE114B"/>
    <w:rsid w:val="00EF05A8"/>
    <w:rsid w:val="00EF1C30"/>
    <w:rsid w:val="00EF1DC4"/>
    <w:rsid w:val="00EF32CD"/>
    <w:rsid w:val="00EF3F7C"/>
    <w:rsid w:val="00EF42ED"/>
    <w:rsid w:val="00EF5E96"/>
    <w:rsid w:val="00F0740E"/>
    <w:rsid w:val="00F1292D"/>
    <w:rsid w:val="00F16578"/>
    <w:rsid w:val="00F20865"/>
    <w:rsid w:val="00F24352"/>
    <w:rsid w:val="00F36112"/>
    <w:rsid w:val="00F3617E"/>
    <w:rsid w:val="00F3651D"/>
    <w:rsid w:val="00F41A93"/>
    <w:rsid w:val="00F42158"/>
    <w:rsid w:val="00F541AC"/>
    <w:rsid w:val="00F549A8"/>
    <w:rsid w:val="00F54F65"/>
    <w:rsid w:val="00F6781A"/>
    <w:rsid w:val="00F71AF6"/>
    <w:rsid w:val="00F72011"/>
    <w:rsid w:val="00F77473"/>
    <w:rsid w:val="00F83DD0"/>
    <w:rsid w:val="00F844BE"/>
    <w:rsid w:val="00F9114D"/>
    <w:rsid w:val="00F9469B"/>
    <w:rsid w:val="00F968B2"/>
    <w:rsid w:val="00F97D41"/>
    <w:rsid w:val="00FA03CD"/>
    <w:rsid w:val="00FA1248"/>
    <w:rsid w:val="00FA4F72"/>
    <w:rsid w:val="00FA52A2"/>
    <w:rsid w:val="00FA5604"/>
    <w:rsid w:val="00FA5B77"/>
    <w:rsid w:val="00FA6E7D"/>
    <w:rsid w:val="00FC10F1"/>
    <w:rsid w:val="00FC1233"/>
    <w:rsid w:val="00FC3985"/>
    <w:rsid w:val="00FD0016"/>
    <w:rsid w:val="00FD27E0"/>
    <w:rsid w:val="00FD3D34"/>
    <w:rsid w:val="00FD5C44"/>
    <w:rsid w:val="00FD62C6"/>
    <w:rsid w:val="00FE460A"/>
    <w:rsid w:val="00FF26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B2F3F"/>
  <w15:docId w15:val="{7B0E6D2F-A43D-EB40-B749-78780952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6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6F29"/>
  </w:style>
  <w:style w:type="paragraph" w:styleId="Header">
    <w:name w:val="header"/>
    <w:basedOn w:val="Normal"/>
    <w:link w:val="HeaderChar"/>
    <w:uiPriority w:val="99"/>
    <w:unhideWhenUsed/>
    <w:rsid w:val="000F4906"/>
    <w:pPr>
      <w:tabs>
        <w:tab w:val="center" w:pos="4680"/>
        <w:tab w:val="right" w:pos="9360"/>
      </w:tabs>
    </w:pPr>
  </w:style>
  <w:style w:type="character" w:customStyle="1" w:styleId="HeaderChar">
    <w:name w:val="Header Char"/>
    <w:basedOn w:val="DefaultParagraphFont"/>
    <w:link w:val="Header"/>
    <w:uiPriority w:val="99"/>
    <w:rsid w:val="000F4906"/>
    <w:rPr>
      <w:rFonts w:ascii="Times New Roman" w:eastAsia="Times New Roman" w:hAnsi="Times New Roman" w:cs="Times New Roman"/>
    </w:rPr>
  </w:style>
  <w:style w:type="paragraph" w:styleId="Footer">
    <w:name w:val="footer"/>
    <w:basedOn w:val="Normal"/>
    <w:link w:val="FooterChar"/>
    <w:uiPriority w:val="99"/>
    <w:unhideWhenUsed/>
    <w:rsid w:val="000F4906"/>
    <w:pPr>
      <w:tabs>
        <w:tab w:val="center" w:pos="4680"/>
        <w:tab w:val="right" w:pos="9360"/>
      </w:tabs>
    </w:pPr>
  </w:style>
  <w:style w:type="character" w:customStyle="1" w:styleId="FooterChar">
    <w:name w:val="Footer Char"/>
    <w:basedOn w:val="DefaultParagraphFont"/>
    <w:link w:val="Footer"/>
    <w:uiPriority w:val="99"/>
    <w:rsid w:val="000F4906"/>
    <w:rPr>
      <w:rFonts w:ascii="Times New Roman" w:eastAsia="Times New Roman" w:hAnsi="Times New Roman" w:cs="Times New Roman"/>
    </w:rPr>
  </w:style>
  <w:style w:type="character" w:styleId="PageNumber">
    <w:name w:val="page number"/>
    <w:basedOn w:val="DefaultParagraphFont"/>
    <w:uiPriority w:val="99"/>
    <w:semiHidden/>
    <w:unhideWhenUsed/>
    <w:rsid w:val="000F4906"/>
  </w:style>
  <w:style w:type="character" w:styleId="CommentReference">
    <w:name w:val="annotation reference"/>
    <w:basedOn w:val="DefaultParagraphFont"/>
    <w:uiPriority w:val="99"/>
    <w:semiHidden/>
    <w:unhideWhenUsed/>
    <w:rsid w:val="00684E40"/>
    <w:rPr>
      <w:sz w:val="16"/>
      <w:szCs w:val="16"/>
    </w:rPr>
  </w:style>
  <w:style w:type="paragraph" w:styleId="CommentText">
    <w:name w:val="annotation text"/>
    <w:link w:val="CommentTextChar"/>
    <w:uiPriority w:val="99"/>
    <w:unhideWhenUsed/>
    <w:rsid w:val="003F24A1"/>
    <w:rPr>
      <w:rFonts w:eastAsia="Times New Roman" w:cs="Times New Roman"/>
      <w:sz w:val="20"/>
      <w:szCs w:val="20"/>
    </w:rPr>
  </w:style>
  <w:style w:type="character" w:customStyle="1" w:styleId="CommentTextChar">
    <w:name w:val="Comment Text Char"/>
    <w:basedOn w:val="DefaultParagraphFont"/>
    <w:link w:val="CommentText"/>
    <w:uiPriority w:val="99"/>
    <w:rsid w:val="003F24A1"/>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4E40"/>
    <w:rPr>
      <w:b/>
      <w:bCs/>
    </w:rPr>
  </w:style>
  <w:style w:type="character" w:customStyle="1" w:styleId="CommentSubjectChar">
    <w:name w:val="Comment Subject Char"/>
    <w:basedOn w:val="CommentTextChar"/>
    <w:link w:val="CommentSubject"/>
    <w:uiPriority w:val="99"/>
    <w:semiHidden/>
    <w:rsid w:val="00684E4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84E40"/>
    <w:rPr>
      <w:sz w:val="26"/>
      <w:szCs w:val="26"/>
    </w:rPr>
  </w:style>
  <w:style w:type="character" w:customStyle="1" w:styleId="BalloonTextChar">
    <w:name w:val="Balloon Text Char"/>
    <w:basedOn w:val="DefaultParagraphFont"/>
    <w:link w:val="BalloonText"/>
    <w:uiPriority w:val="99"/>
    <w:semiHidden/>
    <w:rsid w:val="00684E40"/>
    <w:rPr>
      <w:rFonts w:ascii="Times New Roman" w:eastAsia="Times New Roman" w:hAnsi="Times New Roman" w:cs="Times New Roman"/>
      <w:sz w:val="26"/>
      <w:szCs w:val="26"/>
    </w:rPr>
  </w:style>
  <w:style w:type="table" w:styleId="TableGrid">
    <w:name w:val="Table Grid"/>
    <w:basedOn w:val="TableNormal"/>
    <w:uiPriority w:val="39"/>
    <w:rsid w:val="00BD5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6F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965">
      <w:bodyDiv w:val="1"/>
      <w:marLeft w:val="0"/>
      <w:marRight w:val="0"/>
      <w:marTop w:val="0"/>
      <w:marBottom w:val="0"/>
      <w:divBdr>
        <w:top w:val="none" w:sz="0" w:space="0" w:color="auto"/>
        <w:left w:val="none" w:sz="0" w:space="0" w:color="auto"/>
        <w:bottom w:val="none" w:sz="0" w:space="0" w:color="auto"/>
        <w:right w:val="none" w:sz="0" w:space="0" w:color="auto"/>
      </w:divBdr>
    </w:div>
    <w:div w:id="511646428">
      <w:bodyDiv w:val="1"/>
      <w:marLeft w:val="0"/>
      <w:marRight w:val="0"/>
      <w:marTop w:val="0"/>
      <w:marBottom w:val="0"/>
      <w:divBdr>
        <w:top w:val="none" w:sz="0" w:space="0" w:color="auto"/>
        <w:left w:val="none" w:sz="0" w:space="0" w:color="auto"/>
        <w:bottom w:val="none" w:sz="0" w:space="0" w:color="auto"/>
        <w:right w:val="none" w:sz="0" w:space="0" w:color="auto"/>
      </w:divBdr>
    </w:div>
    <w:div w:id="11083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7/S003329171400245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0022-3514.78.6.110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4407</Words>
  <Characters>25121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Bailey</dc:creator>
  <cp:keywords/>
  <cp:lastModifiedBy>Mike Bailey</cp:lastModifiedBy>
  <cp:revision>2</cp:revision>
  <cp:lastPrinted>2018-08-30T00:52:00Z</cp:lastPrinted>
  <dcterms:created xsi:type="dcterms:W3CDTF">2020-01-01T00:42:00Z</dcterms:created>
  <dcterms:modified xsi:type="dcterms:W3CDTF">2020-01-01T00:42:00Z</dcterms:modified>
</cp:coreProperties>
</file>