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rPr>
        <w:drawing>
          <wp:inline distB="0" distT="0" distL="0" distR="0">
            <wp:extent cx="994867" cy="1337361"/>
            <wp:effectExtent b="0" l="0" r="0" t="0"/>
            <wp:docPr descr="C:\Users\EPIS\Documents\upt.png" id="1" name="image4.png"/>
            <a:graphic>
              <a:graphicData uri="http://schemas.openxmlformats.org/drawingml/2006/picture">
                <pic:pic>
                  <pic:nvPicPr>
                    <pic:cNvPr descr="C:\Users\EPIS\Documents\upt.png" id="0" name="image4.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Proyecto</w:t>
      </w: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36"/>
          <w:szCs w:val="36"/>
          <w:rtl w:val="0"/>
        </w:rPr>
        <w:t xml:space="preserve">“Software para la digitalización automatizada de documentos en entidades privadas, 2026”</w:t>
      </w:r>
    </w:p>
    <w:p w:rsidR="00000000" w:rsidDel="00000000" w:rsidP="00000000" w:rsidRDefault="00000000" w:rsidRPr="00000000" w14:paraId="0000000C">
      <w:pPr>
        <w:spacing w:after="0" w:lineRule="auto"/>
        <w:jc w:val="center"/>
        <w:rPr>
          <w:rFonts w:ascii="Times New Roman" w:cs="Times New Roman" w:eastAsia="Times New Roman" w:hAnsi="Times New Roman"/>
          <w:i w:val="1"/>
          <w:iCs w:val="1"/>
          <w:sz w:val="36"/>
          <w:szCs w:val="36"/>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Curso:</w:t>
      </w:r>
    </w:p>
    <w:p w:rsidR="00000000" w:rsidDel="00000000" w:rsidP="00000000" w:rsidRDefault="00000000" w:rsidRPr="00000000" w14:paraId="0000000F">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Construcción de Software I</w:t>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Docente:</w:t>
      </w:r>
    </w:p>
    <w:p w:rsidR="00000000" w:rsidDel="00000000" w:rsidP="00000000" w:rsidRDefault="00000000" w:rsidRPr="00000000" w14:paraId="00000013">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Mag. Ricardo Eduardo Valcárcel Alvarado</w:t>
      </w:r>
    </w:p>
    <w:p w:rsidR="00000000" w:rsidDel="00000000" w:rsidP="00000000" w:rsidRDefault="00000000" w:rsidRPr="00000000" w14:paraId="00000014">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7">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8">
      <w:pPr>
        <w:spacing w:after="0" w:lineRule="auto"/>
        <w:ind w:firstLine="72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Ayala Ramos, Carlos Daniel</w:t>
        <w:tab/>
        <w:tab/>
        <w:tab/>
        <w:tab/>
        <w:t xml:space="preserve">2022074266</w:t>
      </w:r>
    </w:p>
    <w:p w:rsidR="00000000" w:rsidDel="00000000" w:rsidP="00000000" w:rsidRDefault="00000000" w:rsidRPr="00000000" w14:paraId="00000019">
      <w:pPr>
        <w:spacing w:after="0" w:lineRule="auto"/>
        <w:ind w:firstLine="72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Akhtar Oviedo, Ahmed Hasan </w:t>
        <w:tab/>
        <w:tab/>
        <w:tab/>
        <w:tab/>
        <w:t xml:space="preserve">2022074261</w:t>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E">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2026</w:t>
      </w:r>
    </w:p>
    <w:p w:rsidR="00000000" w:rsidDel="00000000" w:rsidP="00000000" w:rsidRDefault="00000000" w:rsidRPr="00000000" w14:paraId="0000001F">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bookmarkStart w:colFirst="0" w:colLast="0" w:name="_heading=h.n7kab5h0meyp" w:id="0"/>
      <w:bookmarkEnd w:id="0"/>
      <w:r w:rsidDel="00000000" w:rsidR="00000000" w:rsidRPr="00000000">
        <w:rPr>
          <w:rFonts w:ascii="Times New Roman" w:cs="Times New Roman" w:eastAsia="Times New Roman" w:hAnsi="Times New Roman"/>
          <w:sz w:val="34"/>
          <w:szCs w:val="34"/>
          <w:rtl w:val="0"/>
        </w:rPr>
        <w:t xml:space="preserve">Software para la digitalización automatizada de documentos en entidades privadas, 2026</w:t>
      </w: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Informe de Factibilidad</w:t>
      </w:r>
    </w:p>
    <w:p w:rsidR="00000000" w:rsidDel="00000000" w:rsidP="00000000" w:rsidRDefault="00000000" w:rsidRPr="00000000" w14:paraId="0000002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pStyle w:val="Title"/>
        <w:jc w:val="right"/>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2</w:t>
      </w:r>
      <w:r w:rsidDel="00000000" w:rsidR="00000000" w:rsidRPr="00000000">
        <w:rPr>
          <w:rFonts w:ascii="Times New Roman" w:cs="Times New Roman" w:eastAsia="Times New Roman" w:hAnsi="Times New Roman"/>
          <w:i w:val="1"/>
          <w:iCs w:val="1"/>
          <w:color w:val="000000"/>
          <w:sz w:val="28"/>
          <w:szCs w:val="28"/>
          <w:rtl w:val="0"/>
        </w:rPr>
        <w:t xml:space="preserve">.0</w:t>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 CDAR</w:t>
            </w:r>
          </w:p>
        </w:tc>
        <w:tc>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 CDAR</w:t>
            </w:r>
          </w:p>
        </w:tc>
        <w:tc>
          <w:tcPr>
            <w:vAlign w:val="center"/>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06/04/2026</w:t>
            </w:r>
          </w:p>
        </w:tc>
        <w:tc>
          <w:tcPr>
            <w:shd w:fill="auto" w:val="clear"/>
            <w:vAlign w:val="center"/>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5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w:t>
            </w:r>
          </w:p>
        </w:tc>
        <w:tc>
          <w:tcPr/>
          <w:p w:rsidR="00000000" w:rsidDel="00000000" w:rsidP="00000000" w:rsidRDefault="00000000" w:rsidRPr="00000000" w14:paraId="0000005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5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 CDAR</w:t>
            </w:r>
          </w:p>
        </w:tc>
        <w:tc>
          <w:tcPr/>
          <w:p w:rsidR="00000000" w:rsidDel="00000000" w:rsidP="00000000" w:rsidRDefault="00000000" w:rsidRPr="00000000" w14:paraId="0000005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 CDAR</w:t>
            </w:r>
          </w:p>
        </w:tc>
        <w:tc>
          <w:tcPr>
            <w:vAlign w:val="center"/>
          </w:tcPr>
          <w:p w:rsidR="00000000" w:rsidDel="00000000" w:rsidP="00000000" w:rsidRDefault="00000000" w:rsidRPr="00000000" w14:paraId="0000005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24/05/2026</w:t>
            </w:r>
          </w:p>
        </w:tc>
        <w:tc>
          <w:tcPr>
            <w:shd w:fill="auto" w:val="clear"/>
            <w:vAlign w:val="center"/>
          </w:tcPr>
          <w:p w:rsidR="00000000" w:rsidDel="00000000" w:rsidP="00000000" w:rsidRDefault="00000000" w:rsidRPr="00000000" w14:paraId="0000005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Cambios en algunos precios</w:t>
            </w:r>
          </w:p>
        </w:tc>
      </w:tr>
    </w:tbl>
    <w:p w:rsidR="00000000" w:rsidDel="00000000" w:rsidP="00000000" w:rsidRDefault="00000000" w:rsidRPr="00000000" w14:paraId="0000005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59">
      <w:pPr>
        <w:jc w:val="center"/>
        <w:rPr>
          <w:rFonts w:ascii="Times New Roman" w:cs="Times New Roman" w:eastAsia="Times New Roman" w:hAnsi="Times New Roman"/>
          <w:b w:val="1"/>
          <w:bCs w:val="1"/>
          <w:sz w:val="24"/>
          <w:szCs w:val="24"/>
          <w:u w:val="single"/>
        </w:rPr>
      </w:pPr>
      <w:r w:rsidDel="00000000" w:rsidR="00000000" w:rsidRPr="00000000">
        <w:rPr>
          <w:rtl w:val="0"/>
        </w:rPr>
      </w:r>
    </w:p>
    <w:sdt>
      <w:sdtPr>
        <w:id w:val="-1106539589"/>
        <w:docPartObj>
          <w:docPartGallery w:val="Table of Contents"/>
          <w:docPartUnique w:val="1"/>
        </w:docPartObj>
      </w:sdtPr>
      <w:sdtConten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tfo13aox9e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5ws4xb8hr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tab/>
              <w:t xml:space="preserve">Descripción del Proyecto</w:t>
              <w:tab/>
              <w:t xml:space="preserve">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9kz7b3kvbbv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tab/>
              <w:t xml:space="preserve">Riesgos</w:t>
              <w:tab/>
              <w:t xml:space="preserve">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6898p7da34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tab/>
              <w:t xml:space="preserve">Análisis de la Situación actual</w:t>
              <w:tab/>
              <w:t xml:space="preserve">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tfjmsgt0yk7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tab/>
              <w:t xml:space="preserve">Estudio de Factibilidad</w:t>
              <w:tab/>
              <w:t xml:space="preserve">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ljdirxutg4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Factibilidad Técnica</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xiyzg9i7y0o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Factibilidad económica</w:t>
              <w:tab/>
              <w:t xml:space="preserve">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1qb35ddw9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w:t>
              <w:tab/>
              <w:t xml:space="preserve">Factibilidad Operativa</w:t>
              <w:tab/>
              <w:t xml:space="preserve">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mf0ace23r9t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w:t>
              <w:tab/>
              <w:t xml:space="preserve">Factibilidad Legal</w:t>
              <w:tab/>
              <w:t xml:space="preserve">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jcascmrtm56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w:t>
              <w:tab/>
              <w:t xml:space="preserve">Factibilidad Social</w:t>
              <w:tab/>
              <w:t xml:space="preserve">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vivnuxrsohk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4.6</w:t>
              <w:tab/>
              <w:t xml:space="preserve">Factibilidad Ambiental</w:t>
              <w:tab/>
              <w:t xml:space="preserve">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h3t4ugd67yz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tab/>
              <w:t xml:space="preserve">Análisis Financiero</w:t>
              <w:tab/>
              <w:t xml:space="preserve">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hr2l58xoty6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tab/>
              <w:t xml:space="preserve">Conclusiones</w:t>
              <w:tab/>
              <w:t xml:space="preserve">5</w:t>
            </w:r>
          </w:hyperlink>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5">
      <w:pPr>
        <w:spacing w:after="0" w:before="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Informe de Factibilidad</w:t>
      </w:r>
    </w:p>
    <w:p w:rsidR="00000000" w:rsidDel="00000000" w:rsidP="00000000" w:rsidRDefault="00000000" w:rsidRPr="00000000" w14:paraId="00000076">
      <w:pPr>
        <w:spacing w:after="0" w:before="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5ws4xb8hrg"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Proyecto</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SaaS Híbrida de Gobernanza Documental, Clasificación Autónoma    con IA Local y Seguridad Criptográfica de Extremo a Extremo”.</w:t>
      </w:r>
    </w:p>
    <w:p w:rsidR="00000000" w:rsidDel="00000000" w:rsidP="00000000" w:rsidRDefault="00000000" w:rsidRPr="00000000" w14:paraId="0000007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Duración del proyecto</w:t>
      </w:r>
      <w:r w:rsidDel="00000000" w:rsidR="00000000" w:rsidRPr="00000000">
        <w:rPr>
          <w:rtl w:val="0"/>
        </w:rPr>
      </w:r>
    </w:p>
    <w:p w:rsidR="00000000" w:rsidDel="00000000" w:rsidP="00000000" w:rsidRDefault="00000000" w:rsidRPr="00000000" w14:paraId="0000007B">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cronograma de ejecución para el desarrollo e implementación del sistema se establece en un periodo de </w:t>
      </w:r>
      <w:r w:rsidDel="00000000" w:rsidR="00000000" w:rsidRPr="00000000">
        <w:rPr>
          <w:rFonts w:ascii="Times New Roman" w:cs="Times New Roman" w:eastAsia="Times New Roman" w:hAnsi="Times New Roman"/>
          <w:b w:val="1"/>
          <w:bCs w:val="1"/>
          <w:sz w:val="24"/>
          <w:szCs w:val="24"/>
          <w:rtl w:val="0"/>
        </w:rPr>
        <w:t xml:space="preserve">5 meses</w:t>
      </w:r>
      <w:r w:rsidDel="00000000" w:rsidR="00000000" w:rsidRPr="00000000">
        <w:rPr>
          <w:rFonts w:ascii="Times New Roman" w:cs="Times New Roman" w:eastAsia="Times New Roman" w:hAnsi="Times New Roman"/>
          <w:sz w:val="24"/>
          <w:szCs w:val="24"/>
          <w:rtl w:val="0"/>
        </w:rPr>
        <w:t xml:space="preserve">, distribuidos en las siguientes etapas críticas:</w:t>
      </w:r>
    </w:p>
    <w:p w:rsidR="00000000" w:rsidDel="00000000" w:rsidP="00000000" w:rsidRDefault="00000000" w:rsidRPr="00000000" w14:paraId="0000007C">
      <w:pPr>
        <w:numPr>
          <w:ilvl w:val="0"/>
          <w:numId w:val="15"/>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Mes 1:</w:t>
      </w:r>
      <w:r w:rsidDel="00000000" w:rsidR="00000000" w:rsidRPr="00000000">
        <w:rPr>
          <w:rFonts w:ascii="Times New Roman" w:cs="Times New Roman" w:eastAsia="Times New Roman" w:hAnsi="Times New Roman"/>
          <w:sz w:val="24"/>
          <w:szCs w:val="24"/>
          <w:rtl w:val="0"/>
        </w:rPr>
        <w:t xml:space="preserve"> Relevamiento de requisitos, diseño de arquitectura híbrida y configuración de entorno Cloud (SaaS).</w:t>
      </w:r>
      <w:r w:rsidDel="00000000" w:rsidR="00000000" w:rsidRPr="00000000">
        <w:rPr>
          <w:rtl w:val="0"/>
        </w:rPr>
      </w:r>
    </w:p>
    <w:p w:rsidR="00000000" w:rsidDel="00000000" w:rsidP="00000000" w:rsidRDefault="00000000" w:rsidRPr="00000000" w14:paraId="0000007D">
      <w:pPr>
        <w:numPr>
          <w:ilvl w:val="0"/>
          <w:numId w:val="15"/>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Mes 2:</w:t>
      </w:r>
      <w:r w:rsidDel="00000000" w:rsidR="00000000" w:rsidRPr="00000000">
        <w:rPr>
          <w:rFonts w:ascii="Times New Roman" w:cs="Times New Roman" w:eastAsia="Times New Roman" w:hAnsi="Times New Roman"/>
          <w:sz w:val="24"/>
          <w:szCs w:val="24"/>
          <w:rtl w:val="0"/>
        </w:rPr>
        <w:t xml:space="preserve"> Desarrollo de los motores de IA local (OCR y Computer Vision) y protocolos de comunicación TWAIN/WIA.</w:t>
      </w:r>
      <w:r w:rsidDel="00000000" w:rsidR="00000000" w:rsidRPr="00000000">
        <w:rPr>
          <w:rtl w:val="0"/>
        </w:rPr>
      </w:r>
    </w:p>
    <w:p w:rsidR="00000000" w:rsidDel="00000000" w:rsidP="00000000" w:rsidRDefault="00000000" w:rsidRPr="00000000" w14:paraId="0000007E">
      <w:pPr>
        <w:numPr>
          <w:ilvl w:val="0"/>
          <w:numId w:val="15"/>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Mes 3:</w:t>
      </w:r>
      <w:r w:rsidDel="00000000" w:rsidR="00000000" w:rsidRPr="00000000">
        <w:rPr>
          <w:rFonts w:ascii="Times New Roman" w:cs="Times New Roman" w:eastAsia="Times New Roman" w:hAnsi="Times New Roman"/>
          <w:sz w:val="24"/>
          <w:szCs w:val="24"/>
          <w:rtl w:val="0"/>
        </w:rPr>
        <w:t xml:space="preserve"> Implementación del Escudo de Privacidad (Criptografía Jerárquica) y Gestión de Espacios de Trabajo.</w:t>
      </w:r>
      <w:r w:rsidDel="00000000" w:rsidR="00000000" w:rsidRPr="00000000">
        <w:rPr>
          <w:rtl w:val="0"/>
        </w:rPr>
      </w:r>
    </w:p>
    <w:p w:rsidR="00000000" w:rsidDel="00000000" w:rsidP="00000000" w:rsidRDefault="00000000" w:rsidRPr="00000000" w14:paraId="0000007F">
      <w:pPr>
        <w:numPr>
          <w:ilvl w:val="0"/>
          <w:numId w:val="15"/>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Mes 4:</w:t>
      </w:r>
      <w:r w:rsidDel="00000000" w:rsidR="00000000" w:rsidRPr="00000000">
        <w:rPr>
          <w:rFonts w:ascii="Times New Roman" w:cs="Times New Roman" w:eastAsia="Times New Roman" w:hAnsi="Times New Roman"/>
          <w:sz w:val="24"/>
          <w:szCs w:val="24"/>
          <w:rtl w:val="0"/>
        </w:rPr>
        <w:t xml:space="preserve"> Pruebas de integración, auditoría de seguridad "Zero Trust" y optimización de algoritmos de compresión.</w:t>
      </w:r>
      <w:r w:rsidDel="00000000" w:rsidR="00000000" w:rsidRPr="00000000">
        <w:rPr>
          <w:rtl w:val="0"/>
        </w:rPr>
      </w:r>
    </w:p>
    <w:p w:rsidR="00000000" w:rsidDel="00000000" w:rsidP="00000000" w:rsidRDefault="00000000" w:rsidRPr="00000000" w14:paraId="00000080">
      <w:pPr>
        <w:numPr>
          <w:ilvl w:val="0"/>
          <w:numId w:val="15"/>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Mes 5:</w:t>
      </w:r>
      <w:r w:rsidDel="00000000" w:rsidR="00000000" w:rsidRPr="00000000">
        <w:rPr>
          <w:rFonts w:ascii="Times New Roman" w:cs="Times New Roman" w:eastAsia="Times New Roman" w:hAnsi="Times New Roman"/>
          <w:sz w:val="24"/>
          <w:szCs w:val="24"/>
          <w:rtl w:val="0"/>
        </w:rPr>
        <w:t xml:space="preserve"> Despliegue piloto, capacitación de usuarios (Administradores/Operadores) y cierre del proyecto.</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r w:rsidDel="00000000" w:rsidR="00000000" w:rsidRPr="00000000">
        <w:rPr>
          <w:rtl w:val="0"/>
        </w:rPr>
      </w:r>
    </w:p>
    <w:p w:rsidR="00000000" w:rsidDel="00000000" w:rsidP="00000000" w:rsidRDefault="00000000" w:rsidRPr="00000000" w14:paraId="00000082">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consiste en el diseño y construcción de una </w:t>
      </w:r>
      <w:r w:rsidDel="00000000" w:rsidR="00000000" w:rsidRPr="00000000">
        <w:rPr>
          <w:rFonts w:ascii="Times New Roman" w:cs="Times New Roman" w:eastAsia="Times New Roman" w:hAnsi="Times New Roman"/>
          <w:b w:val="1"/>
          <w:bCs w:val="1"/>
          <w:sz w:val="24"/>
          <w:szCs w:val="24"/>
          <w:rtl w:val="0"/>
        </w:rPr>
        <w:t xml:space="preserve">Plataforma SaaS Híbrida de Gestión Documental Inteligente</w:t>
      </w:r>
      <w:r w:rsidDel="00000000" w:rsidR="00000000" w:rsidRPr="00000000">
        <w:rPr>
          <w:rFonts w:ascii="Times New Roman" w:cs="Times New Roman" w:eastAsia="Times New Roman" w:hAnsi="Times New Roman"/>
          <w:sz w:val="24"/>
          <w:szCs w:val="24"/>
          <w:rtl w:val="0"/>
        </w:rPr>
        <w:t xml:space="preserve">. El sistema está diseñado para resolver la ineficiencia en el procesamiento físico de documentos mediante una arquitectura de </w:t>
      </w:r>
      <w:r w:rsidDel="00000000" w:rsidR="00000000" w:rsidRPr="00000000">
        <w:rPr>
          <w:rFonts w:ascii="Times New Roman" w:cs="Times New Roman" w:eastAsia="Times New Roman" w:hAnsi="Times New Roman"/>
          <w:b w:val="1"/>
          <w:bCs w:val="1"/>
          <w:sz w:val="24"/>
          <w:szCs w:val="24"/>
          <w:rtl w:val="0"/>
        </w:rPr>
        <w:t xml:space="preserve">Edge Computing</w:t>
      </w:r>
      <w:r w:rsidDel="00000000" w:rsidR="00000000" w:rsidRPr="00000000">
        <w:rPr>
          <w:rFonts w:ascii="Times New Roman" w:cs="Times New Roman" w:eastAsia="Times New Roman" w:hAnsi="Times New Roman"/>
          <w:sz w:val="24"/>
          <w:szCs w:val="24"/>
          <w:rtl w:val="0"/>
        </w:rPr>
        <w:t xml:space="preserve">, donde el procesamiento crítico (OCR, análisis de visión artificial y cifrado) se realiza de forma local en la estación de trabajo del usuario. Esto garantiza que la información sensible no transite por la red sin protección, cumpliendo con estándares internacionales de privacidad.</w:t>
      </w:r>
    </w:p>
    <w:p w:rsidR="00000000" w:rsidDel="00000000" w:rsidP="00000000" w:rsidRDefault="00000000" w:rsidRPr="00000000" w14:paraId="00000083">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opera bajo un modelo de </w:t>
      </w:r>
      <w:r w:rsidDel="00000000" w:rsidR="00000000" w:rsidRPr="00000000">
        <w:rPr>
          <w:rFonts w:ascii="Times New Roman" w:cs="Times New Roman" w:eastAsia="Times New Roman" w:hAnsi="Times New Roman"/>
          <w:b w:val="1"/>
          <w:bCs w:val="1"/>
          <w:sz w:val="24"/>
          <w:szCs w:val="24"/>
          <w:rtl w:val="0"/>
        </w:rPr>
        <w:t xml:space="preserve">Seguridad Zero Trust</w:t>
      </w:r>
      <w:r w:rsidDel="00000000" w:rsidR="00000000" w:rsidRPr="00000000">
        <w:rPr>
          <w:rFonts w:ascii="Times New Roman" w:cs="Times New Roman" w:eastAsia="Times New Roman" w:hAnsi="Times New Roman"/>
          <w:sz w:val="24"/>
          <w:szCs w:val="24"/>
          <w:rtl w:val="0"/>
        </w:rPr>
        <w:t xml:space="preserve">, permitiendo a las organizaciones (entidades públicas o privadas) definir políticas de gobernanza desde una consola central en la nube, mientras que la ejecución operativa se mantiene aislada y segura en el cliente local. El sistema no solo digitaliza, sino que clasifica, renombra y enruta los archivos automáticamente hacia silos lógicos (Google Drive, Dropbox, etc.) basándose en el contenido detectado por la IA.</w:t>
      </w:r>
    </w:p>
    <w:p w:rsidR="00000000" w:rsidDel="00000000" w:rsidP="00000000" w:rsidRDefault="00000000" w:rsidRPr="00000000" w14:paraId="00000084">
      <w:pPr>
        <w:spacing w:after="0" w:before="0" w:line="360" w:lineRule="auto"/>
        <w:ind w:left="360" w:hanging="76.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Objetivos</w:t>
      </w:r>
    </w:p>
    <w:p w:rsidR="00000000" w:rsidDel="00000000" w:rsidP="00000000" w:rsidRDefault="00000000" w:rsidRPr="00000000" w14:paraId="00000085">
      <w:pPr>
        <w:spacing w:after="0" w:before="0" w:line="360" w:lineRule="auto"/>
        <w:ind w:left="360" w:hanging="76.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1.4.1 Objetivo general</w:t>
      </w:r>
    </w:p>
    <w:p w:rsidR="00000000" w:rsidDel="00000000" w:rsidP="00000000" w:rsidRDefault="00000000" w:rsidRPr="00000000" w14:paraId="00000086">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una solución tecnológica de digitalización basada en Inteligencia Artificial local en un plazo de 5 meses, que garantice la integridad, confidencialidad y automatización del flujo documental en entidades públicas y privadas, reduciendo los tiempos de procesamiento manual y asegurando el cumplimiento de las normativas de protección de datos.</w:t>
      </w:r>
    </w:p>
    <w:p w:rsidR="00000000" w:rsidDel="00000000" w:rsidP="00000000" w:rsidRDefault="00000000" w:rsidRPr="00000000" w14:paraId="00000087">
      <w:pPr>
        <w:spacing w:after="0" w:before="0" w:line="360" w:lineRule="auto"/>
        <w:ind w:left="360" w:hanging="76.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1.4.2 Objetivos Específicos</w:t>
      </w:r>
    </w:p>
    <w:p w:rsidR="00000000" w:rsidDel="00000000" w:rsidP="00000000" w:rsidRDefault="00000000" w:rsidRPr="00000000" w14:paraId="00000088">
      <w:pPr>
        <w:numPr>
          <w:ilvl w:val="0"/>
          <w:numId w:val="4"/>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Automatización Inteligente:</w:t>
      </w:r>
      <w:r w:rsidDel="00000000" w:rsidR="00000000" w:rsidRPr="00000000">
        <w:rPr>
          <w:rFonts w:ascii="Times New Roman" w:cs="Times New Roman" w:eastAsia="Times New Roman" w:hAnsi="Times New Roman"/>
          <w:sz w:val="24"/>
          <w:szCs w:val="24"/>
          <w:rtl w:val="0"/>
        </w:rPr>
        <w:t xml:space="preserve"> Desarrollar un motor de IA local capaz de realizar la extracción OCR y el renombrado autónomo de documentos con un índice de precisión superior al 95%.</w:t>
      </w:r>
      <w:r w:rsidDel="00000000" w:rsidR="00000000" w:rsidRPr="00000000">
        <w:rPr>
          <w:rtl w:val="0"/>
        </w:rPr>
      </w:r>
    </w:p>
    <w:p w:rsidR="00000000" w:rsidDel="00000000" w:rsidP="00000000" w:rsidRDefault="00000000" w:rsidRPr="00000000" w14:paraId="00000089">
      <w:pPr>
        <w:numPr>
          <w:ilvl w:val="0"/>
          <w:numId w:val="4"/>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Seguridad y Privacidad:</w:t>
      </w:r>
      <w:r w:rsidDel="00000000" w:rsidR="00000000" w:rsidRPr="00000000">
        <w:rPr>
          <w:rFonts w:ascii="Times New Roman" w:cs="Times New Roman" w:eastAsia="Times New Roman" w:hAnsi="Times New Roman"/>
          <w:sz w:val="24"/>
          <w:szCs w:val="24"/>
          <w:rtl w:val="0"/>
        </w:rPr>
        <w:t xml:space="preserve"> Implementar un módulo de "Criptografía Jerárquica" que aplique automáticamente cifrado AES-256 a archivos que contengan términos confidenciales o marcas de agua detectadas por visión artificial.</w:t>
      </w:r>
      <w:r w:rsidDel="00000000" w:rsidR="00000000" w:rsidRPr="00000000">
        <w:rPr>
          <w:rtl w:val="0"/>
        </w:rPr>
      </w:r>
    </w:p>
    <w:p w:rsidR="00000000" w:rsidDel="00000000" w:rsidP="00000000" w:rsidRDefault="00000000" w:rsidRPr="00000000" w14:paraId="0000008A">
      <w:pPr>
        <w:numPr>
          <w:ilvl w:val="0"/>
          <w:numId w:val="4"/>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w:t>
      </w:r>
      <w:r w:rsidDel="00000000" w:rsidR="00000000" w:rsidRPr="00000000">
        <w:rPr>
          <w:rFonts w:ascii="Times New Roman" w:cs="Times New Roman" w:eastAsia="Times New Roman" w:hAnsi="Times New Roman"/>
          <w:sz w:val="24"/>
          <w:szCs w:val="24"/>
          <w:rtl w:val="0"/>
        </w:rPr>
        <w:t xml:space="preserve"> Garantizar la compatibilidad del sistema con hardware de escaneo estándar mediante protocolos TWAIN/WIA y la integración fluida con servicios de almacenamiento en la nube.</w:t>
      </w:r>
      <w:r w:rsidDel="00000000" w:rsidR="00000000" w:rsidRPr="00000000">
        <w:rPr>
          <w:rtl w:val="0"/>
        </w:rPr>
      </w:r>
    </w:p>
    <w:p w:rsidR="00000000" w:rsidDel="00000000" w:rsidP="00000000" w:rsidRDefault="00000000" w:rsidRPr="00000000" w14:paraId="0000008B">
      <w:pPr>
        <w:numPr>
          <w:ilvl w:val="0"/>
          <w:numId w:val="4"/>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 Recursos:</w:t>
      </w:r>
      <w:r w:rsidDel="00000000" w:rsidR="00000000" w:rsidRPr="00000000">
        <w:rPr>
          <w:rFonts w:ascii="Times New Roman" w:cs="Times New Roman" w:eastAsia="Times New Roman" w:hAnsi="Times New Roman"/>
          <w:sz w:val="24"/>
          <w:szCs w:val="24"/>
          <w:rtl w:val="0"/>
        </w:rPr>
        <w:t xml:space="preserve"> Integrar algoritmos de compresión dinámica para asegurar que el 100% de los documentos subidos a la nube mantengan un balance óptimo entre peso (inferior a 10MB) y calidad visual.</w:t>
      </w:r>
      <w:r w:rsidDel="00000000" w:rsidR="00000000" w:rsidRPr="00000000">
        <w:rPr>
          <w:rtl w:val="0"/>
        </w:rPr>
      </w:r>
    </w:p>
    <w:p w:rsidR="00000000" w:rsidDel="00000000" w:rsidP="00000000" w:rsidRDefault="00000000" w:rsidRPr="00000000" w14:paraId="0000008C">
      <w:pPr>
        <w:numPr>
          <w:ilvl w:val="0"/>
          <w:numId w:val="4"/>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Continuidad Operativa:</w:t>
      </w:r>
      <w:r w:rsidDel="00000000" w:rsidR="00000000" w:rsidRPr="00000000">
        <w:rPr>
          <w:rFonts w:ascii="Times New Roman" w:cs="Times New Roman" w:eastAsia="Times New Roman" w:hAnsi="Times New Roman"/>
          <w:sz w:val="24"/>
          <w:szCs w:val="24"/>
          <w:rtl w:val="0"/>
        </w:rPr>
        <w:t xml:space="preserve"> Establecer un mecanismo de sincronización asíncrona que permite la digitalización en modo </w:t>
      </w:r>
      <w:r w:rsidDel="00000000" w:rsidR="00000000" w:rsidRPr="00000000">
        <w:rPr>
          <w:rFonts w:ascii="Times New Roman" w:cs="Times New Roman" w:eastAsia="Times New Roman" w:hAnsi="Times New Roman"/>
          <w:i w:val="1"/>
          <w:iCs w:val="1"/>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 y la carga automática de archivos ante la restauración de la conectividad.</w:t>
      </w:r>
      <w:r w:rsidDel="00000000" w:rsidR="00000000" w:rsidRPr="00000000">
        <w:rPr>
          <w:rtl w:val="0"/>
        </w:rPr>
      </w:r>
    </w:p>
    <w:p w:rsidR="00000000" w:rsidDel="00000000" w:rsidP="00000000" w:rsidRDefault="00000000" w:rsidRPr="00000000" w14:paraId="0000008D">
      <w:pPr>
        <w:spacing w:after="0" w:before="0" w:line="360" w:lineRule="auto"/>
        <w:ind w:left="358" w:hanging="73.99999999999999"/>
        <w:jc w:val="both"/>
        <w:rPr>
          <w:rFonts w:ascii="Times New Roman" w:cs="Times New Roman" w:eastAsia="Times New Roman" w:hAnsi="Times New Roman"/>
          <w:i w:val="1"/>
          <w:iCs w:val="1"/>
          <w:color w:val="70ad47"/>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bookmarkStart w:colFirst="0" w:colLast="0" w:name="_heading=h.wf6zhsz2u1ua" w:id="2"/>
      <w:bookmarkEnd w:id="2"/>
      <w:r w:rsidDel="00000000" w:rsidR="00000000" w:rsidRPr="00000000">
        <w:br w:type="page"/>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9kz7b3kvbbvk"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Riesgos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bookmarkStart w:colFirst="0" w:colLast="0" w:name="_heading=h.351cts5nt2d2" w:id="4"/>
      <w:bookmarkEnd w:id="4"/>
      <w:r w:rsidDel="00000000" w:rsidR="00000000" w:rsidRPr="00000000">
        <w:rPr>
          <w:rFonts w:ascii="Times New Roman" w:cs="Times New Roman" w:eastAsia="Times New Roman" w:hAnsi="Times New Roman"/>
          <w:sz w:val="24"/>
          <w:szCs w:val="24"/>
          <w:rtl w:val="0"/>
        </w:rPr>
        <w:t xml:space="preserve">La identificación proactiva y el análisis estructurado de riesgos en la etapa temprana de factibilidad constituyen una práctica gerencial indispensable para garantizar la viabilidad del sistema. Este análisis evalúa rigurosamente las amenazas endógenas y exógenas que podrían afectar el éxito del proyecto, sobrecostear la ejecución o retrasar el cronograma de despliegue.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bookmarkStart w:colFirst="0" w:colLast="0" w:name="_heading=h.uyxng7somydk" w:id="5"/>
      <w:bookmarkEnd w:id="5"/>
      <w:r w:rsidDel="00000000" w:rsidR="00000000" w:rsidRPr="00000000">
        <w:rPr>
          <w:rFonts w:ascii="Times New Roman" w:cs="Times New Roman" w:eastAsia="Times New Roman" w:hAnsi="Times New Roman"/>
          <w:sz w:val="24"/>
          <w:szCs w:val="24"/>
          <w:rtl w:val="0"/>
        </w:rPr>
        <w:t xml:space="preserve">Para este análisis, se ha establecido un proceso sistemático que incluye la identificación, categorización y evaluación cualitativa de impacto y probabilidad, abarcando las dimensiones tecnológicas, operativas y de seguridad inherentes a la arquitectura de Edge Computing. A continuación, se presenta la Matriz de Riesgos del proyecto, ponderando la severidad y probabilidad en una escala del 1 al 5 (donde 5 representa la criticidad o certeza absoluta máxima) y definiendo las estrategias de mitigación correspondientes:</w:t>
      </w:r>
    </w:p>
    <w:p w:rsidR="00000000" w:rsidDel="00000000" w:rsidP="00000000" w:rsidRDefault="00000000" w:rsidRPr="00000000" w14:paraId="00000092">
      <w:pPr>
        <w:spacing w:after="0" w:before="0" w:line="360" w:lineRule="auto"/>
        <w:jc w:val="both"/>
        <w:rPr>
          <w:rFonts w:ascii="Times New Roman" w:cs="Times New Roman" w:eastAsia="Times New Roman" w:hAnsi="Times New Roman"/>
          <w:sz w:val="24"/>
          <w:szCs w:val="24"/>
        </w:rPr>
      </w:pPr>
      <w:bookmarkStart w:colFirst="0" w:colLast="0" w:name="_heading=h.fitmv4hnd71x" w:id="6"/>
      <w:bookmarkEnd w:id="6"/>
      <w:r w:rsidDel="00000000" w:rsidR="00000000" w:rsidRPr="00000000">
        <w:rPr>
          <w:rtl w:val="0"/>
        </w:rPr>
      </w:r>
    </w:p>
    <w:tbl>
      <w:tblPr>
        <w:tblStyle w:val="Table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370"/>
        <w:gridCol w:w="1020"/>
        <w:gridCol w:w="1275"/>
        <w:gridCol w:w="2100"/>
        <w:tblGridChange w:id="0">
          <w:tblGrid>
            <w:gridCol w:w="1725"/>
            <w:gridCol w:w="2370"/>
            <w:gridCol w:w="1020"/>
            <w:gridCol w:w="1275"/>
            <w:gridCol w:w="2100"/>
          </w:tblGrid>
        </w:tblGridChange>
      </w:tblGrid>
      <w:tr>
        <w:trPr>
          <w:cantSplit w:val="0"/>
          <w:trHeight w:val="908.7011718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93">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Categoría del Riesgo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94">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Descripción Detallada de la Amenaza Identificada</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95">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Impacto (1-5)</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96">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Probabilidad (1-5)</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97">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Estrategia Preliminar de Mitigación o Respuesta</w:t>
            </w:r>
          </w:p>
        </w:tc>
      </w:tr>
      <w:tr>
        <w:trPr>
          <w:cantSplit w:val="0"/>
          <w:trHeight w:val="4603.87939453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8">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Tecnológico / Hardware Legado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9">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Incompatibilidad o limitaciones de hardware periférico:</w:t>
            </w:r>
            <w:r w:rsidDel="00000000" w:rsidR="00000000" w:rsidRPr="00000000">
              <w:rPr>
                <w:rFonts w:ascii="Times New Roman" w:cs="Times New Roman" w:eastAsia="Times New Roman" w:hAnsi="Times New Roman"/>
                <w:color w:val="1f1f1f"/>
                <w:sz w:val="24"/>
                <w:szCs w:val="24"/>
                <w:rtl w:val="0"/>
              </w:rPr>
              <w:t xml:space="preserve"> Presencia de escáneres muy antiguos en las entidades usuarias que no soportan funciones avanzadas de digitalización o presentan inestabilidad con los protocolos TWAIN/WIA modernos.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A">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B">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C">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Implementar un diseño de software con "degradación elegante" (graceful degradation); si el escáner no soporta funciones nativas, el cliente local emulará los procesos por software. Adicionalmente, establecer requerimientos mínimos de drivers OEM.</w:t>
            </w:r>
          </w:p>
        </w:tc>
      </w:tr>
      <w:tr>
        <w:trPr>
          <w:cantSplit w:val="0"/>
          <w:trHeight w:val="5491.6552734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D">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Tecnológico / Conectividad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E">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Intermitencia de red y desincronización de permisos:</w:t>
            </w:r>
            <w:r w:rsidDel="00000000" w:rsidR="00000000" w:rsidRPr="00000000">
              <w:rPr>
                <w:rFonts w:ascii="Times New Roman" w:cs="Times New Roman" w:eastAsia="Times New Roman" w:hAnsi="Times New Roman"/>
                <w:color w:val="1f1f1f"/>
                <w:sz w:val="24"/>
                <w:szCs w:val="24"/>
                <w:rtl w:val="0"/>
              </w:rPr>
              <w:t xml:space="preserve"> Las conexiones a internet inestables en las entidades impiden la validación en tiempo real de los permisos (RBAC) y las actualizaciones de políticas de seguridad configuradas por el Administrador.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F">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0">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1">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Diseñar un "Modo Fuera de Línea" (Offline) resiliente con sincronización asíncrona. El sistema operará utilizando un token de sesión cifrado en caché con un tiempo de vida máximo (Time-to-Live); al reanudarse la conexión, se forzará la actualización de políticas antes de permitir la subida a la nube.</w:t>
            </w:r>
          </w:p>
        </w:tc>
      </w:tr>
      <w:tr>
        <w:trPr>
          <w:cantSplit w:val="0"/>
          <w:trHeight w:val="4798.87939453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2">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Organizacional / Gestión del Cambio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Resistencia operativa al cambio:</w:t>
            </w:r>
            <w:r w:rsidDel="00000000" w:rsidR="00000000" w:rsidRPr="00000000">
              <w:rPr>
                <w:rFonts w:ascii="Times New Roman" w:cs="Times New Roman" w:eastAsia="Times New Roman" w:hAnsi="Times New Roman"/>
                <w:color w:val="1f1f1f"/>
                <w:sz w:val="24"/>
                <w:szCs w:val="24"/>
                <w:rtl w:val="0"/>
              </w:rPr>
              <w:t xml:space="preserve"> Fuerte resistencia cultural por parte de los operadores de archivo acostumbrados a flujos físicos y manuales, lo que podría inducir a errores operativos o retrasos en la adopción tecnológica.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4">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5">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6">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Ejecutar un plan de capacitación funcional gradual e incorporar interfaces gráficas de usuario (UX) altamente intuitivas que requieran una curva de aprendizaje mínima para el operador.</w:t>
            </w:r>
          </w:p>
        </w:tc>
      </w:tr>
      <w:tr>
        <w:trPr>
          <w:cantSplit w:val="0"/>
          <w:trHeight w:val="4849.804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7">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Cumplimiento / Seguridad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8">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Evasión del Escudo de Privacidad:</w:t>
            </w:r>
            <w:r w:rsidDel="00000000" w:rsidR="00000000" w:rsidRPr="00000000">
              <w:rPr>
                <w:rFonts w:ascii="Times New Roman" w:cs="Times New Roman" w:eastAsia="Times New Roman" w:hAnsi="Times New Roman"/>
                <w:color w:val="1f1f1f"/>
                <w:sz w:val="24"/>
                <w:szCs w:val="24"/>
                <w:rtl w:val="0"/>
              </w:rPr>
              <w:t xml:space="preserve"> Documentos intencionalmente escaneados de forma borrosa o defectuosa que impidan al motor de Inteligencia Artificial (Visión Artificial / OCR) detectar marcas de agua o texto confidencial, comprometiendo la seguridad.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9">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A">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B">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Establecer una política de "Rechazo por Defecto" en la IA. Si el índice de confianza del OCR/Visión es bajo debido a la calidad del escaneo, el documento no se sincroniza y es aislado en la bandeja de "Pendientes de Revisión" local para intervención manual obligatoria.</w:t>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16898p7da34f"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de la Situación actual</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Planteamiento del problema</w:t>
      </w:r>
      <w:r w:rsidDel="00000000" w:rsidR="00000000" w:rsidRPr="00000000">
        <w:rPr>
          <w:rtl w:val="0"/>
        </w:rPr>
      </w:r>
    </w:p>
    <w:p w:rsidR="00000000" w:rsidDel="00000000" w:rsidP="00000000" w:rsidRDefault="00000000" w:rsidRPr="00000000" w14:paraId="000000AF">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una gran proporción de entidades públicas y corporaciones privadas enfrentan una crisis operativa en la gestión de sus flujos documentales. Los antecedentes operativos revelan una dependencia crítica de procesos manuales para la digitalización, clasificación y archivado de documentos físicos.</w:t>
      </w:r>
    </w:p>
    <w:p w:rsidR="00000000" w:rsidDel="00000000" w:rsidP="00000000" w:rsidRDefault="00000000" w:rsidRPr="00000000" w14:paraId="000000B0">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problemática central se desglosa en tres vectores críticos:</w:t>
      </w:r>
    </w:p>
    <w:p w:rsidR="00000000" w:rsidDel="00000000" w:rsidP="00000000" w:rsidRDefault="00000000" w:rsidRPr="00000000" w14:paraId="000000B1">
      <w:pPr>
        <w:numPr>
          <w:ilvl w:val="0"/>
          <w:numId w:val="10"/>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Ineficiencia Operativa y Errores Humanos:</w:t>
      </w:r>
      <w:r w:rsidDel="00000000" w:rsidR="00000000" w:rsidRPr="00000000">
        <w:rPr>
          <w:rFonts w:ascii="Times New Roman" w:cs="Times New Roman" w:eastAsia="Times New Roman" w:hAnsi="Times New Roman"/>
          <w:sz w:val="24"/>
          <w:szCs w:val="24"/>
          <w:rtl w:val="0"/>
        </w:rPr>
        <w:t xml:space="preserve"> Los operadores invierten una cantidad excesiva de horas-hombre en leer, renombrar y enrutar manualmente cada documento escaneado hacia sus respectivas carpetas, lo que genera cuellos de botella y una alta tasa de errores en la nomenclatura y ubicación final de los archivos.</w:t>
      </w:r>
      <w:r w:rsidDel="00000000" w:rsidR="00000000" w:rsidRPr="00000000">
        <w:rPr>
          <w:rtl w:val="0"/>
        </w:rPr>
      </w:r>
    </w:p>
    <w:p w:rsidR="00000000" w:rsidDel="00000000" w:rsidP="00000000" w:rsidRDefault="00000000" w:rsidRPr="00000000" w14:paraId="000000B2">
      <w:pPr>
        <w:numPr>
          <w:ilvl w:val="0"/>
          <w:numId w:val="10"/>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Vulnerabilidad de la Información Sensible:</w:t>
      </w:r>
      <w:r w:rsidDel="00000000" w:rsidR="00000000" w:rsidRPr="00000000">
        <w:rPr>
          <w:rFonts w:ascii="Times New Roman" w:cs="Times New Roman" w:eastAsia="Times New Roman" w:hAnsi="Times New Roman"/>
          <w:sz w:val="24"/>
          <w:szCs w:val="24"/>
          <w:rtl w:val="0"/>
        </w:rPr>
        <w:t xml:space="preserve"> Bajo el flujo de trabajo actual, los documentos que contienen información confidencial o clasificada transitan por las redes corporativas o se suben a la nube sin ningún tipo de cifrado previo, exponiendo a las organizaciones a brechas de seguridad severas e incumplimientos de normativas de privacidad de datos.</w:t>
      </w:r>
      <w:r w:rsidDel="00000000" w:rsidR="00000000" w:rsidRPr="00000000">
        <w:rPr>
          <w:rtl w:val="0"/>
        </w:rPr>
      </w:r>
    </w:p>
    <w:p w:rsidR="00000000" w:rsidDel="00000000" w:rsidP="00000000" w:rsidRDefault="00000000" w:rsidRPr="00000000" w14:paraId="000000B3">
      <w:pPr>
        <w:numPr>
          <w:ilvl w:val="0"/>
          <w:numId w:val="10"/>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la Conectividad Constante:</w:t>
      </w:r>
      <w:r w:rsidDel="00000000" w:rsidR="00000000" w:rsidRPr="00000000">
        <w:rPr>
          <w:rFonts w:ascii="Times New Roman" w:cs="Times New Roman" w:eastAsia="Times New Roman" w:hAnsi="Times New Roman"/>
          <w:sz w:val="24"/>
          <w:szCs w:val="24"/>
          <w:rtl w:val="0"/>
        </w:rPr>
        <w:t xml:space="preserve"> Las operaciones de digitalización se paralizan completamente cuando ocurren caídas en los servicios de red, afectando la continuidad del negocio.</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Consideraciones de hardware y software</w:t>
      </w:r>
      <w:r w:rsidDel="00000000" w:rsidR="00000000" w:rsidRPr="00000000">
        <w:rPr>
          <w:rtl w:val="0"/>
        </w:rPr>
      </w:r>
    </w:p>
    <w:p w:rsidR="00000000" w:rsidDel="00000000" w:rsidP="00000000" w:rsidRDefault="00000000" w:rsidRPr="00000000" w14:paraId="000000B6">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metódicamente el parque informático existente permite determinar con precisión la magnitud de la brecha técnica que el nuevo proyecto debe cerrar. El relevamiento de la infraestructura promedio en las entidades objetivo revela un entorno tecnológico altamente restrictivo y heredado (Legacy):</w:t>
      </w:r>
    </w:p>
    <w:p w:rsidR="00000000" w:rsidDel="00000000" w:rsidP="00000000" w:rsidRDefault="00000000" w:rsidRPr="00000000" w14:paraId="000000B7">
      <w:pPr>
        <w:numPr>
          <w:ilvl w:val="0"/>
          <w:numId w:val="12"/>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de Hardware Periférico (Limitada):</w:t>
      </w:r>
      <w:r w:rsidDel="00000000" w:rsidR="00000000" w:rsidRPr="00000000">
        <w:rPr>
          <w:rFonts w:ascii="Times New Roman" w:cs="Times New Roman" w:eastAsia="Times New Roman" w:hAnsi="Times New Roman"/>
          <w:sz w:val="24"/>
          <w:szCs w:val="24"/>
          <w:rtl w:val="0"/>
        </w:rPr>
        <w:t xml:space="preserve"> Las estaciones de trabajo operan con equipos de escaneo de antigua generación (escáneres legados) que carecen de funciones nativas de red, procesamiento de imágenes avanzado o conectividad directa a la nube. Estos dispositivos operan estrictamente como hardware periférico básico (tonto) conectado a las PC.</w:t>
      </w:r>
      <w:r w:rsidDel="00000000" w:rsidR="00000000" w:rsidRPr="00000000">
        <w:rPr>
          <w:rtl w:val="0"/>
        </w:rPr>
      </w:r>
    </w:p>
    <w:p w:rsidR="00000000" w:rsidDel="00000000" w:rsidP="00000000" w:rsidRDefault="00000000" w:rsidRPr="00000000" w14:paraId="000000B8">
      <w:pPr>
        <w:numPr>
          <w:ilvl w:val="0"/>
          <w:numId w:val="12"/>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de Red (Inestable):</w:t>
      </w:r>
      <w:r w:rsidDel="00000000" w:rsidR="00000000" w:rsidRPr="00000000">
        <w:rPr>
          <w:rFonts w:ascii="Times New Roman" w:cs="Times New Roman" w:eastAsia="Times New Roman" w:hAnsi="Times New Roman"/>
          <w:sz w:val="24"/>
          <w:szCs w:val="24"/>
          <w:rtl w:val="0"/>
        </w:rPr>
        <w:t xml:space="preserve"> Las redes de área local (LAN) y los enlaces de salida a Internet presentan una alta intermitencia, con fluctuaciones severas de ancho de banda y desconexiones imprevistas, lo que imposibilita depender de arquitecturas de procesamiento que requieran una conexión síncrona y constante a la nube (SaaS tradicional).</w:t>
      </w:r>
      <w:r w:rsidDel="00000000" w:rsidR="00000000" w:rsidRPr="00000000">
        <w:rPr>
          <w:rtl w:val="0"/>
        </w:rPr>
      </w:r>
    </w:p>
    <w:p w:rsidR="00000000" w:rsidDel="00000000" w:rsidP="00000000" w:rsidRDefault="00000000" w:rsidRPr="00000000" w14:paraId="000000B9">
      <w:pPr>
        <w:numPr>
          <w:ilvl w:val="0"/>
          <w:numId w:val="12"/>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Software Base:</w:t>
      </w:r>
      <w:r w:rsidDel="00000000" w:rsidR="00000000" w:rsidRPr="00000000">
        <w:rPr>
          <w:rFonts w:ascii="Times New Roman" w:cs="Times New Roman" w:eastAsia="Times New Roman" w:hAnsi="Times New Roman"/>
          <w:sz w:val="24"/>
          <w:szCs w:val="24"/>
          <w:rtl w:val="0"/>
        </w:rPr>
        <w:t xml:space="preserve"> Los equipos terminales cuentan con sistemas operativos Windows estándar y drivers OEM genéricos (TWAIN/WIA), careciendo de plataformas centralizadas de Gobernanza Documental.</w:t>
      </w:r>
      <w:r w:rsidDel="00000000" w:rsidR="00000000" w:rsidRPr="00000000">
        <w:rPr>
          <w:rtl w:val="0"/>
        </w:rPr>
      </w:r>
    </w:p>
    <w:p w:rsidR="00000000" w:rsidDel="00000000" w:rsidP="00000000" w:rsidRDefault="00000000" w:rsidRPr="00000000" w14:paraId="000000BA">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before="0" w:line="360" w:lineRule="auto"/>
        <w:ind w:left="708"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bookmarkStart w:colFirst="0" w:colLast="0" w:name="_heading=h.mausr6sn6kqr" w:id="8"/>
      <w:bookmarkEnd w:id="8"/>
      <w:r w:rsidDel="00000000" w:rsidR="00000000" w:rsidRPr="00000000">
        <w:br w:type="page"/>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tfjmsgt0yk7s"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Estudio de Factibilidad</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estudio evalúa las diferentes dimensiones (Técnica, Económica, Operativa, Legal y Social) para determinar la viabilidad y el grado de éxito esperado en el desarrollo e implementación de la Plataforma DocuZen.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1ljdirxutg48"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Técnica</w:t>
      </w:r>
      <w:r w:rsidDel="00000000" w:rsidR="00000000" w:rsidRPr="00000000">
        <w:rPr>
          <w:rtl w:val="0"/>
        </w:rPr>
      </w:r>
    </w:p>
    <w:p w:rsidR="00000000" w:rsidDel="00000000" w:rsidP="00000000" w:rsidRDefault="00000000" w:rsidRPr="00000000" w14:paraId="000000C2">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técnica evalúa si la organización dispone, o puede adquirir, la tecnología, la infraestructura y el conocimiento técnico (Stack Tecnológico) necesario para construir, implementar y mantener el sistema propuesto. Tras el análisis de los requerimientos de la arquitectura híbrida (Edge Computing + Nube), se concluye que el proyecto es </w:t>
      </w:r>
      <w:r w:rsidDel="00000000" w:rsidR="00000000" w:rsidRPr="00000000">
        <w:rPr>
          <w:rFonts w:ascii="Times New Roman" w:cs="Times New Roman" w:eastAsia="Times New Roman" w:hAnsi="Times New Roman"/>
          <w:b w:val="1"/>
          <w:bCs w:val="1"/>
          <w:sz w:val="24"/>
          <w:szCs w:val="24"/>
          <w:rtl w:val="0"/>
        </w:rPr>
        <w:t xml:space="preserve">técnicamente factible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ecosistema tecnológico seleccionado ha sido diseñado para equilibrar el rendimiento local intensivo con una gestión en la nube altamente escalable, dividiéndose en los siguientes componentes:</w:t>
      </w:r>
    </w:p>
    <w:p w:rsidR="00000000" w:rsidDel="00000000" w:rsidP="00000000" w:rsidRDefault="00000000" w:rsidRPr="00000000" w14:paraId="000000C4">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4.1.1 Arquitectura del Cliente Local (Edge Computing &amp; UI/UX)</w:t>
      </w:r>
      <w:r w:rsidDel="00000000" w:rsidR="00000000" w:rsidRPr="00000000">
        <w:rPr>
          <w:rFonts w:ascii="Times New Roman" w:cs="Times New Roman" w:eastAsia="Times New Roman" w:hAnsi="Times New Roman"/>
          <w:sz w:val="24"/>
          <w:szCs w:val="24"/>
          <w:rtl w:val="0"/>
        </w:rPr>
        <w:t xml:space="preserve"> Para el despliegue en las estaciones de trabajo (Modo Individual y Empleado), se empleará una arquitectura basada en contenedores web ligeros soportada por un núcleo de alto rendimiento:</w:t>
      </w:r>
    </w:p>
    <w:p w:rsidR="00000000" w:rsidDel="00000000" w:rsidP="00000000" w:rsidRDefault="00000000" w:rsidRPr="00000000" w14:paraId="000000C5">
      <w:pPr>
        <w:numPr>
          <w:ilvl w:val="0"/>
          <w:numId w:val="13"/>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Motor Lógico y de IA (Backend Local):</w:t>
      </w:r>
      <w:r w:rsidDel="00000000" w:rsidR="00000000" w:rsidRPr="00000000">
        <w:rPr>
          <w:rFonts w:ascii="Times New Roman" w:cs="Times New Roman" w:eastAsia="Times New Roman" w:hAnsi="Times New Roman"/>
          <w:sz w:val="24"/>
          <w:szCs w:val="24"/>
          <w:rtl w:val="0"/>
        </w:rPr>
        <w:t xml:space="preserve"> Desarrollado en </w:t>
      </w: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Este lenguaje actuará como el núcleo de procesamiento, gestionando la ejecución del OCR local, los modelos de Visión Artificial para el "Template Matching", la Criptografía Jerárquica (AES-256) y la interoperabilidad directa con los periféricos mediante protocolos TWAIN/WIA.</w:t>
      </w:r>
      <w:r w:rsidDel="00000000" w:rsidR="00000000" w:rsidRPr="00000000">
        <w:rPr>
          <w:rtl w:val="0"/>
        </w:rPr>
      </w:r>
    </w:p>
    <w:p w:rsidR="00000000" w:rsidDel="00000000" w:rsidP="00000000" w:rsidRDefault="00000000" w:rsidRPr="00000000" w14:paraId="000000C6">
      <w:pPr>
        <w:numPr>
          <w:ilvl w:val="0"/>
          <w:numId w:val="13"/>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Framework Orquestador:</w:t>
      </w:r>
      <w:r w:rsidDel="00000000" w:rsidR="00000000" w:rsidRPr="00000000">
        <w:rPr>
          <w:rFonts w:ascii="Times New Roman" w:cs="Times New Roman" w:eastAsia="Times New Roman" w:hAnsi="Times New Roman"/>
          <w:sz w:val="24"/>
          <w:szCs w:val="24"/>
          <w:rtl w:val="0"/>
        </w:rPr>
        <w:t xml:space="preserve"> Se utilizará </w:t>
      </w:r>
      <w:r w:rsidDel="00000000" w:rsidR="00000000" w:rsidRPr="00000000">
        <w:rPr>
          <w:rFonts w:ascii="Times New Roman" w:cs="Times New Roman" w:eastAsia="Times New Roman" w:hAnsi="Times New Roman"/>
          <w:b w:val="1"/>
          <w:bCs w:val="1"/>
          <w:sz w:val="24"/>
          <w:szCs w:val="24"/>
          <w:rtl w:val="0"/>
        </w:rPr>
        <w:t xml:space="preserve">Eel</w:t>
      </w:r>
      <w:r w:rsidDel="00000000" w:rsidR="00000000" w:rsidRPr="00000000">
        <w:rPr>
          <w:rFonts w:ascii="Times New Roman" w:cs="Times New Roman" w:eastAsia="Times New Roman" w:hAnsi="Times New Roman"/>
          <w:sz w:val="24"/>
          <w:szCs w:val="24"/>
          <w:rtl w:val="0"/>
        </w:rPr>
        <w:t xml:space="preserve"> (o PyWebView) como puente de comunicación. Este framework permite compilar la aplicación para que corra de forma nativa en Windows, enlazando los procesos pesados de Python en el backend local con el frontend.</w:t>
      </w:r>
      <w:r w:rsidDel="00000000" w:rsidR="00000000" w:rsidRPr="00000000">
        <w:rPr>
          <w:rtl w:val="0"/>
        </w:rPr>
      </w:r>
    </w:p>
    <w:p w:rsidR="00000000" w:rsidDel="00000000" w:rsidP="00000000" w:rsidRDefault="00000000" w:rsidRPr="00000000" w14:paraId="000000C7">
      <w:pPr>
        <w:numPr>
          <w:ilvl w:val="0"/>
          <w:numId w:val="13"/>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Interfaz de Usuario (Frontend Local):</w:t>
      </w:r>
      <w:r w:rsidDel="00000000" w:rsidR="00000000" w:rsidRPr="00000000">
        <w:rPr>
          <w:rFonts w:ascii="Times New Roman" w:cs="Times New Roman" w:eastAsia="Times New Roman" w:hAnsi="Times New Roman"/>
          <w:sz w:val="24"/>
          <w:szCs w:val="24"/>
          <w:rtl w:val="0"/>
        </w:rPr>
        <w:t xml:space="preserve"> Construida con </w:t>
      </w:r>
      <w:r w:rsidDel="00000000" w:rsidR="00000000" w:rsidRPr="00000000">
        <w:rPr>
          <w:rFonts w:ascii="Times New Roman" w:cs="Times New Roman" w:eastAsia="Times New Roman" w:hAnsi="Times New Roman"/>
          <w:b w:val="1"/>
          <w:bCs w:val="1"/>
          <w:sz w:val="24"/>
          <w:szCs w:val="24"/>
          <w:rtl w:val="0"/>
        </w:rPr>
        <w:t xml:space="preserve">HTML, JavaScript y Tailwind CSS</w:t>
      </w:r>
      <w:r w:rsidDel="00000000" w:rsidR="00000000" w:rsidRPr="00000000">
        <w:rPr>
          <w:rFonts w:ascii="Times New Roman" w:cs="Times New Roman" w:eastAsia="Times New Roman" w:hAnsi="Times New Roman"/>
          <w:sz w:val="24"/>
          <w:szCs w:val="24"/>
          <w:rtl w:val="0"/>
        </w:rPr>
        <w:t xml:space="preserve">. Esto garantiza una experiencia de usuario (UX) responsiva, fluida y con estándares de diseño web modernos, operando dentro del entorno de escritorio.</w:t>
      </w:r>
      <w:r w:rsidDel="00000000" w:rsidR="00000000" w:rsidRPr="00000000">
        <w:rPr>
          <w:rtl w:val="0"/>
        </w:rPr>
      </w:r>
    </w:p>
    <w:p w:rsidR="00000000" w:rsidDel="00000000" w:rsidP="00000000" w:rsidRDefault="00000000" w:rsidRPr="00000000" w14:paraId="000000C8">
      <w:pPr>
        <w:numPr>
          <w:ilvl w:val="0"/>
          <w:numId w:val="13"/>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y Resiliencia Local:</w:t>
      </w:r>
      <w:r w:rsidDel="00000000" w:rsidR="00000000" w:rsidRPr="00000000">
        <w:rPr>
          <w:rFonts w:ascii="Times New Roman" w:cs="Times New Roman" w:eastAsia="Times New Roman" w:hAnsi="Times New Roman"/>
          <w:sz w:val="24"/>
          <w:szCs w:val="24"/>
          <w:rtl w:val="0"/>
        </w:rPr>
        <w:t xml:space="preserve"> Integración de </w:t>
      </w:r>
      <w:r w:rsidDel="00000000" w:rsidR="00000000" w:rsidRPr="00000000">
        <w:rPr>
          <w:rFonts w:ascii="Times New Roman" w:cs="Times New Roman" w:eastAsia="Times New Roman" w:hAnsi="Times New Roman"/>
          <w:b w:val="1"/>
          <w:bCs w:val="1"/>
          <w:sz w:val="24"/>
          <w:szCs w:val="24"/>
          <w:rtl w:val="0"/>
        </w:rPr>
        <w:t xml:space="preserve">SQLite</w:t>
      </w:r>
      <w:r w:rsidDel="00000000" w:rsidR="00000000" w:rsidRPr="00000000">
        <w:rPr>
          <w:rFonts w:ascii="Times New Roman" w:cs="Times New Roman" w:eastAsia="Times New Roman" w:hAnsi="Times New Roman"/>
          <w:sz w:val="24"/>
          <w:szCs w:val="24"/>
          <w:rtl w:val="0"/>
        </w:rPr>
        <w:t xml:space="preserve"> como base de datos embebida. Actuará como gestor de caché temporal para la "Bandeja de Pendientes", posibilitando el modo offline y la sincronización asíncrona sin pérdida de datos.</w:t>
      </w:r>
      <w:r w:rsidDel="00000000" w:rsidR="00000000" w:rsidRPr="00000000">
        <w:rPr>
          <w:rtl w:val="0"/>
        </w:rPr>
      </w:r>
    </w:p>
    <w:p w:rsidR="00000000" w:rsidDel="00000000" w:rsidP="00000000" w:rsidRDefault="00000000" w:rsidRPr="00000000" w14:paraId="000000C9">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4.1.2 Arquitectura del Panel Web SaaS (Gestión y Auditoría)</w:t>
      </w:r>
      <w:r w:rsidDel="00000000" w:rsidR="00000000" w:rsidRPr="00000000">
        <w:rPr>
          <w:rFonts w:ascii="Times New Roman" w:cs="Times New Roman" w:eastAsia="Times New Roman" w:hAnsi="Times New Roman"/>
          <w:sz w:val="24"/>
          <w:szCs w:val="24"/>
          <w:rtl w:val="0"/>
        </w:rPr>
        <w:t xml:space="preserve"> El componente en la nube, responsable de la orquestación centralizada y la seguridad "Zero Trust", se construirá bajo una arquitectura de microservicios orientada a la alta disponibilidad:</w:t>
      </w:r>
    </w:p>
    <w:p w:rsidR="00000000" w:rsidDel="00000000" w:rsidP="00000000" w:rsidRDefault="00000000" w:rsidRPr="00000000" w14:paraId="000000CB">
      <w:pPr>
        <w:numPr>
          <w:ilvl w:val="0"/>
          <w:numId w:val="8"/>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Frontend (Panel de Administrador):</w:t>
      </w:r>
      <w:r w:rsidDel="00000000" w:rsidR="00000000" w:rsidRPr="00000000">
        <w:rPr>
          <w:rFonts w:ascii="Times New Roman" w:cs="Times New Roman" w:eastAsia="Times New Roman" w:hAnsi="Times New Roman"/>
          <w:sz w:val="24"/>
          <w:szCs w:val="24"/>
          <w:rtl w:val="0"/>
        </w:rPr>
        <w:t xml:space="preserve"> Desarrollado en </w:t>
      </w: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(utilizando el framework </w:t>
      </w:r>
      <w:r w:rsidDel="00000000" w:rsidR="00000000" w:rsidRPr="00000000">
        <w:rPr>
          <w:rFonts w:ascii="Times New Roman" w:cs="Times New Roman" w:eastAsia="Times New Roman" w:hAnsi="Times New Roman"/>
          <w:b w:val="1"/>
          <w:bCs w:val="1"/>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Facilitará la creación de dashboards interactivos para la configuración de "Silos Lógicos" y visualización de trazas de auditoría. El uso compartido de Tailwind CSS asegurará la consistencia visual con el cliente local.</w:t>
      </w:r>
      <w:r w:rsidDel="00000000" w:rsidR="00000000" w:rsidRPr="00000000">
        <w:rPr>
          <w:rtl w:val="0"/>
        </w:rPr>
      </w:r>
    </w:p>
    <w:p w:rsidR="00000000" w:rsidDel="00000000" w:rsidP="00000000" w:rsidRDefault="00000000" w:rsidRPr="00000000" w14:paraId="000000CC">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numPr>
          <w:ilvl w:val="0"/>
          <w:numId w:val="8"/>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Backend (API RESTful):</w:t>
      </w:r>
      <w:r w:rsidDel="00000000" w:rsidR="00000000" w:rsidRPr="00000000">
        <w:rPr>
          <w:rFonts w:ascii="Times New Roman" w:cs="Times New Roman" w:eastAsia="Times New Roman" w:hAnsi="Times New Roman"/>
          <w:sz w:val="24"/>
          <w:szCs w:val="24"/>
          <w:rtl w:val="0"/>
        </w:rPr>
        <w:t xml:space="preserve"> Implementado en </w:t>
      </w:r>
      <w:r w:rsidDel="00000000" w:rsidR="00000000" w:rsidRPr="00000000">
        <w:rPr>
          <w:rFonts w:ascii="Times New Roman" w:cs="Times New Roman" w:eastAsia="Times New Roman" w:hAnsi="Times New Roman"/>
          <w:b w:val="1"/>
          <w:bCs w:val="1"/>
          <w:sz w:val="24"/>
          <w:szCs w:val="24"/>
          <w:rtl w:val="0"/>
        </w:rPr>
        <w:t xml:space="preserve">Node.js con NestJS</w:t>
      </w:r>
      <w:r w:rsidDel="00000000" w:rsidR="00000000" w:rsidRPr="00000000">
        <w:rPr>
          <w:rFonts w:ascii="Times New Roman" w:cs="Times New Roman" w:eastAsia="Times New Roman" w:hAnsi="Times New Roman"/>
          <w:sz w:val="24"/>
          <w:szCs w:val="24"/>
          <w:rtl w:val="0"/>
        </w:rPr>
        <w:t xml:space="preserve">. Este entorno, fuertemente tipado con TypeScript, estructurará la lógica de negocio, gestionará el Control de Acceso Basado en Roles (RBAC) y administrará las integraciones mediante API con los servicios de almacenamiento (Google Drive, Dropbox).</w:t>
      </w:r>
      <w:r w:rsidDel="00000000" w:rsidR="00000000" w:rsidRPr="00000000">
        <w:rPr>
          <w:rtl w:val="0"/>
        </w:rPr>
      </w:r>
    </w:p>
    <w:p w:rsidR="00000000" w:rsidDel="00000000" w:rsidP="00000000" w:rsidRDefault="00000000" w:rsidRPr="00000000" w14:paraId="000000CE">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numPr>
          <w:ilvl w:val="0"/>
          <w:numId w:val="8"/>
        </w:numPr>
        <w:spacing w:after="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Gestor de Base de Datos Principal:</w:t>
      </w:r>
      <w:r w:rsidDel="00000000" w:rsidR="00000000" w:rsidRPr="00000000">
        <w:rPr>
          <w:rFonts w:ascii="Times New Roman" w:cs="Times New Roman" w:eastAsia="Times New Roman" w:hAnsi="Times New Roman"/>
          <w:sz w:val="24"/>
          <w:szCs w:val="24"/>
          <w:rtl w:val="0"/>
        </w:rPr>
        <w:t xml:space="preserve"> Se empleará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el estándar relacional de la industria, garantizando la integridad referencial y el cumplimiento normativo estricto para el manejo de identidades, eliminaciones lógicas (Soft Delete) y auditorías forenses inmutables.</w:t>
      </w:r>
      <w:r w:rsidDel="00000000" w:rsidR="00000000" w:rsidRPr="00000000">
        <w:rPr>
          <w:rtl w:val="0"/>
        </w:rPr>
      </w:r>
    </w:p>
    <w:p w:rsidR="00000000" w:rsidDel="00000000" w:rsidP="00000000" w:rsidRDefault="00000000" w:rsidRPr="00000000" w14:paraId="000000D0">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4.1.3 Infraestructura de Despliegue y Alojamiento</w:t>
      </w:r>
      <w:r w:rsidDel="00000000" w:rsidR="00000000" w:rsidRPr="00000000">
        <w:rPr>
          <w:rFonts w:ascii="Times New Roman" w:cs="Times New Roman" w:eastAsia="Times New Roman" w:hAnsi="Times New Roman"/>
          <w:sz w:val="24"/>
          <w:szCs w:val="24"/>
          <w:rtl w:val="0"/>
        </w:rPr>
        <w:t xml:space="preserve"> Para el despliegue del componente SaaS (Backend y Base de Datos), se prescindirá de servicios de nube hiperescalables (AWS, GCP) en favor de un </w:t>
      </w:r>
      <w:r w:rsidDel="00000000" w:rsidR="00000000" w:rsidRPr="00000000">
        <w:rPr>
          <w:rFonts w:ascii="Times New Roman" w:cs="Times New Roman" w:eastAsia="Times New Roman" w:hAnsi="Times New Roman"/>
          <w:b w:val="1"/>
          <w:bCs w:val="1"/>
          <w:sz w:val="24"/>
          <w:szCs w:val="24"/>
          <w:rtl w:val="0"/>
        </w:rPr>
        <w:t xml:space="preserve">Servidor Privado Virtual (VPS) </w:t>
      </w:r>
      <w:r w:rsidDel="00000000" w:rsidR="00000000" w:rsidRPr="00000000">
        <w:rPr>
          <w:rFonts w:ascii="Times New Roman" w:cs="Times New Roman" w:eastAsia="Times New Roman" w:hAnsi="Times New Roman"/>
          <w:sz w:val="24"/>
          <w:szCs w:val="24"/>
          <w:rtl w:val="0"/>
        </w:rPr>
        <w:t xml:space="preserve">como se puede ver en el Anexo 2. Esta decisión técnica centraliza el control operativo, asegura un entorno dedicado para la ejecución de los contenedores (Node.js/PostgreSQL) y permite una escalabilidad vertical gestionada, manteniendo los costos de infraestructura planos y predecibles durante las primeras fases de adopción del producto.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bookmarkStart w:colFirst="0" w:colLast="0" w:name="_heading=h.ymx1bd9sm9np" w:id="11"/>
      <w:bookmarkEnd w:id="11"/>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xiyzg9i7y0o1"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Económica</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360" w:right="0" w:firstLine="0"/>
        <w:jc w:val="left"/>
        <w:rPr>
          <w:rFonts w:ascii="Times New Roman" w:cs="Times New Roman" w:eastAsia="Times New Roman" w:hAnsi="Times New Roman"/>
          <w:i w:val="1"/>
          <w:iCs w:val="1"/>
          <w:smallCaps w:val="0"/>
          <w:strike w:val="0"/>
          <w:color w:val="00b05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estudio es determinar la viabilidad financiera para el desarrollo de la Plataforma "DocuZen", cuantificando la inversión inicial requerida frente a los beneficios económicos proyectados. El enfoque de desarrollo se basa en un modelo ágil y descentralizado, optimizando los recursos mediante el trabajo remoto y un esquema de compensación mixto (estipendios por hitos y participación accionaria).</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1134" w:right="0" w:hanging="72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Costos Generales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proyecto se ejecutará bajo una política estrictamente </w:t>
      </w:r>
      <w:r w:rsidDel="00000000" w:rsidR="00000000" w:rsidRPr="00000000">
        <w:rPr>
          <w:rFonts w:ascii="Times New Roman" w:cs="Times New Roman" w:eastAsia="Times New Roman" w:hAnsi="Times New Roman"/>
          <w:i w:val="1"/>
          <w:iCs w:val="1"/>
          <w:sz w:val="24"/>
          <w:szCs w:val="24"/>
          <w:rtl w:val="0"/>
        </w:rPr>
        <w:t xml:space="preserve">paperless</w:t>
      </w:r>
      <w:r w:rsidDel="00000000" w:rsidR="00000000" w:rsidRPr="00000000">
        <w:rPr>
          <w:rFonts w:ascii="Times New Roman" w:cs="Times New Roman" w:eastAsia="Times New Roman" w:hAnsi="Times New Roman"/>
          <w:sz w:val="24"/>
          <w:szCs w:val="24"/>
          <w:rtl w:val="0"/>
        </w:rPr>
        <w:t xml:space="preserve"> (cero papel) para alinearse con la naturaleza de digitalización del propio software. Asimismo, el equipo técnico utilizará sus propias estaciones de trabajo bajo la política BYOD (</w:t>
      </w:r>
      <w:r w:rsidDel="00000000" w:rsidR="00000000" w:rsidRPr="00000000">
        <w:rPr>
          <w:rFonts w:ascii="Times New Roman" w:cs="Times New Roman" w:eastAsia="Times New Roman" w:hAnsi="Times New Roman"/>
          <w:i w:val="1"/>
          <w:iCs w:val="1"/>
          <w:sz w:val="24"/>
          <w:szCs w:val="24"/>
          <w:rtl w:val="0"/>
        </w:rPr>
        <w:t xml:space="preserve">Bring Your Own Device</w:t>
      </w:r>
      <w:r w:rsidDel="00000000" w:rsidR="00000000" w:rsidRPr="00000000">
        <w:rPr>
          <w:rFonts w:ascii="Times New Roman" w:cs="Times New Roman" w:eastAsia="Times New Roman" w:hAnsi="Times New Roman"/>
          <w:sz w:val="24"/>
          <w:szCs w:val="24"/>
          <w:rtl w:val="0"/>
        </w:rPr>
        <w:t xml:space="preserve">), eliminando la necesidad de adquirir hardware adicional para el desarrollo del Producto Mínimo Viable (MVP).</w:t>
      </w:r>
    </w:p>
    <w:p w:rsidR="00000000" w:rsidDel="00000000" w:rsidP="00000000" w:rsidRDefault="00000000" w:rsidRPr="00000000" w14:paraId="000000DB">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0739132779636"/>
        <w:gridCol w:w="3319.8642001941544"/>
        <w:gridCol w:w="1499.7632132456051"/>
        <w:gridCol w:w="1630.8104843059004"/>
        <w:tblGridChange w:id="0">
          <w:tblGrid>
            <w:gridCol w:w="2053.0739132779636"/>
            <w:gridCol w:w="3319.8642001941544"/>
            <w:gridCol w:w="1499.7632132456051"/>
            <w:gridCol w:w="1630.8104843059004"/>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DC">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Concepto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DD">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DE">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Mensual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DF">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Total (5 meses)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0">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Equipos de Cómputo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1">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Laptops y periféricos (Aportación de los socios)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2">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3">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1024.7460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4">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Material de Oficina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5">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Papelería, consumibles (Enfoque </w:t>
            </w:r>
            <w:r w:rsidDel="00000000" w:rsidR="00000000" w:rsidRPr="00000000">
              <w:rPr>
                <w:rFonts w:ascii="Times New Roman" w:cs="Times New Roman" w:eastAsia="Times New Roman" w:hAnsi="Times New Roman"/>
                <w:i w:val="1"/>
                <w:iCs w:val="1"/>
                <w:color w:val="1f1f1f"/>
                <w:sz w:val="24"/>
                <w:szCs w:val="24"/>
                <w:rtl w:val="0"/>
              </w:rPr>
              <w:t xml:space="preserve">paperless</w:t>
            </w:r>
            <w:r w:rsidDel="00000000" w:rsidR="00000000" w:rsidRPr="00000000">
              <w:rPr>
                <w:rFonts w:ascii="Times New Roman" w:cs="Times New Roman" w:eastAsia="Times New Roman" w:hAnsi="Times New Roman"/>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6">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7">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1204.7460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8">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 Costos Generales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9">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A">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B">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0.00</w:t>
            </w: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993" w:right="0" w:hanging="72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Costos operativos durante el desarrollo </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actividades operativas se llevarán a cabo en modalidad 100% remota (</w:t>
      </w:r>
      <w:r w:rsidDel="00000000" w:rsidR="00000000" w:rsidRPr="00000000">
        <w:rPr>
          <w:rFonts w:ascii="Times New Roman" w:cs="Times New Roman" w:eastAsia="Times New Roman" w:hAnsi="Times New Roman"/>
          <w:i w:val="1"/>
          <w:iCs w:val="1"/>
          <w:sz w:val="24"/>
          <w:szCs w:val="24"/>
          <w:rtl w:val="0"/>
        </w:rPr>
        <w:t xml:space="preserve">Home Office</w:t>
      </w:r>
      <w:r w:rsidDel="00000000" w:rsidR="00000000" w:rsidRPr="00000000">
        <w:rPr>
          <w:rFonts w:ascii="Times New Roman" w:cs="Times New Roman" w:eastAsia="Times New Roman" w:hAnsi="Times New Roman"/>
          <w:sz w:val="24"/>
          <w:szCs w:val="24"/>
          <w:rtl w:val="0"/>
        </w:rPr>
        <w:t xml:space="preserve">). Los gastos por concepto de servicios básicos necesarios para la operatividad diaria son asumidos íntegramente por cada integrante del equipo como parte de su compromiso de coinversión operativa con la </w:t>
      </w:r>
      <w:r w:rsidDel="00000000" w:rsidR="00000000" w:rsidRPr="00000000">
        <w:rPr>
          <w:rFonts w:ascii="Times New Roman" w:cs="Times New Roman" w:eastAsia="Times New Roman" w:hAnsi="Times New Roman"/>
          <w:i w:val="1"/>
          <w:iCs w:val="1"/>
          <w:sz w:val="24"/>
          <w:szCs w:val="24"/>
          <w:rtl w:val="0"/>
        </w:rPr>
        <w:t xml:space="preserve">startup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3.4116869809086"/>
        <w:gridCol w:w="2984.965618595621"/>
        <w:gridCol w:w="1499.7632132456051"/>
        <w:gridCol w:w="1645.3712922014888"/>
        <w:tblGridChange w:id="0">
          <w:tblGrid>
            <w:gridCol w:w="2373.4116869809086"/>
            <w:gridCol w:w="2984.965618595621"/>
            <w:gridCol w:w="1499.7632132456051"/>
            <w:gridCol w:w="1645.3712922014888"/>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2">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Concepto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3">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4">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Mensual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F5">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Total (5 meses)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6">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Infraestructura Física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7">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Renta de oficina / Espacio de Coworking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8">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9">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A">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Servicios Básicos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B">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Agua, Luz, Telefonía, Internet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C">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D">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E">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 Costos Operativos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F">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0">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1">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0.00</w:t>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720" w:right="0" w:hanging="436"/>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Costos del ambiente</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sistema requiere un servidor en la nube para alojar el backend SaaS y la base de datos central. Para la fase de desarrollo, como se muestra en el anexo 1 las cuotas gratuitas (Free Tier) de los servicios de almacenamiento son suficientes para los ensayos de sincronización asíncrona.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1.6549185632625"/>
        <w:gridCol w:w="3217.938544925036"/>
        <w:gridCol w:w="1412.3983658720745"/>
        <w:gridCol w:w="1441.5199816632514"/>
        <w:tblGridChange w:id="0">
          <w:tblGrid>
            <w:gridCol w:w="2431.6549185632625"/>
            <w:gridCol w:w="3217.938544925036"/>
            <w:gridCol w:w="1412.3983658720745"/>
            <w:gridCol w:w="1441.5199816632514"/>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0A">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Concepto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0B">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0C">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Mensual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0D">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Total (5 meses)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E">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Servidor VPS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F">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Alojamiento del panel web, API REST y PostgreSQL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0">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20.00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1">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100.00</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2">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Almacenamiento Cloud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3">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APIs de Google Drive / Dropbox (Cuentas capa gratuita)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4">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5">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6">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 Costos de Ambiente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7">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8">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9">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100.00</w:t>
            </w: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993" w:right="0" w:hanging="72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Costos de personal</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recurso humano es el núcleo de valor del proyecto. La remuneración principal se realizará mediante participación accionaria (acciones de la </w:t>
      </w:r>
      <w:r w:rsidDel="00000000" w:rsidR="00000000" w:rsidRPr="00000000">
        <w:rPr>
          <w:rFonts w:ascii="Times New Roman" w:cs="Times New Roman" w:eastAsia="Times New Roman" w:hAnsi="Times New Roman"/>
          <w:i w:val="1"/>
          <w:iCs w:val="1"/>
          <w:sz w:val="24"/>
          <w:szCs w:val="24"/>
          <w:rtl w:val="0"/>
        </w:rPr>
        <w:t xml:space="preserve">startup</w:t>
      </w:r>
      <w:r w:rsidDel="00000000" w:rsidR="00000000" w:rsidRPr="00000000">
        <w:rPr>
          <w:rFonts w:ascii="Times New Roman" w:cs="Times New Roman" w:eastAsia="Times New Roman" w:hAnsi="Times New Roman"/>
          <w:sz w:val="24"/>
          <w:szCs w:val="24"/>
          <w:rtl w:val="0"/>
        </w:rPr>
        <w:t xml:space="preserve">), complementada con un estipendio económico escalonado para cubrir gastos mínimos. El estudio refleja tanto el flujo de caja real requerido como el costo equivalente de mercado para establecer la valorización real de la plataforma.</w:t>
      </w:r>
    </w:p>
    <w:p w:rsidR="00000000" w:rsidDel="00000000" w:rsidP="00000000" w:rsidRDefault="00000000" w:rsidRPr="00000000" w14:paraId="0000011F">
      <w:pPr>
        <w:numPr>
          <w:ilvl w:val="0"/>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Organización y Roles:</w:t>
      </w:r>
      <w:r w:rsidDel="00000000" w:rsidR="00000000" w:rsidRPr="00000000">
        <w:rPr>
          <w:rFonts w:ascii="Times New Roman" w:cs="Times New Roman" w:eastAsia="Times New Roman" w:hAnsi="Times New Roman"/>
          <w:sz w:val="24"/>
          <w:szCs w:val="24"/>
          <w:rtl w:val="0"/>
        </w:rPr>
        <w:t xml:space="preserve"> 2 Desarrolladores cubriendo el </w:t>
      </w:r>
      <w:r w:rsidDel="00000000" w:rsidR="00000000" w:rsidRPr="00000000">
        <w:rPr>
          <w:rFonts w:ascii="Times New Roman" w:cs="Times New Roman" w:eastAsia="Times New Roman" w:hAnsi="Times New Roman"/>
          <w:i w:val="1"/>
          <w:iCs w:val="1"/>
          <w:sz w:val="24"/>
          <w:szCs w:val="24"/>
          <w:rtl w:val="0"/>
        </w:rPr>
        <w:t xml:space="preserve">stack</w:t>
      </w:r>
      <w:r w:rsidDel="00000000" w:rsidR="00000000" w:rsidRPr="00000000">
        <w:rPr>
          <w:rFonts w:ascii="Times New Roman" w:cs="Times New Roman" w:eastAsia="Times New Roman" w:hAnsi="Times New Roman"/>
          <w:sz w:val="24"/>
          <w:szCs w:val="24"/>
          <w:rtl w:val="0"/>
        </w:rPr>
        <w:t xml:space="preserve"> tecnológico completo (1 Backend/IA en Python y 1 Frontend/Cliente Local en React/Eel).</w:t>
      </w:r>
    </w:p>
    <w:p w:rsidR="00000000" w:rsidDel="00000000" w:rsidP="00000000" w:rsidRDefault="00000000" w:rsidRPr="00000000" w14:paraId="00000120">
      <w:pPr>
        <w:numPr>
          <w:ilvl w:val="0"/>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Dedicación:</w:t>
      </w:r>
      <w:r w:rsidDel="00000000" w:rsidR="00000000" w:rsidRPr="00000000">
        <w:rPr>
          <w:rFonts w:ascii="Times New Roman" w:cs="Times New Roman" w:eastAsia="Times New Roman" w:hAnsi="Times New Roman"/>
          <w:sz w:val="24"/>
          <w:szCs w:val="24"/>
          <w:rtl w:val="0"/>
        </w:rPr>
        <w:t xml:space="preserve"> Modalidad </w:t>
      </w:r>
      <w:r w:rsidDel="00000000" w:rsidR="00000000" w:rsidRPr="00000000">
        <w:rPr>
          <w:rFonts w:ascii="Times New Roman" w:cs="Times New Roman" w:eastAsia="Times New Roman" w:hAnsi="Times New Roman"/>
          <w:i w:val="1"/>
          <w:iCs w:val="1"/>
          <w:sz w:val="24"/>
          <w:szCs w:val="24"/>
          <w:rtl w:val="0"/>
        </w:rPr>
        <w:t xml:space="preserve">Part-time</w:t>
      </w:r>
      <w:r w:rsidDel="00000000" w:rsidR="00000000" w:rsidRPr="00000000">
        <w:rPr>
          <w:rFonts w:ascii="Times New Roman" w:cs="Times New Roman" w:eastAsia="Times New Roman" w:hAnsi="Times New Roman"/>
          <w:sz w:val="24"/>
          <w:szCs w:val="24"/>
          <w:rtl w:val="0"/>
        </w:rPr>
        <w:t xml:space="preserve"> (máximo 5 horas diarias por integrante).</w:t>
      </w:r>
    </w:p>
    <w:p w:rsidR="00000000" w:rsidDel="00000000" w:rsidP="00000000" w:rsidRDefault="00000000" w:rsidRPr="00000000" w14:paraId="00000121">
      <w:pPr>
        <w:numPr>
          <w:ilvl w:val="0"/>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Compensación:</w:t>
      </w:r>
      <w:r w:rsidDel="00000000" w:rsidR="00000000" w:rsidRPr="00000000">
        <w:rPr>
          <w:rFonts w:ascii="Times New Roman" w:cs="Times New Roman" w:eastAsia="Times New Roman" w:hAnsi="Times New Roman"/>
          <w:sz w:val="24"/>
          <w:szCs w:val="24"/>
          <w:rtl w:val="0"/>
        </w:rPr>
        <w:t xml:space="preserve"> Estipendio de S/ 500 cada dos meses (Mes 2 y Mes 4), y S/ 250 en el último mes de desarrollo (Mes 5). El equivalente de mercado se calcula con un salario base conservador de S/ 1,500 mensuales por desarrollador de medio tiempo.</w:t>
      </w:r>
    </w:p>
    <w:p w:rsidR="00000000" w:rsidDel="00000000" w:rsidP="00000000" w:rsidRDefault="00000000" w:rsidRPr="00000000" w14:paraId="00000122">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4640798766136"/>
        <w:gridCol w:w="1665.6363341180293"/>
        <w:gridCol w:w="1592.582108937414"/>
        <w:gridCol w:w="1884.7990096598753"/>
        <w:gridCol w:w="1388.030278431691"/>
        <w:tblGridChange w:id="0">
          <w:tblGrid>
            <w:gridCol w:w="1972.4640798766136"/>
            <w:gridCol w:w="1665.6363341180293"/>
            <w:gridCol w:w="1592.582108937414"/>
            <w:gridCol w:w="1884.7990096598753"/>
            <w:gridCol w:w="1388.030278431691"/>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23">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24">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Equivalente Mensual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25">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Valor Total Mercado (5 meses)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26">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Desembolso Real en Efectivo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27">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Saldo Cubierto en Acciones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8">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Desarrollador Backend / 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9">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1,500.00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A">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7,500.00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B">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1,250.00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C">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6,250.00</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D">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Desarrollador Frontend / UX</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E">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1,500.00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F">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7,500.00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0">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1,250.00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1">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6,250.00</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2">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 Costos de Personal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3">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4">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15,000.00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5">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2,500.00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6">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12,500.00</w:t>
            </w:r>
            <w:r w:rsidDel="00000000" w:rsidR="00000000" w:rsidRPr="00000000">
              <w:rPr>
                <w:rtl w:val="0"/>
              </w:rPr>
            </w:r>
          </w:p>
        </w:tc>
      </w:tr>
    </w:tbl>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993" w:right="0" w:hanging="72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Costos totales del desarrollo del sistema </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financiera es altamente favorable, manteniendo el riesgo económico en efectivo en un umbral extremadamente bajo.</w:t>
      </w:r>
    </w:p>
    <w:p w:rsidR="00000000" w:rsidDel="00000000" w:rsidP="00000000" w:rsidRDefault="00000000" w:rsidRPr="00000000" w14:paraId="0000013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6.4178996364813"/>
        <w:gridCol w:w="3331.870045205168"/>
        <w:gridCol w:w="2955.2238661819747"/>
        <w:tblGridChange w:id="0">
          <w:tblGrid>
            <w:gridCol w:w="2216.4178996364813"/>
            <w:gridCol w:w="3331.870045205168"/>
            <w:gridCol w:w="2955.2238661819747"/>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D">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Categoría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E">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Valorización del Proyecto (Costo Real)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3F">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Desembolso de Efectivo Requerido</w:t>
            </w:r>
            <w:r w:rsidDel="00000000" w:rsidR="00000000" w:rsidRPr="00000000">
              <w:rPr>
                <w:rtl w:val="0"/>
              </w:rPr>
            </w:r>
          </w:p>
        </w:tc>
      </w:tr>
      <w:tr>
        <w:trPr>
          <w:cantSplit w:val="0"/>
          <w:trHeight w:val="797.37304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0">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Costos Generales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1">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2">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3">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Costos Operativos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4">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5">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6">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Costos de Ambiente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7">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8">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100.00</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9">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Costos de Personal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A">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15,000.00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B">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2,500.00</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C">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 DE INVERSIÓN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D">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15,100.00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E">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2,600.00</w:t>
            </w: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r1qb35ddw9c"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Operativa</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operativa evalúa si el sistema será utilizado adecuadamente por los usuarios finales y si la organización tiene la capacidad de adaptarse a los nuevos procesos. Considerando el perfil de los usuarios (Administradores y Operadores de archivo), el proyecto se determina como altamente factible.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 de Aprendizaje y Usabilidad (UX/UI): El diseño del cliente local prioriza una interfaz gráfica web (construida con React y Tailwind CSS) encapsulada en el escritorio. Esto proporciona una experiencia de usuario intuitiva, similar a la navegación web moderna, lo que reduce drásticamente la resistencia al cambio por parte de los operadores acostumbrados a sistemas arcaicos.</w:t>
      </w:r>
    </w:p>
    <w:p w:rsidR="00000000" w:rsidDel="00000000" w:rsidP="00000000" w:rsidRDefault="00000000" w:rsidRPr="00000000" w14:paraId="00000155">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Automatización Transparente: La arquitectura de Edge Computing delega la complejidad tecnológica al backend en Python. El operador solo debe seleccionar el "Espacio de Trabajo" (Silo Lógico) y colocar el papel en el escáner; el sistema se encarga autónomamente de la extracción OCR, el renombrado, la validación visual de marcas de agua y la encriptación.</w:t>
      </w:r>
    </w:p>
    <w:p w:rsidR="00000000" w:rsidDel="00000000" w:rsidP="00000000" w:rsidRDefault="00000000" w:rsidRPr="00000000" w14:paraId="00000157">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Excepciones: La inclusión de una "Bandeja de Pendientes" para revisión manual y el manejo inteligente de atascos de papel garantizan que las operaciones diarias no se paralicen por fallos técnicos menores, asegurando la continuidad operativa del negocio sin requerir soporte técnico constante.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sz w:val="24"/>
          <w:szCs w:val="24"/>
        </w:rPr>
      </w:pPr>
      <w:bookmarkStart w:colFirst="0" w:colLast="0" w:name="_heading=h.vnaookxqkncx" w:id="14"/>
      <w:bookmarkEnd w:id="14"/>
      <w:r w:rsidDel="00000000" w:rsidR="00000000" w:rsidRPr="00000000">
        <w:br w:type="page"/>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mf0ace23r9te"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Lega</w:t>
      </w:r>
      <w:r w:rsidDel="00000000" w:rsidR="00000000" w:rsidRPr="00000000">
        <w:rPr>
          <w:rFonts w:ascii="Times New Roman" w:cs="Times New Roman" w:eastAsia="Times New Roman" w:hAnsi="Times New Roman"/>
          <w:b w:val="1"/>
          <w:bCs w:val="1"/>
          <w:sz w:val="24"/>
          <w:szCs w:val="24"/>
          <w:rtl w:val="0"/>
        </w:rPr>
        <w:t xml:space="preserve">l</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bookmarkStart w:colFirst="0" w:colLast="0" w:name="_heading=h.5yh92ty0y9er" w:id="16"/>
      <w:bookmarkEnd w:id="16"/>
      <w:r w:rsidDel="00000000" w:rsidR="00000000" w:rsidRPr="00000000">
        <w:rPr>
          <w:rFonts w:ascii="Times New Roman" w:cs="Times New Roman" w:eastAsia="Times New Roman" w:hAnsi="Times New Roman"/>
          <w:sz w:val="24"/>
          <w:szCs w:val="24"/>
          <w:rtl w:val="0"/>
        </w:rPr>
        <w:t xml:space="preserve">El análisis de factibilidad legal asegura que el desarrollo y la implementación del software cumplan con las normativas locales e internacionales vigentes, especialmente en materia de privacidad y manejo de información confidencial. El proyecto es completamente factible y legalmente robusto, destacando como una herramienta de cumplimiento normativo (Compliance) para las empresas que lo adquieran.</w:t>
      </w:r>
    </w:p>
    <w:p w:rsidR="00000000" w:rsidDel="00000000" w:rsidP="00000000" w:rsidRDefault="00000000" w:rsidRPr="00000000" w14:paraId="0000015E">
      <w:pPr>
        <w:numPr>
          <w:ilvl w:val="0"/>
          <w:numId w:val="5"/>
        </w:numPr>
        <w:spacing w:after="0" w:before="0" w:line="360" w:lineRule="auto"/>
        <w:ind w:left="720" w:hanging="360"/>
        <w:jc w:val="both"/>
        <w:rPr>
          <w:rFonts w:ascii="Times New Roman" w:cs="Times New Roman" w:eastAsia="Times New Roman" w:hAnsi="Times New Roman"/>
          <w:sz w:val="24"/>
          <w:szCs w:val="24"/>
        </w:rPr>
      </w:pPr>
      <w:bookmarkStart w:colFirst="0" w:colLast="0" w:name="_heading=h.w0nxfk93gais" w:id="17"/>
      <w:bookmarkEnd w:id="17"/>
      <w:r w:rsidDel="00000000" w:rsidR="00000000" w:rsidRPr="00000000">
        <w:rPr>
          <w:rFonts w:ascii="Times New Roman" w:cs="Times New Roman" w:eastAsia="Times New Roman" w:hAnsi="Times New Roman"/>
          <w:sz w:val="24"/>
          <w:szCs w:val="24"/>
          <w:rtl w:val="0"/>
        </w:rPr>
        <w:t xml:space="preserve">Protección de Datos Personales (Ley N° 29733 / GDPR): El sistema aborda magistralmente la privacidad al no enviar datos en texto plano a la nube. Gracias al procesamiento en el borde (Edge Computing), el análisis de la información sensible se realiza en la máquina del usuario. El "Escudo de Privacidad" aplica criptografía jerárquica (AES-256) antes de que el documento abandone la red local, eximiendo a la organización de responsabilidades por filtraciones de datos en tránsito.</w:t>
      </w:r>
    </w:p>
    <w:p w:rsidR="00000000" w:rsidDel="00000000" w:rsidP="00000000" w:rsidRDefault="00000000" w:rsidRPr="00000000" w14:paraId="0000015F">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y Trazabilidad Forense: La plataforma cumple con los requisitos legales de auditoría y no repudio corporativo. Mediante el uso de PostgreSQL, se garantiza la inmutabilidad de los logs de eventos (quién escaneó, cuándo y a qué espacio).</w:t>
      </w:r>
    </w:p>
    <w:p w:rsidR="00000000" w:rsidDel="00000000" w:rsidP="00000000" w:rsidRDefault="00000000" w:rsidRPr="00000000" w14:paraId="00000161">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Derechos Laborales y Acceso: La implementación del sistema de Soft Delete (eliminación lógica) para usuarios inactivos asegura que se respete el historial de acciones sin vulnerar el derecho a la desconexión o eliminación de accesos de exempleados, manteniendo intacta la cadena de custodia digital.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bookmarkStart w:colFirst="0" w:colLast="0" w:name="_heading=h.edcwudzeab2o" w:id="18"/>
      <w:bookmarkEnd w:id="18"/>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jcascmrtm56q"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Social</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bookmarkStart w:colFirst="0" w:colLast="0" w:name="_heading=h.p1rih6ozdguz" w:id="20"/>
      <w:bookmarkEnd w:id="20"/>
      <w:r w:rsidDel="00000000" w:rsidR="00000000" w:rsidRPr="00000000">
        <w:rPr>
          <w:rFonts w:ascii="Times New Roman" w:cs="Times New Roman" w:eastAsia="Times New Roman" w:hAnsi="Times New Roman"/>
          <w:sz w:val="24"/>
          <w:szCs w:val="24"/>
          <w:rtl w:val="0"/>
        </w:rPr>
        <w:t xml:space="preserve">La factibilidad social evalúa el impacto del proyecto sobre los grupos de interés internos (empleados) y externos (clientes/ciudadanos de las entidades usuarias). El impacto proyectado es altamente positivo.</w:t>
      </w:r>
    </w:p>
    <w:p w:rsidR="00000000" w:rsidDel="00000000" w:rsidP="00000000" w:rsidRDefault="00000000" w:rsidRPr="00000000" w14:paraId="00000166">
      <w:pPr>
        <w:numPr>
          <w:ilvl w:val="0"/>
          <w:numId w:val="2"/>
        </w:numPr>
        <w:spacing w:after="0" w:before="0" w:line="360" w:lineRule="auto"/>
        <w:ind w:left="720" w:hanging="360"/>
        <w:jc w:val="both"/>
        <w:rPr>
          <w:rFonts w:ascii="Times New Roman" w:cs="Times New Roman" w:eastAsia="Times New Roman" w:hAnsi="Times New Roman"/>
          <w:sz w:val="24"/>
          <w:szCs w:val="24"/>
        </w:rPr>
      </w:pPr>
      <w:bookmarkStart w:colFirst="0" w:colLast="0" w:name="_heading=h.dmz5ecaep0lv" w:id="21"/>
      <w:bookmarkEnd w:id="21"/>
      <w:r w:rsidDel="00000000" w:rsidR="00000000" w:rsidRPr="00000000">
        <w:rPr>
          <w:rFonts w:ascii="Times New Roman" w:cs="Times New Roman" w:eastAsia="Times New Roman" w:hAnsi="Times New Roman"/>
          <w:sz w:val="24"/>
          <w:szCs w:val="24"/>
          <w:rtl w:val="0"/>
        </w:rPr>
        <w:t xml:space="preserve">Dignificación del Trabajo y Upskilling: El sistema elimina la carga operativa y monótona de digitalizar y renombrar documentos a mano (una tarea propensa a generar estrés y errores). Esto permite que los operadores de archivo o secretarías evolucionen hacia roles de validación y control de calidad, mejorando su bienestar laboral y aportando mayor valor analítico a la institución.</w:t>
      </w:r>
    </w:p>
    <w:p w:rsidR="00000000" w:rsidDel="00000000" w:rsidP="00000000" w:rsidRDefault="00000000" w:rsidRPr="00000000" w14:paraId="00000167">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al Ciudadano/Cliente Final: En entidades públicas o empresas de servicios, la clasificación automatizada y enrutamiento jerárquico permite que los expedientes digitales estén disponibles casi instantáneamente en la nube segura. Esto se traduce en una drástica reducción en los tiempos de atención y respuesta a las solicitudes ciudadanas o comerciales, mejorando la percepción pública de la entidad.</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bookmarkStart w:colFirst="0" w:colLast="0" w:name="_heading=h.lwo5rz7cpwvu" w:id="22"/>
      <w:bookmarkEnd w:id="22"/>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vivnuxrsohks" w:id="23"/>
      <w:bookmarkEnd w:id="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Ambiental</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sz w:val="24"/>
          <w:szCs w:val="24"/>
        </w:rPr>
      </w:pPr>
      <w:bookmarkStart w:colFirst="0" w:colLast="0" w:name="_heading=h.vcxehan0adek" w:id="24"/>
      <w:bookmarkEnd w:id="24"/>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la arquitectura se concibe como una plataforma de Gobernanza Documental, el sistema está intrínsecamente alineado con los Objetivos de Desarrollo Sostenible (ODS) y las políticas corporativas de Responsabilidad Social Empresarial. El proyecto es altamente factible a nivel ecológico.</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 Paperless y Desmaterialización: Al proporcionar un puente eficiente y seguro hacia el ecosistema digital, la plataforma desincentiva la creación de múltiples copias físicas del mismo documento para diferentes departamentos. La información se centraliza en la nube, promoviendo agresivamente la política de "Cero Papel".</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 de Almacenamiento (Huella de Carbono Digital): El módulo de compresión dinámica incluido en la Fase 4 del sistema reduce el peso de los archivos PDF hasta en un 40% antes de sincronizarlos. A gran escala, esto significa que los servidores en la nube de Google o AWS (donde se alojan los documentos finales) requerirán menos energía para almacenamiento y transferencia de datos, reduciendo indirectamente la huella de carbono asociada al uso de centros de datos.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bookmarkStart w:colFirst="0" w:colLast="0" w:name="_heading=h.w8uvfis3u0zs" w:id="25"/>
      <w:bookmarkEnd w:id="25"/>
      <w:r w:rsidDel="00000000" w:rsidR="00000000" w:rsidRPr="00000000">
        <w:br w:type="page"/>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h3t4ugd67yzs" w:id="26"/>
      <w:bookmarkEnd w:id="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Financiero</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apartado tiene como objetivo demostrar la viabilidad financiera y la rentabilidad del proyecto "DocuZen" una vez lanzado al mercado. Para ello, se han modelado los flujos de caja proyectados a un horizonte de 3 años, tomando como base un modelo de suscripción escalable y una Tasa de Costo de Oportunidad (COK) del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que representa el rendimiento mínimo esperado para un proyecto tecnológico de este nivel de riesgo.</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 de la Inversión</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4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58" w:right="0" w:firstLine="11.00000000000008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5.1.1 Beneficios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del Proyecto</w:t>
      </w:r>
      <w:r w:rsidDel="00000000" w:rsidR="00000000" w:rsidRPr="00000000">
        <w:rPr>
          <w:rtl w:val="0"/>
        </w:rPr>
      </w:r>
    </w:p>
    <w:p w:rsidR="00000000" w:rsidDel="00000000" w:rsidP="00000000" w:rsidRDefault="00000000" w:rsidRPr="00000000" w14:paraId="00000179">
      <w:pPr>
        <w:shd w:fill="ffffff" w:val="clear"/>
        <w:spacing w:after="0" w:before="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Ingresos (Base Mensual Año 1):</w:t>
      </w:r>
    </w:p>
    <w:p w:rsidR="00000000" w:rsidDel="00000000" w:rsidP="00000000" w:rsidRDefault="00000000" w:rsidRPr="00000000" w14:paraId="0000017A">
      <w:pPr>
        <w:numPr>
          <w:ilvl w:val="0"/>
          <w:numId w:val="9"/>
        </w:numPr>
        <w:shd w:fill="ffffff" w:val="clea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B2B (Empresas):</w:t>
      </w:r>
      <w:r w:rsidDel="00000000" w:rsidR="00000000" w:rsidRPr="00000000">
        <w:rPr>
          <w:rFonts w:ascii="Times New Roman" w:cs="Times New Roman" w:eastAsia="Times New Roman" w:hAnsi="Times New Roman"/>
          <w:sz w:val="24"/>
          <w:szCs w:val="24"/>
          <w:rtl w:val="0"/>
        </w:rPr>
        <w:t xml:space="preserve"> Precio base de S/ 200.00 al mes (incluye 1 Administrador + 1 Empleado. Usuarios adicionales a S/ 50.00). Proyección inicial: 4 empresas = S/ 800.00/mes.</w:t>
      </w:r>
    </w:p>
    <w:p w:rsidR="00000000" w:rsidDel="00000000" w:rsidP="00000000" w:rsidRDefault="00000000" w:rsidRPr="00000000" w14:paraId="0000017B">
      <w:pPr>
        <w:numPr>
          <w:ilvl w:val="0"/>
          <w:numId w:val="9"/>
        </w:numPr>
        <w:shd w:fill="ffffff" w:val="clea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B2C (Usuarios Individuales):</w:t>
      </w:r>
      <w:r w:rsidDel="00000000" w:rsidR="00000000" w:rsidRPr="00000000">
        <w:rPr>
          <w:rFonts w:ascii="Times New Roman" w:cs="Times New Roman" w:eastAsia="Times New Roman" w:hAnsi="Times New Roman"/>
          <w:sz w:val="24"/>
          <w:szCs w:val="24"/>
          <w:rtl w:val="0"/>
        </w:rPr>
        <w:t xml:space="preserve"> Tarifa Premium de S/ 80.00 al mes. Proyección inicial: 7 usuarios = S/ 560.00/mes.</w:t>
      </w:r>
    </w:p>
    <w:p w:rsidR="00000000" w:rsidDel="00000000" w:rsidP="00000000" w:rsidRDefault="00000000" w:rsidRPr="00000000" w14:paraId="0000017C">
      <w:pPr>
        <w:numPr>
          <w:ilvl w:val="0"/>
          <w:numId w:val="9"/>
        </w:numPr>
        <w:shd w:fill="ffffff" w:val="clea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Ingreso Mensual Total:</w:t>
      </w:r>
      <w:r w:rsidDel="00000000" w:rsidR="00000000" w:rsidRPr="00000000">
        <w:rPr>
          <w:rFonts w:ascii="Times New Roman" w:cs="Times New Roman" w:eastAsia="Times New Roman" w:hAnsi="Times New Roman"/>
          <w:sz w:val="24"/>
          <w:szCs w:val="24"/>
          <w:rtl w:val="0"/>
        </w:rPr>
        <w:t xml:space="preserve"> S/ 1,360.00 mensuales.</w:t>
      </w:r>
    </w:p>
    <w:p w:rsidR="00000000" w:rsidDel="00000000" w:rsidP="00000000" w:rsidRDefault="00000000" w:rsidRPr="00000000" w14:paraId="0000017D">
      <w:pPr>
        <w:numPr>
          <w:ilvl w:val="0"/>
          <w:numId w:val="9"/>
        </w:numPr>
        <w:shd w:fill="ffffff" w:val="clea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Ingreso Anual Total (Año 1):</w:t>
      </w:r>
      <w:r w:rsidDel="00000000" w:rsidR="00000000" w:rsidRPr="00000000">
        <w:rPr>
          <w:rFonts w:ascii="Times New Roman" w:cs="Times New Roman" w:eastAsia="Times New Roman" w:hAnsi="Times New Roman"/>
          <w:sz w:val="24"/>
          <w:szCs w:val="24"/>
          <w:rtl w:val="0"/>
        </w:rPr>
        <w:t xml:space="preserve"> S/ 16,320.00.</w:t>
      </w:r>
    </w:p>
    <w:p w:rsidR="00000000" w:rsidDel="00000000" w:rsidP="00000000" w:rsidRDefault="00000000" w:rsidRPr="00000000" w14:paraId="0000017E">
      <w:pPr>
        <w:shd w:fill="ffffff" w:val="clea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Años 2 y 3, se ha estimado una tasa de crecimiento conservadora del 20% anual en la adquisición de clientes debido a las recomendaciones B2B y estrategias de retención. Los costos operativos (mantenimiento del VPS, dominios y soporte básico) se estiman en S/ 2,400 anuales, con incrementos proporcionales al volumen de clientes.</w:t>
      </w:r>
    </w:p>
    <w:p w:rsidR="00000000" w:rsidDel="00000000" w:rsidP="00000000" w:rsidRDefault="00000000" w:rsidRPr="00000000" w14:paraId="0000017F">
      <w:pPr>
        <w:shd w:fill="ffffff" w:val="clea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5.1: Flujo de Caja Económico Proyectado (en Soles)</w:t>
      </w:r>
      <w:r w:rsidDel="00000000" w:rsidR="00000000" w:rsidRPr="00000000">
        <w:rPr>
          <w:rtl w:val="0"/>
        </w:rPr>
      </w:r>
    </w:p>
    <w:tbl>
      <w:tblPr>
        <w:tblStyle w:val="Table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680"/>
        <w:gridCol w:w="1440"/>
        <w:gridCol w:w="1545"/>
        <w:gridCol w:w="1455"/>
        <w:tblGridChange w:id="0">
          <w:tblGrid>
            <w:gridCol w:w="2385"/>
            <w:gridCol w:w="1680"/>
            <w:gridCol w:w="1440"/>
            <w:gridCol w:w="1545"/>
            <w:gridCol w:w="145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0">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Concepto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1">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Año 0 (Inversión)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2">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Año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3">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Año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4">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Año 3</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5">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Ingresos Operativos (Ventas)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6">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7">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16,320.00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8">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19,584.00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9">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23,500.00</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A">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Egresos Operativos (Mantenimiento)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B">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C">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 2,400.00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D">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 2,880.00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E">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 3,456.00</w:t>
            </w:r>
          </w:p>
        </w:tc>
      </w:tr>
      <w:tr>
        <w:trPr>
          <w:cantSplit w:val="0"/>
          <w:trHeight w:val="784.7460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F">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Flujo de Caja Neto (FCN)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0">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1">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13,920.00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2">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16,704.00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3">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20,044.00</w:t>
            </w:r>
            <w:r w:rsidDel="00000000" w:rsidR="00000000" w:rsidRPr="00000000">
              <w:rPr>
                <w:rtl w:val="0"/>
              </w:rPr>
            </w:r>
          </w:p>
        </w:tc>
      </w:tr>
      <w:tr>
        <w:trPr>
          <w:cantSplit w:val="0"/>
          <w:trHeight w:val="1609.7460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4">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Inversión Inicial Valorizada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5">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S/ 15,100.00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6">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7">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8">
            <w:pPr>
              <w:shd w:fill="ffffff" w:val="clear"/>
              <w:spacing w:after="0" w:before="0" w:line="360" w:lineRule="auto"/>
              <w:jc w:val="center"/>
              <w:rPr>
                <w:rFonts w:ascii="Times New Roman" w:cs="Times New Roman" w:eastAsia="Times New Roman" w:hAnsi="Times New Roman"/>
                <w:color w:val="1f1f1f"/>
                <w:sz w:val="24"/>
                <w:szCs w:val="24"/>
              </w:rPr>
            </w:pPr>
            <w:r w:rsidDel="00000000" w:rsidR="00000000" w:rsidRPr="00000000">
              <w:rPr>
                <w:rtl w:val="0"/>
              </w:rPr>
            </w:r>
          </w:p>
        </w:tc>
      </w:tr>
    </w:tbl>
    <w:p w:rsidR="00000000" w:rsidDel="00000000" w:rsidP="00000000" w:rsidRDefault="00000000" w:rsidRPr="00000000" w14:paraId="00000199">
      <w:pPr>
        <w:shd w:fill="ffffff" w:val="clea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4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9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98"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los Flujos de Caja Netos proyectados y asumiendo una Tasa de Descuento (COK) del 15%, se han calculado los siguientes indicadores que fundamentan la aceptación incondicional del proyecto.</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9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1">
      <w:pPr>
        <w:spacing w:after="0" w:before="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Beneficio/Costo mide el valor presente de los ingresos dividido entre el valor presente de los costos (incluyendo la inversión inicial).</w:t>
      </w:r>
    </w:p>
    <w:p w:rsidR="00000000" w:rsidDel="00000000" w:rsidP="00000000" w:rsidRDefault="00000000" w:rsidRPr="00000000" w14:paraId="000001A2">
      <w:pPr>
        <w:numPr>
          <w:ilvl w:val="0"/>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Fórmula:</w:t>
      </w:r>
      <w:r w:rsidDel="00000000" w:rsidR="00000000" w:rsidRPr="00000000">
        <w:rPr>
          <w:rFonts w:ascii="Times New Roman" w:cs="Times New Roman" w:eastAsia="Times New Roman" w:hAnsi="Times New Roman"/>
          <w:sz w:val="24"/>
          <w:szCs w:val="24"/>
          <w:rtl w:val="0"/>
        </w:rPr>
        <w:t xml:space="preserve"> VAB (Valor Actual de los Beneficios) / VAC (Valor Actual de los Costos)</w:t>
      </w:r>
    </w:p>
    <w:p w:rsidR="00000000" w:rsidDel="00000000" w:rsidP="00000000" w:rsidRDefault="00000000" w:rsidRPr="00000000" w14:paraId="000001A3">
      <w:pPr>
        <w:numPr>
          <w:ilvl w:val="0"/>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Cálculo:</w:t>
      </w:r>
      <w:r w:rsidDel="00000000" w:rsidR="00000000" w:rsidRPr="00000000">
        <w:rPr>
          <w:rFonts w:ascii="Times New Roman" w:cs="Times New Roman" w:eastAsia="Times New Roman" w:hAnsi="Times New Roman"/>
          <w:sz w:val="24"/>
          <w:szCs w:val="24"/>
          <w:rtl w:val="0"/>
        </w:rPr>
        <w:t xml:space="preserve"> S/ 37,914.22 (Suma del valor presente de los FCN) / S/ 15,100.00 (Inversión inicial).</w:t>
      </w:r>
    </w:p>
    <w:p w:rsidR="00000000" w:rsidDel="00000000" w:rsidP="00000000" w:rsidRDefault="00000000" w:rsidRPr="00000000" w14:paraId="000001A4">
      <w:pPr>
        <w:numPr>
          <w:ilvl w:val="0"/>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 B/C = 2.51</w:t>
      </w:r>
      <w:r w:rsidDel="00000000" w:rsidR="00000000" w:rsidRPr="00000000">
        <w:rPr>
          <w:rtl w:val="0"/>
        </w:rPr>
      </w:r>
    </w:p>
    <w:p w:rsidR="00000000" w:rsidDel="00000000" w:rsidP="00000000" w:rsidRDefault="00000000" w:rsidRPr="00000000" w14:paraId="000001A5">
      <w:pPr>
        <w:numPr>
          <w:ilvl w:val="0"/>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Interpretación:</w:t>
      </w:r>
      <w:r w:rsidDel="00000000" w:rsidR="00000000" w:rsidRPr="00000000">
        <w:rPr>
          <w:rFonts w:ascii="Times New Roman" w:cs="Times New Roman" w:eastAsia="Times New Roman" w:hAnsi="Times New Roman"/>
          <w:sz w:val="24"/>
          <w:szCs w:val="24"/>
          <w:rtl w:val="0"/>
        </w:rPr>
        <w:t xml:space="preserve"> Por cada sol (S/ 1.00) invertido en el desarrollo de "DocuZen", el proyecto generará un retorno de S/ 2.51 (es decir, recupera la inversión y genera S/ 1.51 de ganancia neta). Como el resultado es mayor a uno (B/C &gt; 1), el proyecto </w:t>
      </w:r>
      <w:r w:rsidDel="00000000" w:rsidR="00000000" w:rsidRPr="00000000">
        <w:rPr>
          <w:rFonts w:ascii="Times New Roman" w:cs="Times New Roman" w:eastAsia="Times New Roman" w:hAnsi="Times New Roman"/>
          <w:b w:val="1"/>
          <w:bCs w:val="1"/>
          <w:sz w:val="24"/>
          <w:szCs w:val="24"/>
          <w:rtl w:val="0"/>
        </w:rPr>
        <w:t xml:space="preserve">se acepta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38"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5.1.2.2 Valor Actual Neto (VAN)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VAN representa la ganancia neta del proyecto a valor de dinero de hoy, descontando la tasa de riesgo o costo de oportunidad (COK = 15%).</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68002" cy="43458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68002" cy="43458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VAN = S/ 22,814.22</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sz w:val="24"/>
          <w:szCs w:val="24"/>
        </w:rPr>
      </w:pPr>
      <w:bookmarkStart w:colFirst="0" w:colLast="0" w:name="_heading=h.ujdpxefqj2ox" w:id="27"/>
      <w:bookmarkEnd w:id="27"/>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sz w:val="24"/>
          <w:szCs w:val="24"/>
        </w:rPr>
      </w:pPr>
      <w:bookmarkStart w:colFirst="0" w:colLast="0" w:name="_heading=h.ua1d7h17clcv" w:id="28"/>
      <w:bookmarkEnd w:id="28"/>
      <w:r w:rsidDel="00000000" w:rsidR="00000000" w:rsidRPr="00000000">
        <w:rPr>
          <w:rFonts w:ascii="Times New Roman" w:cs="Times New Roman" w:eastAsia="Times New Roman" w:hAnsi="Times New Roman"/>
          <w:sz w:val="24"/>
          <w:szCs w:val="24"/>
          <w:rtl w:val="0"/>
        </w:rPr>
        <w:t xml:space="preserve">La TIR es la tasa porcentual máxima que indica la rentabilidad promedio anual del capital invertido en el proyecto, o bien, la tasa a la cual el VAN se hace igual a cero.</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sz w:val="24"/>
          <w:szCs w:val="24"/>
        </w:rPr>
      </w:pPr>
      <w:bookmarkStart w:colFirst="0" w:colLast="0" w:name="_heading=h.ne7zh36h8edj" w:id="29"/>
      <w:bookmarkEnd w:id="29"/>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sz w:val="24"/>
          <w:szCs w:val="24"/>
        </w:rPr>
      </w:pPr>
      <w:bookmarkStart w:colFirst="0" w:colLast="0" w:name="_heading=h.ko7kqu5q2dl" w:id="30"/>
      <w:bookmarkEnd w:id="30"/>
      <w:r w:rsidDel="00000000" w:rsidR="00000000" w:rsidRPr="00000000">
        <w:rPr>
          <w:rFonts w:ascii="Times New Roman" w:cs="Times New Roman" w:eastAsia="Times New Roman" w:hAnsi="Times New Roman"/>
          <w:sz w:val="24"/>
          <w:szCs w:val="24"/>
          <w:rtl w:val="0"/>
        </w:rPr>
        <w:t xml:space="preserve">Encontrar "R" tal que VAN = 0</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sz w:val="24"/>
          <w:szCs w:val="24"/>
        </w:rPr>
      </w:pPr>
      <w:bookmarkStart w:colFirst="0" w:colLast="0" w:name="_heading=h.bzehskrj6irr" w:id="31"/>
      <w:bookmarkEnd w:id="31"/>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sz w:val="24"/>
          <w:szCs w:val="24"/>
        </w:rPr>
      </w:pPr>
      <w:bookmarkStart w:colFirst="0" w:colLast="0" w:name="_heading=h.z2qiar6d9t4j" w:id="32"/>
      <w:bookmarkEnd w:id="32"/>
      <w:r w:rsidDel="00000000" w:rsidR="00000000" w:rsidRPr="00000000">
        <w:rPr>
          <w:rFonts w:ascii="Times New Roman" w:cs="Times New Roman" w:eastAsia="Times New Roman" w:hAnsi="Times New Roman"/>
          <w:sz w:val="24"/>
          <w:szCs w:val="24"/>
          <w:rtl w:val="0"/>
        </w:rPr>
        <w:t xml:space="preserve">Resultado TIR = 88.5%</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sz w:val="24"/>
          <w:szCs w:val="24"/>
        </w:rPr>
      </w:pPr>
      <w:bookmarkStart w:colFirst="0" w:colLast="0" w:name="_heading=h.3bljtr68stdr" w:id="33"/>
      <w:bookmarkEnd w:id="33"/>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sz w:val="24"/>
          <w:szCs w:val="24"/>
        </w:rPr>
      </w:pPr>
      <w:bookmarkStart w:colFirst="0" w:colLast="0" w:name="_heading=h.l44do5lhho1o" w:id="34"/>
      <w:bookmarkEnd w:id="34"/>
      <w:r w:rsidDel="00000000" w:rsidR="00000000" w:rsidRPr="00000000">
        <w:rPr>
          <w:rFonts w:ascii="Times New Roman" w:cs="Times New Roman" w:eastAsia="Times New Roman" w:hAnsi="Times New Roman"/>
          <w:sz w:val="24"/>
          <w:szCs w:val="24"/>
          <w:rtl w:val="0"/>
        </w:rPr>
        <w:t xml:space="preserve">El proyecto genera un retorno promedio anual del 88.5%. Si comparamos esta cifra con el costo de oportunidad del mercado (COK = 15%) o las tasas de depósitos bancarios (aprox. 5-7%), la TIR del software es abismalmente superior. Como la TIR es mayor que el costo de oportunidad (TIR &gt; COK), el proyecto </w:t>
      </w:r>
      <w:r w:rsidDel="00000000" w:rsidR="00000000" w:rsidRPr="00000000">
        <w:rPr>
          <w:rFonts w:ascii="Times New Roman" w:cs="Times New Roman" w:eastAsia="Times New Roman" w:hAnsi="Times New Roman"/>
          <w:b w:val="1"/>
          <w:bCs w:val="1"/>
          <w:sz w:val="24"/>
          <w:szCs w:val="24"/>
          <w:rtl w:val="0"/>
        </w:rPr>
        <w:t xml:space="preserve">se acepta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bookmarkStart w:colFirst="0" w:colLast="0" w:name="_heading=h.839xmyf679ow" w:id="35"/>
      <w:bookmarkEnd w:id="35"/>
      <w:r w:rsidDel="00000000" w:rsidR="00000000" w:rsidRPr="00000000">
        <w:br w:type="page"/>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hr2l58xoty6b" w:id="36"/>
      <w:bookmarkEnd w:id="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haber desarrollado un análisis exhaustivo y estructurado de las dimensiones técnicas, económicas, operativas, legales, sociales y ambientales, se emiten las siguientes conclusiones respecto a la viabilidad de la plataforma "DocuZen":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Técnica y Operativa Plena: Se concluye que el diseño de una arquitectura de procesamiento en el borde (Edge Computing) es la solución tecnológica óptima y factible para mitigar las limitantes de hardware legado e intermitencia de red presentes en las organizaciones objetivo. La combinación de un backend local en Python con interfaces de usuario web encapsuladas asegura una operatividad robusta (offline y online) y una curva de aprendizaje mínima para el usuario final.</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Normativo y Seguridad (Viabilidad Legal): El proyecto es factible y altamente pertinente desde la perspectiva legal. La implementación de la Criptografía Jerárquica y el modelo de seguridad Zero Trust antes de la sincronización en la nube garantiza el cumplimiento estricto de las normativas de protección de datos personales, blindando a las instituciones contra filtraciones y brechas de privacidad.</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Rentabilidad Financiera Extraordinaria (Viabilidad Económica): La evaluación económica, proyectada a un horizonte de 3 años y considerando una Tasa de Costo de Oportunidad (COK) del 15%, demuestra matemáticamente que el proyecto es altamente lucrativo y escalable: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Beneficio/Costo (B/C): Con un resultado de 2.51, se evidencia que los ingresos superan ampliamente a los costos (B/C &gt; 1), generando S/ 1.51 de ganancia neta por cada sol invertido.</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Actual Neto (VAN): El proyecto arroja un VAN positivo de S/ 22,814.22 (VAN &gt; 0), confirmando que la iniciativa genera valor real y riqueza adicional más allá de la rentabilidad mínima exigida por el mercado.</w:t>
      </w:r>
    </w:p>
    <w:p w:rsidR="00000000" w:rsidDel="00000000" w:rsidP="00000000" w:rsidRDefault="00000000" w:rsidRPr="00000000" w14:paraId="000001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Interna de Retorno (TIR): La TIR calculada es del 88.5%, superando de manera contundente el costo de oportunidad del capital (TIR &gt; COK), lo que mitiga el riesgo de la inversión inicial de manera acelerada.</w:t>
      </w:r>
    </w:p>
    <w:p w:rsidR="00000000" w:rsidDel="00000000" w:rsidP="00000000" w:rsidRDefault="00000000" w:rsidRPr="00000000" w14:paraId="000001C6">
      <w:pPr>
        <w:spacing w:after="0" w:before="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0" w:before="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los resultados positivos y concluyentes de todos los estudios de factibilidad realizados y, apoyados firmemente en los sólidos indicadores de rentabilidad del análisis de criterios de inversión, SE ACEPTA la ejecución y desarrollo del proyecto "DocuZen". El proyecto cuenta con todas las condiciones tecnológicas, operativas y financieras para ser desplegado en el mercado.</w:t>
      </w:r>
    </w:p>
    <w:p w:rsidR="00000000" w:rsidDel="00000000" w:rsidP="00000000" w:rsidRDefault="00000000" w:rsidRPr="00000000" w14:paraId="000001C8">
      <w:pPr>
        <w:spacing w:after="0" w:before="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before="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before="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360" w:lineRule="auto"/>
        <w:ind w:left="360" w:firstLine="0"/>
        <w:jc w:val="both"/>
        <w:rPr>
          <w:rFonts w:ascii="Times New Roman" w:cs="Times New Roman" w:eastAsia="Times New Roman" w:hAnsi="Times New Roman"/>
          <w:b w:val="1"/>
          <w:bCs w:val="1"/>
          <w:sz w:val="24"/>
          <w:szCs w:val="24"/>
        </w:rPr>
      </w:pPr>
      <w:bookmarkStart w:colFirst="0" w:colLast="0" w:name="_heading=h.tq2o76py9sgs" w:id="37"/>
      <w:bookmarkEnd w:id="37"/>
      <w:r w:rsidDel="00000000" w:rsidR="00000000" w:rsidRPr="00000000">
        <w:br w:type="page"/>
      </w:r>
      <w:r w:rsidDel="00000000" w:rsidR="00000000" w:rsidRPr="00000000">
        <w:rPr>
          <w:rtl w:val="0"/>
        </w:rPr>
      </w:r>
    </w:p>
    <w:p w:rsidR="00000000" w:rsidDel="00000000" w:rsidP="00000000" w:rsidRDefault="00000000" w:rsidRPr="00000000" w14:paraId="000001CC">
      <w:pPr>
        <w:numPr>
          <w:ilvl w:val="0"/>
          <w:numId w:val="14"/>
        </w:numPr>
        <w:spacing w:after="0" w:line="36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1CD">
      <w:pPr>
        <w:numPr>
          <w:ilvl w:val="1"/>
          <w:numId w:val="14"/>
        </w:numPr>
        <w:spacing w:after="0" w:line="360" w:lineRule="auto"/>
        <w:ind w:left="360" w:hanging="360"/>
        <w:jc w:val="both"/>
        <w:rPr>
          <w:rFonts w:ascii="Times New Roman" w:cs="Times New Roman" w:eastAsia="Times New Roman" w:hAnsi="Times New Roman"/>
          <w:b w:val="1"/>
          <w:bCs w:val="1"/>
          <w:sz w:val="24"/>
          <w:szCs w:val="24"/>
          <w:u w:val="none"/>
        </w:rPr>
      </w:pPr>
      <w:bookmarkStart w:colFirst="0" w:colLast="0" w:name="_heading=h.10yiega2t43n" w:id="38"/>
      <w:bookmarkEnd w:id="38"/>
      <w:r w:rsidDel="00000000" w:rsidR="00000000" w:rsidRPr="00000000">
        <w:rPr>
          <w:rFonts w:ascii="Times New Roman" w:cs="Times New Roman" w:eastAsia="Times New Roman" w:hAnsi="Times New Roman"/>
          <w:b w:val="1"/>
          <w:bCs w:val="1"/>
          <w:sz w:val="24"/>
          <w:szCs w:val="24"/>
          <w:rtl w:val="0"/>
        </w:rPr>
        <w:t xml:space="preserve">Anexo 1: </w:t>
      </w:r>
      <w:hyperlink r:id="rId9">
        <w:r w:rsidDel="00000000" w:rsidR="00000000" w:rsidRPr="00000000">
          <w:rPr>
            <w:rFonts w:ascii="Georgia" w:cs="Georgia" w:eastAsia="Georgia" w:hAnsi="Georgia"/>
            <w:color w:val="1155cc"/>
            <w:sz w:val="24"/>
            <w:szCs w:val="24"/>
            <w:u w:val="single"/>
            <w:rtl w:val="0"/>
          </w:rPr>
          <w:t xml:space="preserve">https://support.google.com/drive/answer/9312312?hl=es</w:t>
        </w:r>
      </w:hyperlink>
      <w:r w:rsidDel="00000000" w:rsidR="00000000" w:rsidRPr="00000000">
        <w:rPr>
          <w:rtl w:val="0"/>
        </w:rPr>
      </w:r>
    </w:p>
    <w:p w:rsidR="00000000" w:rsidDel="00000000" w:rsidP="00000000" w:rsidRDefault="00000000" w:rsidRPr="00000000" w14:paraId="000001CE">
      <w:pPr>
        <w:numPr>
          <w:ilvl w:val="1"/>
          <w:numId w:val="14"/>
        </w:numPr>
        <w:spacing w:after="0" w:line="360" w:lineRule="auto"/>
        <w:ind w:left="360" w:hanging="360"/>
        <w:jc w:val="both"/>
        <w:rPr>
          <w:rFonts w:ascii="Times New Roman" w:cs="Times New Roman" w:eastAsia="Times New Roman" w:hAnsi="Times New Roman"/>
          <w:b w:val="1"/>
          <w:bCs w:val="1"/>
          <w:color w:val="27251e"/>
          <w:sz w:val="24"/>
          <w:szCs w:val="24"/>
        </w:rPr>
      </w:pPr>
      <w:bookmarkStart w:colFirst="0" w:colLast="0" w:name="_heading=h.bbw8ne6wjxdu" w:id="39"/>
      <w:bookmarkEnd w:id="39"/>
      <w:r w:rsidDel="00000000" w:rsidR="00000000" w:rsidRPr="00000000">
        <w:rPr>
          <w:rFonts w:ascii="Times New Roman" w:cs="Times New Roman" w:eastAsia="Times New Roman" w:hAnsi="Times New Roman"/>
          <w:b w:val="1"/>
          <w:bCs w:val="1"/>
          <w:color w:val="27251e"/>
          <w:sz w:val="24"/>
          <w:szCs w:val="24"/>
          <w:rtl w:val="0"/>
        </w:rPr>
        <w:t xml:space="preserve">Anexo 2: </w:t>
      </w:r>
      <w:hyperlink r:id="rId10">
        <w:r w:rsidDel="00000000" w:rsidR="00000000" w:rsidRPr="00000000">
          <w:rPr>
            <w:rFonts w:ascii="Times New Roman" w:cs="Times New Roman" w:eastAsia="Times New Roman" w:hAnsi="Times New Roman"/>
            <w:color w:val="1155cc"/>
            <w:sz w:val="24"/>
            <w:szCs w:val="24"/>
            <w:u w:val="single"/>
            <w:rtl w:val="0"/>
          </w:rPr>
          <w:t xml:space="preserve">https://elastika.pe/</w:t>
        </w:r>
      </w:hyperlink>
      <w:r w:rsidDel="00000000" w:rsidR="00000000" w:rsidRPr="00000000">
        <w:rPr>
          <w:rtl w:val="0"/>
        </w:rPr>
      </w:r>
    </w:p>
    <w:p w:rsidR="00000000" w:rsidDel="00000000" w:rsidP="00000000" w:rsidRDefault="00000000" w:rsidRPr="00000000" w14:paraId="000001CF">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1" w:type="default"/>
      <w:footerReference r:id="rId12"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-581023</wp:posOffset>
          </wp:positionH>
          <wp:positionV relativeFrom="paragraph">
            <wp:posOffset>-123823</wp:posOffset>
          </wp:positionV>
          <wp:extent cx="583565" cy="583565"/>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3565" cy="5835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5399730</wp:posOffset>
          </wp:positionH>
          <wp:positionV relativeFrom="paragraph">
            <wp:posOffset>-114298</wp:posOffset>
          </wp:positionV>
          <wp:extent cx="562927" cy="562927"/>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62927" cy="56292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elastika.pe/" TargetMode="External"/><Relationship Id="rId12" Type="http://schemas.openxmlformats.org/officeDocument/2006/relationships/footer" Target="footer1.xml"/><Relationship Id="rId9" Type="http://schemas.openxmlformats.org/officeDocument/2006/relationships/hyperlink" Target="https://support.google.com/drive/answer/9312312?h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haXRhj1hZp1jjoo0/ORcH+yCQg==">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