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4B2EA" w14:textId="77777777" w:rsidR="00821B88" w:rsidRDefault="00C04C53" w:rsidP="00C04C53">
      <w:pPr>
        <w:pStyle w:val="Title"/>
      </w:pPr>
      <w:r>
        <w:t xml:space="preserve">P1: </w:t>
      </w:r>
      <w:r w:rsidR="00315EC5">
        <w:t>Test a Perceptual Phenomenon</w:t>
      </w:r>
    </w:p>
    <w:p w14:paraId="3FB0BB10" w14:textId="77777777" w:rsidR="00315EC5" w:rsidRDefault="00315EC5" w:rsidP="00C04C53">
      <w:pPr>
        <w:pStyle w:val="Subtitle"/>
      </w:pPr>
      <w:r>
        <w:t>Stroop Effect</w:t>
      </w:r>
    </w:p>
    <w:p w14:paraId="7A05189F" w14:textId="77777777" w:rsidR="00315EC5" w:rsidRDefault="00315EC5" w:rsidP="00C04C53">
      <w:pPr>
        <w:pStyle w:val="Heading1"/>
      </w:pPr>
      <w:r>
        <w:t>Background Information</w:t>
      </w:r>
    </w:p>
    <w:p w14:paraId="308E745D" w14:textId="77777777" w:rsidR="00315EC5" w:rsidRDefault="00315EC5" w:rsidP="00E1442B">
      <w:pPr>
        <w:spacing w:line="240" w:lineRule="auto"/>
        <w:contextualSpacing/>
      </w:pPr>
      <w:r w:rsidRPr="00C04C53">
        <w:t>In a Stroop task, pa</w:t>
      </w:r>
      <w:bookmarkStart w:id="0" w:name="_GoBack"/>
      <w:bookmarkEnd w:id="0"/>
      <w:r w:rsidRPr="00C04C53">
        <w:t xml:space="preserve">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sidRPr="00C04C53">
        <w:rPr>
          <w:color w:val="FF0000"/>
        </w:rPr>
        <w:t>RED</w:t>
      </w:r>
      <w:r w:rsidRPr="00C04C53">
        <w:t xml:space="preserve">, </w:t>
      </w:r>
      <w:r w:rsidRPr="00C04C53">
        <w:rPr>
          <w:color w:val="0070C0"/>
        </w:rPr>
        <w:t>BLUE</w:t>
      </w:r>
      <w:r w:rsidRPr="00C04C53">
        <w:t xml:space="preserve">. In the incongruent words condition, the words displayed are color words whose names do not match the colors in which they are printed: for example, </w:t>
      </w:r>
      <w:r w:rsidRPr="00C04C53">
        <w:rPr>
          <w:color w:val="00B050"/>
        </w:rPr>
        <w:t>PURPLE</w:t>
      </w:r>
      <w:r w:rsidRPr="00C04C53">
        <w:t xml:space="preserve">, </w:t>
      </w:r>
      <w:r w:rsidRPr="00C04C53">
        <w:rPr>
          <w:color w:val="FF40FF"/>
        </w:rPr>
        <w:t>ORANGE</w:t>
      </w:r>
      <w:r w:rsidRPr="00C04C53">
        <w:t>. In each case, we measure the time it takes to name the ink colors in equally-sized lists. Each participant will go through and record a time from each condition.</w:t>
      </w:r>
    </w:p>
    <w:p w14:paraId="6412DD23" w14:textId="77777777" w:rsidR="00C04C53" w:rsidRDefault="00C04C53" w:rsidP="00E1442B">
      <w:pPr>
        <w:pStyle w:val="Heading1"/>
        <w:spacing w:line="240" w:lineRule="auto"/>
        <w:contextualSpacing/>
      </w:pPr>
      <w:r>
        <w:t>Questions for Investigation</w:t>
      </w:r>
    </w:p>
    <w:p w14:paraId="42BA8140" w14:textId="77777777" w:rsidR="00C04C53" w:rsidRDefault="00C04C53" w:rsidP="00C04C53">
      <w:pPr>
        <w:rPr>
          <w:i/>
        </w:rPr>
      </w:pPr>
      <w:r w:rsidRPr="00C04C53">
        <w:rPr>
          <w:i/>
        </w:rPr>
        <w:t>As a general note, be sure to keep a record of any resources that you use or refer to in the creation of your project. You will need to report your sources as part of the project submission.</w:t>
      </w:r>
    </w:p>
    <w:p w14:paraId="0771DC77" w14:textId="36237276" w:rsidR="00E1442B" w:rsidRPr="00E1442B" w:rsidRDefault="00C04C53" w:rsidP="00E1442B">
      <w:pPr>
        <w:rPr>
          <w:color w:val="1E5E9F" w:themeColor="accent3" w:themeShade="BF"/>
          <w:sz w:val="24"/>
        </w:rPr>
      </w:pPr>
      <w:r w:rsidRPr="00E1442B">
        <w:rPr>
          <w:color w:val="1E5E9F" w:themeColor="accent3" w:themeShade="BF"/>
          <w:sz w:val="24"/>
        </w:rPr>
        <w:t>What is our independent variable &amp; dependent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9"/>
        <w:gridCol w:w="277"/>
        <w:gridCol w:w="6834"/>
      </w:tblGrid>
      <w:tr w:rsidR="00B90814" w14:paraId="4A508628" w14:textId="77777777" w:rsidTr="00B90814">
        <w:tc>
          <w:tcPr>
            <w:tcW w:w="2249" w:type="dxa"/>
          </w:tcPr>
          <w:p w14:paraId="159AB9A7" w14:textId="579CF642" w:rsidR="00B90814" w:rsidRPr="00112161" w:rsidRDefault="00B90814" w:rsidP="00D04E3C">
            <w:pPr>
              <w:rPr>
                <w:b/>
              </w:rPr>
            </w:pPr>
            <w:r w:rsidRPr="00112161">
              <w:rPr>
                <w:b/>
              </w:rPr>
              <w:t>Independent Variable</w:t>
            </w:r>
          </w:p>
        </w:tc>
        <w:tc>
          <w:tcPr>
            <w:tcW w:w="277" w:type="dxa"/>
          </w:tcPr>
          <w:p w14:paraId="07672E97" w14:textId="499C375E" w:rsidR="00B90814" w:rsidRPr="00B90814" w:rsidRDefault="00B90814" w:rsidP="00D04E3C">
            <w:pPr>
              <w:rPr>
                <w:b/>
              </w:rPr>
            </w:pPr>
            <w:r w:rsidRPr="00B90814">
              <w:rPr>
                <w:b/>
              </w:rPr>
              <w:t>:</w:t>
            </w:r>
          </w:p>
        </w:tc>
        <w:tc>
          <w:tcPr>
            <w:tcW w:w="6834" w:type="dxa"/>
          </w:tcPr>
          <w:p w14:paraId="6BD0F4E9" w14:textId="75D855F9" w:rsidR="00B90814" w:rsidRDefault="00B90814" w:rsidP="00D04E3C">
            <w:r>
              <w:t>Condition (Congruent/Incongruent)</w:t>
            </w:r>
          </w:p>
        </w:tc>
      </w:tr>
      <w:tr w:rsidR="00B90814" w14:paraId="11E6A036" w14:textId="77777777" w:rsidTr="00B90814">
        <w:tc>
          <w:tcPr>
            <w:tcW w:w="2249" w:type="dxa"/>
          </w:tcPr>
          <w:p w14:paraId="0E377B95" w14:textId="3BA021A0" w:rsidR="00B90814" w:rsidRPr="00112161" w:rsidRDefault="00B90814" w:rsidP="00D04E3C">
            <w:pPr>
              <w:rPr>
                <w:b/>
              </w:rPr>
            </w:pPr>
            <w:r w:rsidRPr="00112161">
              <w:rPr>
                <w:b/>
              </w:rPr>
              <w:t>Dependent Variable</w:t>
            </w:r>
          </w:p>
        </w:tc>
        <w:tc>
          <w:tcPr>
            <w:tcW w:w="277" w:type="dxa"/>
          </w:tcPr>
          <w:p w14:paraId="065A19CB" w14:textId="0904FAF3" w:rsidR="00B90814" w:rsidRPr="00B90814" w:rsidRDefault="00B90814" w:rsidP="00D04E3C">
            <w:pPr>
              <w:rPr>
                <w:b/>
              </w:rPr>
            </w:pPr>
            <w:r w:rsidRPr="00B90814">
              <w:rPr>
                <w:b/>
              </w:rPr>
              <w:t>:</w:t>
            </w:r>
          </w:p>
        </w:tc>
        <w:tc>
          <w:tcPr>
            <w:tcW w:w="6834" w:type="dxa"/>
          </w:tcPr>
          <w:p w14:paraId="018CCED0" w14:textId="1C731785" w:rsidR="00B90814" w:rsidRDefault="00B90814" w:rsidP="00D04E3C">
            <w:r>
              <w:t>Time Taken to Name Ink Colors</w:t>
            </w:r>
          </w:p>
        </w:tc>
      </w:tr>
    </w:tbl>
    <w:p w14:paraId="4BBB29F8" w14:textId="77777777" w:rsidR="00D04E3C" w:rsidRPr="00D04E3C" w:rsidRDefault="00D04E3C" w:rsidP="00D04E3C"/>
    <w:p w14:paraId="4741D316" w14:textId="08F6C0D2" w:rsidR="00770B36" w:rsidRDefault="00A4087B" w:rsidP="00303838">
      <w:pPr>
        <w:pStyle w:val="Question"/>
      </w:pPr>
      <w:r w:rsidRPr="00B90814">
        <w:t xml:space="preserve">What is an appropriate set of hypotheses for this task? What kind of statistical test do you expect to perform? Justify your </w:t>
      </w:r>
      <w:r w:rsidRPr="00303838">
        <w:t>choices.</w:t>
      </w:r>
    </w:p>
    <w:p w14:paraId="057660E5" w14:textId="1C71183F" w:rsidR="0011089F" w:rsidRPr="001A4BA1" w:rsidRDefault="001A4BA1" w:rsidP="0011089F">
      <w:r>
        <w:t xml:space="preserve">Let </w:t>
      </w:r>
      <m:oMath>
        <m:sSub>
          <m:sSubPr>
            <m:ctrlPr>
              <w:rPr>
                <w:rFonts w:ascii="Cambria Math" w:hAnsi="Cambria Math"/>
                <w:i/>
              </w:rPr>
            </m:ctrlPr>
          </m:sSubPr>
          <m:e>
            <m:r>
              <w:rPr>
                <w:rFonts w:ascii="Cambria Math" w:hAnsi="Cambria Math"/>
              </w:rPr>
              <m:t>µ</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c</m:t>
            </m:r>
          </m:sub>
        </m:sSub>
      </m:oMath>
    </w:p>
    <w:p w14:paraId="79D60CDD" w14:textId="1C4E4CAE" w:rsidR="001A4BA1" w:rsidRPr="001A4BA1" w:rsidRDefault="001A4BA1" w:rsidP="001A4BA1">
      <w:pPr>
        <w:jc w:val="left"/>
      </w:pPr>
      <w:r>
        <w:t xml:space="preserve">Where </w:t>
      </w:r>
      <m:oMath>
        <m:sSub>
          <m:sSubPr>
            <m:ctrlPr>
              <w:rPr>
                <w:rFonts w:ascii="Cambria Math" w:hAnsi="Cambria Math"/>
                <w:i/>
              </w:rPr>
            </m:ctrlPr>
          </m:sSubPr>
          <m:e>
            <m:r>
              <w:rPr>
                <w:rFonts w:ascii="Cambria Math" w:hAnsi="Cambria Math"/>
              </w:rPr>
              <m:t>µ</m:t>
            </m:r>
          </m:e>
          <m:sub>
            <m:r>
              <w:rPr>
                <w:rFonts w:ascii="Cambria Math" w:hAnsi="Cambria Math"/>
              </w:rPr>
              <m:t>i</m:t>
            </m:r>
          </m:sub>
        </m:sSub>
      </m:oMath>
      <w:r>
        <w:t xml:space="preserve"> is population mean for time taken for color identification in incongruent condition.</w:t>
      </w:r>
      <w:r>
        <w:br/>
        <w:t xml:space="preserve">             </w:t>
      </w:r>
      <m:oMath>
        <m:sSub>
          <m:sSubPr>
            <m:ctrlPr>
              <w:rPr>
                <w:rFonts w:ascii="Cambria Math" w:hAnsi="Cambria Math"/>
                <w:i/>
              </w:rPr>
            </m:ctrlPr>
          </m:sSubPr>
          <m:e>
            <m:r>
              <w:rPr>
                <w:rFonts w:ascii="Cambria Math" w:hAnsi="Cambria Math"/>
              </w:rPr>
              <m:t>µ</m:t>
            </m:r>
          </m:e>
          <m:sub>
            <m:r>
              <w:rPr>
                <w:rFonts w:ascii="Cambria Math" w:hAnsi="Cambria Math"/>
              </w:rPr>
              <m:t>c</m:t>
            </m:r>
          </m:sub>
        </m:sSub>
      </m:oMath>
      <w:r>
        <w:t xml:space="preserve"> is population mean for time taken for color identification in congruent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9"/>
        <w:gridCol w:w="277"/>
        <w:gridCol w:w="6834"/>
      </w:tblGrid>
      <w:tr w:rsidR="00B90814" w14:paraId="49D69458" w14:textId="77777777" w:rsidTr="00594070">
        <w:tc>
          <w:tcPr>
            <w:tcW w:w="2249" w:type="dxa"/>
          </w:tcPr>
          <w:p w14:paraId="28C44DDA" w14:textId="560F155D" w:rsidR="00B90814" w:rsidRPr="001A4BA1" w:rsidRDefault="00D0157F" w:rsidP="00594070">
            <w:pPr>
              <w:rPr>
                <w:b/>
              </w:rPr>
            </w:pPr>
            <m:oMathPara>
              <m:oMathParaPr>
                <m:jc m:val="right"/>
              </m:oMathPara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o</m:t>
                    </m:r>
                  </m:sub>
                </m:sSub>
              </m:oMath>
            </m:oMathPara>
          </w:p>
        </w:tc>
        <w:tc>
          <w:tcPr>
            <w:tcW w:w="277" w:type="dxa"/>
          </w:tcPr>
          <w:p w14:paraId="0DEB7798" w14:textId="77777777" w:rsidR="00B90814" w:rsidRPr="00B90814" w:rsidRDefault="00B90814" w:rsidP="00594070">
            <w:pPr>
              <w:rPr>
                <w:b/>
              </w:rPr>
            </w:pPr>
            <w:r w:rsidRPr="00B90814">
              <w:rPr>
                <w:b/>
              </w:rPr>
              <w:t>:</w:t>
            </w:r>
          </w:p>
        </w:tc>
        <w:tc>
          <w:tcPr>
            <w:tcW w:w="6834" w:type="dxa"/>
          </w:tcPr>
          <w:p w14:paraId="1D57BC11" w14:textId="70A1F656" w:rsidR="00B90814" w:rsidRPr="001A4BA1" w:rsidRDefault="00D0157F" w:rsidP="001A4BA1">
            <w:pPr>
              <w:jc w:val="left"/>
            </w:pPr>
            <m:oMathPara>
              <m:oMathParaPr>
                <m:jc m:val="left"/>
              </m:oMathParaPr>
              <m:oMath>
                <m:sSub>
                  <m:sSubPr>
                    <m:ctrlPr>
                      <w:rPr>
                        <w:rFonts w:ascii="Cambria Math" w:hAnsi="Cambria Math"/>
                        <w:i/>
                      </w:rPr>
                    </m:ctrlPr>
                  </m:sSubPr>
                  <m:e>
                    <m:r>
                      <w:rPr>
                        <w:rFonts w:ascii="Cambria Math" w:hAnsi="Cambria Math"/>
                      </w:rPr>
                      <m:t>µ</m:t>
                    </m:r>
                  </m:e>
                  <m:sub>
                    <m:r>
                      <w:rPr>
                        <w:rFonts w:ascii="Cambria Math" w:hAnsi="Cambria Math"/>
                      </w:rPr>
                      <m:t>D</m:t>
                    </m:r>
                  </m:sub>
                </m:sSub>
                <m:r>
                  <w:rPr>
                    <w:rFonts w:ascii="Cambria Math" w:hAnsi="Cambria Math"/>
                  </w:rPr>
                  <m:t>=0</m:t>
                </m:r>
              </m:oMath>
            </m:oMathPara>
          </w:p>
        </w:tc>
      </w:tr>
      <w:tr w:rsidR="00B90814" w14:paraId="2BEE19D8" w14:textId="77777777" w:rsidTr="00E1442B">
        <w:trPr>
          <w:trHeight w:val="297"/>
        </w:trPr>
        <w:tc>
          <w:tcPr>
            <w:tcW w:w="2249" w:type="dxa"/>
          </w:tcPr>
          <w:p w14:paraId="4805C856" w14:textId="32BD8770" w:rsidR="00B90814" w:rsidRPr="001A4BA1" w:rsidRDefault="00D0157F" w:rsidP="00594070">
            <w:pPr>
              <w:rPr>
                <w:b/>
              </w:rPr>
            </w:pPr>
            <m:oMathPara>
              <m:oMathParaPr>
                <m:jc m:val="right"/>
              </m:oMathPara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oMath>
            </m:oMathPara>
          </w:p>
        </w:tc>
        <w:tc>
          <w:tcPr>
            <w:tcW w:w="277" w:type="dxa"/>
          </w:tcPr>
          <w:p w14:paraId="20E37950" w14:textId="77777777" w:rsidR="00B90814" w:rsidRPr="00B90814" w:rsidRDefault="00B90814" w:rsidP="00594070">
            <w:pPr>
              <w:rPr>
                <w:b/>
              </w:rPr>
            </w:pPr>
            <w:r w:rsidRPr="00B90814">
              <w:rPr>
                <w:b/>
              </w:rPr>
              <w:t>:</w:t>
            </w:r>
          </w:p>
        </w:tc>
        <w:tc>
          <w:tcPr>
            <w:tcW w:w="6834" w:type="dxa"/>
          </w:tcPr>
          <w:p w14:paraId="51B1C562" w14:textId="088C873F" w:rsidR="00B90814" w:rsidRPr="001A4BA1" w:rsidRDefault="00D0157F" w:rsidP="001A4BA1">
            <w:pPr>
              <w:jc w:val="left"/>
            </w:pPr>
            <m:oMathPara>
              <m:oMathParaPr>
                <m:jc m:val="left"/>
              </m:oMathParaPr>
              <m:oMath>
                <m:sSub>
                  <m:sSubPr>
                    <m:ctrlPr>
                      <w:rPr>
                        <w:rFonts w:ascii="Cambria Math" w:hAnsi="Cambria Math"/>
                        <w:i/>
                      </w:rPr>
                    </m:ctrlPr>
                  </m:sSubPr>
                  <m:e>
                    <m:r>
                      <w:rPr>
                        <w:rFonts w:ascii="Cambria Math" w:hAnsi="Cambria Math"/>
                      </w:rPr>
                      <m:t>µ</m:t>
                    </m:r>
                  </m:e>
                  <m:sub>
                    <m:r>
                      <w:rPr>
                        <w:rFonts w:ascii="Cambria Math" w:hAnsi="Cambria Math"/>
                      </w:rPr>
                      <m:t>D</m:t>
                    </m:r>
                  </m:sub>
                </m:sSub>
                <m:r>
                  <w:rPr>
                    <w:rFonts w:ascii="Cambria Math" w:hAnsi="Cambria Math"/>
                  </w:rPr>
                  <m:t>≠0</m:t>
                </m:r>
              </m:oMath>
            </m:oMathPara>
          </w:p>
        </w:tc>
      </w:tr>
      <w:tr w:rsidR="001A4BA1" w14:paraId="0B0CF4B2" w14:textId="77777777" w:rsidTr="00E1442B">
        <w:trPr>
          <w:trHeight w:val="297"/>
        </w:trPr>
        <w:tc>
          <w:tcPr>
            <w:tcW w:w="2249" w:type="dxa"/>
          </w:tcPr>
          <w:p w14:paraId="65C5B288" w14:textId="77777777" w:rsidR="001A4BA1" w:rsidRDefault="001A4BA1" w:rsidP="00594070">
            <w:pPr>
              <w:rPr>
                <w:rFonts w:ascii="Calibri" w:eastAsia="Times New Roman" w:hAnsi="Calibri" w:cs="Times New Roman"/>
                <w:b/>
              </w:rPr>
            </w:pPr>
          </w:p>
        </w:tc>
        <w:tc>
          <w:tcPr>
            <w:tcW w:w="277" w:type="dxa"/>
          </w:tcPr>
          <w:p w14:paraId="6C5EF414" w14:textId="77777777" w:rsidR="001A4BA1" w:rsidRPr="00B90814" w:rsidRDefault="001A4BA1" w:rsidP="00594070">
            <w:pPr>
              <w:rPr>
                <w:b/>
              </w:rPr>
            </w:pPr>
          </w:p>
        </w:tc>
        <w:tc>
          <w:tcPr>
            <w:tcW w:w="6834" w:type="dxa"/>
          </w:tcPr>
          <w:p w14:paraId="11C699F5" w14:textId="77777777" w:rsidR="001A4BA1" w:rsidRPr="00C32689" w:rsidRDefault="001A4BA1" w:rsidP="001A4BA1">
            <w:pPr>
              <w:jc w:val="left"/>
              <w:rPr>
                <w:rFonts w:ascii="Calibri" w:eastAsia="Times New Roman" w:hAnsi="Calibri" w:cs="Times New Roman"/>
              </w:rPr>
            </w:pPr>
          </w:p>
        </w:tc>
      </w:tr>
      <w:tr w:rsidR="001A4BA1" w14:paraId="6E3D6DB4" w14:textId="77777777" w:rsidTr="00594070">
        <w:tc>
          <w:tcPr>
            <w:tcW w:w="2249" w:type="dxa"/>
          </w:tcPr>
          <w:p w14:paraId="238542B5" w14:textId="77777777" w:rsidR="001A4BA1" w:rsidRPr="001A4BA1" w:rsidRDefault="00D0157F" w:rsidP="00594070">
            <w:pPr>
              <w:rPr>
                <w:b/>
              </w:rPr>
            </w:pPr>
            <m:oMathPara>
              <m:oMathParaPr>
                <m:jc m:val="right"/>
              </m:oMathPara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o</m:t>
                    </m:r>
                  </m:sub>
                </m:sSub>
              </m:oMath>
            </m:oMathPara>
          </w:p>
        </w:tc>
        <w:tc>
          <w:tcPr>
            <w:tcW w:w="277" w:type="dxa"/>
          </w:tcPr>
          <w:p w14:paraId="4A5CD938" w14:textId="77777777" w:rsidR="001A4BA1" w:rsidRPr="00B90814" w:rsidRDefault="001A4BA1" w:rsidP="00594070">
            <w:pPr>
              <w:rPr>
                <w:b/>
              </w:rPr>
            </w:pPr>
            <w:r w:rsidRPr="00B90814">
              <w:rPr>
                <w:b/>
              </w:rPr>
              <w:t>:</w:t>
            </w:r>
          </w:p>
        </w:tc>
        <w:tc>
          <w:tcPr>
            <w:tcW w:w="6834" w:type="dxa"/>
          </w:tcPr>
          <w:p w14:paraId="67060D69" w14:textId="0A50900D" w:rsidR="001A4BA1" w:rsidRPr="001A4BA1" w:rsidRDefault="001A4BA1" w:rsidP="00594070">
            <w:pPr>
              <w:jc w:val="left"/>
            </w:pPr>
            <w:r>
              <w:t>There is no significant difference between two population means</w:t>
            </w:r>
          </w:p>
        </w:tc>
      </w:tr>
      <w:tr w:rsidR="001A4BA1" w14:paraId="66421BB8" w14:textId="77777777" w:rsidTr="00594070">
        <w:trPr>
          <w:trHeight w:val="297"/>
        </w:trPr>
        <w:tc>
          <w:tcPr>
            <w:tcW w:w="2249" w:type="dxa"/>
          </w:tcPr>
          <w:p w14:paraId="45A67632" w14:textId="77777777" w:rsidR="001A4BA1" w:rsidRPr="001A4BA1" w:rsidRDefault="00D0157F" w:rsidP="00594070">
            <w:pPr>
              <w:rPr>
                <w:b/>
              </w:rPr>
            </w:pPr>
            <m:oMathPara>
              <m:oMathParaPr>
                <m:jc m:val="right"/>
              </m:oMathPara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oMath>
            </m:oMathPara>
          </w:p>
        </w:tc>
        <w:tc>
          <w:tcPr>
            <w:tcW w:w="277" w:type="dxa"/>
          </w:tcPr>
          <w:p w14:paraId="1E1133E8" w14:textId="77777777" w:rsidR="001A4BA1" w:rsidRPr="00B90814" w:rsidRDefault="001A4BA1" w:rsidP="00594070">
            <w:pPr>
              <w:rPr>
                <w:b/>
              </w:rPr>
            </w:pPr>
            <w:r w:rsidRPr="00B90814">
              <w:rPr>
                <w:b/>
              </w:rPr>
              <w:t>:</w:t>
            </w:r>
          </w:p>
        </w:tc>
        <w:tc>
          <w:tcPr>
            <w:tcW w:w="6834" w:type="dxa"/>
          </w:tcPr>
          <w:p w14:paraId="150119A9" w14:textId="79CE76B6" w:rsidR="001A4BA1" w:rsidRPr="001A4BA1" w:rsidRDefault="001A4BA1" w:rsidP="001A4BA1">
            <w:pPr>
              <w:jc w:val="left"/>
            </w:pPr>
            <w:r>
              <w:t>The population means are different</w:t>
            </w:r>
          </w:p>
        </w:tc>
      </w:tr>
    </w:tbl>
    <w:p w14:paraId="46896829" w14:textId="77777777" w:rsidR="00770B36" w:rsidRDefault="00770B36" w:rsidP="00A4087B">
      <w:pPr>
        <w:contextualSpacing/>
      </w:pPr>
    </w:p>
    <w:p w14:paraId="660BBE0F" w14:textId="5E8D3F99" w:rsidR="00B1364D" w:rsidRDefault="00B1364D" w:rsidP="00B1364D">
      <w:r>
        <w:t>A suitable</w:t>
      </w:r>
      <w:r w:rsidR="00770B36" w:rsidRPr="00770B36">
        <w:t xml:space="preserve"> statistical test to use is </w:t>
      </w:r>
      <w:r>
        <w:t xml:space="preserve">a </w:t>
      </w:r>
      <w:r w:rsidRPr="00B1364D">
        <w:rPr>
          <w:b/>
        </w:rPr>
        <w:t>two-tailed</w:t>
      </w:r>
      <w:r w:rsidR="00770B36" w:rsidRPr="00B1364D">
        <w:rPr>
          <w:b/>
        </w:rPr>
        <w:t xml:space="preserve"> dependent t-test</w:t>
      </w:r>
      <w:r>
        <w:t>.</w:t>
      </w:r>
      <w:r w:rsidR="00770B36" w:rsidRPr="00770B36">
        <w:t xml:space="preserve"> </w:t>
      </w:r>
    </w:p>
    <w:p w14:paraId="6BE56C15" w14:textId="23806D77" w:rsidR="00B1364D" w:rsidRDefault="00B1364D" w:rsidP="00861D93">
      <w:pPr>
        <w:pStyle w:val="ListParagraph"/>
        <w:numPr>
          <w:ilvl w:val="0"/>
          <w:numId w:val="2"/>
        </w:numPr>
      </w:pPr>
      <w:r>
        <w:t xml:space="preserve">The test </w:t>
      </w:r>
      <w:r w:rsidR="00E76B8A">
        <w:t>should be</w:t>
      </w:r>
      <w:r>
        <w:t xml:space="preserve"> two-tailed due to t</w:t>
      </w:r>
      <w:r w:rsidR="00770B36" w:rsidRPr="00770B36">
        <w:t xml:space="preserve">he </w:t>
      </w:r>
      <w:r w:rsidR="00770B36" w:rsidRPr="00B1364D">
        <w:rPr>
          <w:i/>
        </w:rPr>
        <w:t>possible difference between the congruent and incongruent words condition's response times in the sample can be either positive or negative.</w:t>
      </w:r>
      <w:r w:rsidR="00770B36" w:rsidRPr="00770B36">
        <w:t xml:space="preserve"> </w:t>
      </w:r>
    </w:p>
    <w:p w14:paraId="1D9A1E8D" w14:textId="022DDDE0" w:rsidR="00B1364D" w:rsidRPr="00B1364D" w:rsidRDefault="00B1364D" w:rsidP="00861D93">
      <w:pPr>
        <w:pStyle w:val="ListParagraph"/>
        <w:numPr>
          <w:ilvl w:val="0"/>
          <w:numId w:val="2"/>
        </w:numPr>
        <w:rPr>
          <w:i/>
        </w:rPr>
      </w:pPr>
      <w:r>
        <w:t>T</w:t>
      </w:r>
      <w:r w:rsidR="00770B36" w:rsidRPr="00770B36">
        <w:t xml:space="preserve">he test </w:t>
      </w:r>
      <w:r w:rsidR="00E76B8A">
        <w:t>should be</w:t>
      </w:r>
      <w:r w:rsidR="00770B36" w:rsidRPr="00770B36">
        <w:t xml:space="preserve"> dependent as the </w:t>
      </w:r>
      <w:r w:rsidR="00770B36" w:rsidRPr="00B1364D">
        <w:rPr>
          <w:i/>
        </w:rPr>
        <w:t xml:space="preserve">same sample </w:t>
      </w:r>
      <w:r w:rsidR="00861D93">
        <w:rPr>
          <w:i/>
        </w:rPr>
        <w:t>performs</w:t>
      </w:r>
      <w:r w:rsidR="00770B36" w:rsidRPr="00B1364D">
        <w:rPr>
          <w:i/>
        </w:rPr>
        <w:t xml:space="preserve"> the congruent </w:t>
      </w:r>
      <w:r w:rsidRPr="00B1364D">
        <w:rPr>
          <w:i/>
        </w:rPr>
        <w:t>&amp;</w:t>
      </w:r>
      <w:r w:rsidR="00770B36" w:rsidRPr="00B1364D">
        <w:rPr>
          <w:i/>
        </w:rPr>
        <w:t xml:space="preserve"> incongruent tasks</w:t>
      </w:r>
      <w:r w:rsidRPr="00B1364D">
        <w:rPr>
          <w:i/>
        </w:rPr>
        <w:t>.</w:t>
      </w:r>
    </w:p>
    <w:p w14:paraId="3E9BCCDD" w14:textId="3E8EEEBD" w:rsidR="0090793F" w:rsidRPr="00E1442B" w:rsidRDefault="00B1364D" w:rsidP="00861D93">
      <w:pPr>
        <w:pStyle w:val="ListParagraph"/>
        <w:numPr>
          <w:ilvl w:val="0"/>
          <w:numId w:val="2"/>
        </w:numPr>
      </w:pPr>
      <w:r>
        <w:lastRenderedPageBreak/>
        <w:t>The test should be a t-test as</w:t>
      </w:r>
      <w:r w:rsidR="00770B36" w:rsidRPr="00770B36">
        <w:t xml:space="preserve"> </w:t>
      </w:r>
      <w:r w:rsidR="00770B36" w:rsidRPr="00B1364D">
        <w:rPr>
          <w:i/>
        </w:rPr>
        <w:t>no popu</w:t>
      </w:r>
      <w:r w:rsidRPr="00B1364D">
        <w:rPr>
          <w:i/>
        </w:rPr>
        <w:t>lation parameters are provided</w:t>
      </w:r>
      <w:r>
        <w:t>.</w:t>
      </w:r>
      <w:r w:rsidR="00AE0746">
        <w:t xml:space="preserve"> Also, given the sample size is small, the population cannot be assumed to be distributed normally. </w:t>
      </w:r>
    </w:p>
    <w:p w14:paraId="370BAF02" w14:textId="77777777" w:rsidR="00EB1E07" w:rsidRDefault="00A4087B" w:rsidP="00A4087B">
      <w:pPr>
        <w:rPr>
          <w:i/>
        </w:rPr>
      </w:pPr>
      <w:r w:rsidRPr="00A4087B">
        <w:rPr>
          <w:i/>
        </w:rPr>
        <w:t>Now</w:t>
      </w:r>
      <w:r w:rsidR="008E4A5F">
        <w:rPr>
          <w:i/>
        </w:rPr>
        <w:t>,</w:t>
      </w:r>
      <w:r w:rsidRPr="00A4087B">
        <w:rPr>
          <w:i/>
        </w:rPr>
        <w:t xml:space="preserve"> it’s your chance to try out the Stroop task for yourself. Go to </w:t>
      </w:r>
      <w:hyperlink r:id="rId6" w:history="1">
        <w:r w:rsidRPr="00D0157F">
          <w:rPr>
            <w:rStyle w:val="Hyperlink"/>
            <w:i/>
            <w:u w:val="single"/>
          </w:rPr>
          <w:t>this link</w:t>
        </w:r>
      </w:hyperlink>
      <w:r w:rsidRPr="00A4087B">
        <w:rPr>
          <w:i/>
        </w:rPr>
        <w:t xml:space="preserve">, which has a Java-based applet for performing the Stroop task. Record the times that you received on the task (you do not need to submit your times to the site). </w:t>
      </w:r>
    </w:p>
    <w:p w14:paraId="432A9925" w14:textId="56459DD7" w:rsidR="00A4087B" w:rsidRPr="00A4087B" w:rsidRDefault="00A4087B" w:rsidP="00A4087B">
      <w:pPr>
        <w:rPr>
          <w:i/>
        </w:rPr>
      </w:pPr>
      <w:r w:rsidRPr="00A4087B">
        <w:rPr>
          <w:i/>
        </w:rPr>
        <w:t>Now, download </w:t>
      </w:r>
      <w:hyperlink r:id="rId7" w:history="1">
        <w:r w:rsidRPr="00A4087B">
          <w:rPr>
            <w:rStyle w:val="Hyperlink"/>
            <w:i/>
          </w:rPr>
          <w:t>this dataset</w:t>
        </w:r>
      </w:hyperlink>
      <w:r w:rsidRPr="00A4087B">
        <w:rPr>
          <w:i/>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3A87B9B1" w14:textId="77777777" w:rsidR="003D1286" w:rsidRDefault="00A4087B" w:rsidP="003D1286">
      <w:pPr>
        <w:pStyle w:val="Question"/>
        <w:rPr>
          <w:rFonts w:eastAsia="Times New Roman"/>
          <w:shd w:val="clear" w:color="auto" w:fill="FFFFFF"/>
        </w:rPr>
      </w:pPr>
      <w:r w:rsidRPr="00A4087B">
        <w:rPr>
          <w:rFonts w:eastAsia="Times New Roman"/>
          <w:shd w:val="clear" w:color="auto" w:fill="FFFFFF"/>
        </w:rPr>
        <w:t>Report some descriptive statistics regarding this dataset. Include at least one measure of central tendency and at least one measure of variability.</w:t>
      </w:r>
      <w:r>
        <w:rPr>
          <w:rFonts w:eastAsia="Times New Roman"/>
          <w:shd w:val="clear" w:color="auto" w:fill="FFFFFF"/>
        </w:rPr>
        <w:t xml:space="preserve"> </w:t>
      </w:r>
    </w:p>
    <w:tbl>
      <w:tblPr>
        <w:tblStyle w:val="GridTable4-Accent2"/>
        <w:tblW w:w="9504" w:type="dxa"/>
        <w:tblLook w:val="06A0" w:firstRow="1" w:lastRow="0" w:firstColumn="1" w:lastColumn="0" w:noHBand="1" w:noVBand="1"/>
      </w:tblPr>
      <w:tblGrid>
        <w:gridCol w:w="2880"/>
        <w:gridCol w:w="3312"/>
        <w:gridCol w:w="3312"/>
      </w:tblGrid>
      <w:tr w:rsidR="00C36E66" w14:paraId="681FC70D" w14:textId="77777777" w:rsidTr="00C36E66">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880" w:type="dxa"/>
          </w:tcPr>
          <w:p w14:paraId="4E9E685C" w14:textId="000106ED" w:rsidR="003D1286" w:rsidRPr="00727218" w:rsidRDefault="00AE0746" w:rsidP="00727218">
            <w:pPr>
              <w:jc w:val="center"/>
            </w:pPr>
            <w:r w:rsidRPr="00727218">
              <w:t>Measurement</w:t>
            </w:r>
          </w:p>
        </w:tc>
        <w:tc>
          <w:tcPr>
            <w:tcW w:w="3312" w:type="dxa"/>
          </w:tcPr>
          <w:p w14:paraId="2E167EBE" w14:textId="5E351F49" w:rsidR="003D1286" w:rsidRPr="00727218" w:rsidRDefault="00AE0746" w:rsidP="00727218">
            <w:pPr>
              <w:jc w:val="center"/>
              <w:cnfStyle w:val="100000000000" w:firstRow="1" w:lastRow="0" w:firstColumn="0" w:lastColumn="0" w:oddVBand="0" w:evenVBand="0" w:oddHBand="0" w:evenHBand="0" w:firstRowFirstColumn="0" w:firstRowLastColumn="0" w:lastRowFirstColumn="0" w:lastRowLastColumn="0"/>
            </w:pPr>
            <w:r w:rsidRPr="00727218">
              <w:t>Congruent</w:t>
            </w:r>
          </w:p>
        </w:tc>
        <w:tc>
          <w:tcPr>
            <w:tcW w:w="3312" w:type="dxa"/>
          </w:tcPr>
          <w:p w14:paraId="30091963" w14:textId="4B22764B" w:rsidR="003D1286" w:rsidRPr="00727218" w:rsidRDefault="00AE0746" w:rsidP="00727218">
            <w:pPr>
              <w:jc w:val="center"/>
              <w:cnfStyle w:val="100000000000" w:firstRow="1" w:lastRow="0" w:firstColumn="0" w:lastColumn="0" w:oddVBand="0" w:evenVBand="0" w:oddHBand="0" w:evenHBand="0" w:firstRowFirstColumn="0" w:firstRowLastColumn="0" w:lastRowFirstColumn="0" w:lastRowLastColumn="0"/>
            </w:pPr>
            <w:r w:rsidRPr="00727218">
              <w:t>Incongruent</w:t>
            </w:r>
          </w:p>
        </w:tc>
      </w:tr>
      <w:tr w:rsidR="00AE0746" w14:paraId="020C19F4" w14:textId="77777777" w:rsidTr="00C36E66">
        <w:tc>
          <w:tcPr>
            <w:cnfStyle w:val="001000000000" w:firstRow="0" w:lastRow="0" w:firstColumn="1" w:lastColumn="0" w:oddVBand="0" w:evenVBand="0" w:oddHBand="0" w:evenHBand="0" w:firstRowFirstColumn="0" w:firstRowLastColumn="0" w:lastRowFirstColumn="0" w:lastRowLastColumn="0"/>
            <w:tcW w:w="2880" w:type="dxa"/>
          </w:tcPr>
          <w:p w14:paraId="262420A1" w14:textId="11D53974" w:rsidR="003D1286" w:rsidRPr="00727218" w:rsidRDefault="00AE0746" w:rsidP="00727218">
            <w:pPr>
              <w:jc w:val="left"/>
            </w:pPr>
            <w:r w:rsidRPr="00727218">
              <w:t>Mean</w:t>
            </w:r>
          </w:p>
        </w:tc>
        <w:tc>
          <w:tcPr>
            <w:tcW w:w="3312" w:type="dxa"/>
          </w:tcPr>
          <w:p w14:paraId="53049156" w14:textId="7875E9AB" w:rsidR="003D1286" w:rsidRPr="00727218" w:rsidRDefault="00727218" w:rsidP="00727218">
            <w:pPr>
              <w:jc w:val="center"/>
              <w:cnfStyle w:val="000000000000" w:firstRow="0" w:lastRow="0" w:firstColumn="0" w:lastColumn="0" w:oddVBand="0" w:evenVBand="0" w:oddHBand="0" w:evenHBand="0" w:firstRowFirstColumn="0" w:firstRowLastColumn="0" w:lastRowFirstColumn="0" w:lastRowLastColumn="0"/>
            </w:pPr>
            <w:r>
              <w:t>14.05</w:t>
            </w:r>
          </w:p>
        </w:tc>
        <w:tc>
          <w:tcPr>
            <w:tcW w:w="3312" w:type="dxa"/>
          </w:tcPr>
          <w:p w14:paraId="714869B4" w14:textId="5E9246D2" w:rsidR="003D1286" w:rsidRDefault="00727218" w:rsidP="00727218">
            <w:pPr>
              <w:jc w:val="center"/>
              <w:cnfStyle w:val="000000000000" w:firstRow="0" w:lastRow="0" w:firstColumn="0" w:lastColumn="0" w:oddVBand="0" w:evenVBand="0" w:oddHBand="0" w:evenHBand="0" w:firstRowFirstColumn="0" w:firstRowLastColumn="0" w:lastRowFirstColumn="0" w:lastRowLastColumn="0"/>
            </w:pPr>
            <w:r>
              <w:t>22.02</w:t>
            </w:r>
          </w:p>
        </w:tc>
      </w:tr>
      <w:tr w:rsidR="00AE0746" w14:paraId="5B291770" w14:textId="77777777" w:rsidTr="00C36E66">
        <w:tc>
          <w:tcPr>
            <w:cnfStyle w:val="001000000000" w:firstRow="0" w:lastRow="0" w:firstColumn="1" w:lastColumn="0" w:oddVBand="0" w:evenVBand="0" w:oddHBand="0" w:evenHBand="0" w:firstRowFirstColumn="0" w:firstRowLastColumn="0" w:lastRowFirstColumn="0" w:lastRowLastColumn="0"/>
            <w:tcW w:w="2880" w:type="dxa"/>
          </w:tcPr>
          <w:p w14:paraId="2FB41F0C" w14:textId="3C09D1CF" w:rsidR="00AE0746" w:rsidRPr="00727218" w:rsidRDefault="00AE0746" w:rsidP="00727218">
            <w:pPr>
              <w:jc w:val="left"/>
            </w:pPr>
            <w:r w:rsidRPr="00727218">
              <w:t>Median</w:t>
            </w:r>
          </w:p>
        </w:tc>
        <w:tc>
          <w:tcPr>
            <w:tcW w:w="3312" w:type="dxa"/>
          </w:tcPr>
          <w:p w14:paraId="2C17D9C4" w14:textId="2CD71C2B" w:rsidR="00AE0746" w:rsidRPr="00727218" w:rsidRDefault="00727218" w:rsidP="00727218">
            <w:pPr>
              <w:jc w:val="center"/>
              <w:cnfStyle w:val="000000000000" w:firstRow="0" w:lastRow="0" w:firstColumn="0" w:lastColumn="0" w:oddVBand="0" w:evenVBand="0" w:oddHBand="0" w:evenHBand="0" w:firstRowFirstColumn="0" w:firstRowLastColumn="0" w:lastRowFirstColumn="0" w:lastRowLastColumn="0"/>
            </w:pPr>
            <w:r w:rsidRPr="00727218">
              <w:t>14.</w:t>
            </w:r>
            <w:r>
              <w:t>36</w:t>
            </w:r>
          </w:p>
        </w:tc>
        <w:tc>
          <w:tcPr>
            <w:tcW w:w="3312" w:type="dxa"/>
          </w:tcPr>
          <w:p w14:paraId="2A09F5D8" w14:textId="5360700B" w:rsidR="00AE0746" w:rsidRDefault="00727218" w:rsidP="00727218">
            <w:pPr>
              <w:jc w:val="center"/>
              <w:cnfStyle w:val="000000000000" w:firstRow="0" w:lastRow="0" w:firstColumn="0" w:lastColumn="0" w:oddVBand="0" w:evenVBand="0" w:oddHBand="0" w:evenHBand="0" w:firstRowFirstColumn="0" w:firstRowLastColumn="0" w:lastRowFirstColumn="0" w:lastRowLastColumn="0"/>
            </w:pPr>
            <w:r>
              <w:t>21.02</w:t>
            </w:r>
          </w:p>
        </w:tc>
      </w:tr>
      <w:tr w:rsidR="00AE0746" w14:paraId="49CF3740" w14:textId="77777777" w:rsidTr="00C36E66">
        <w:tc>
          <w:tcPr>
            <w:cnfStyle w:val="001000000000" w:firstRow="0" w:lastRow="0" w:firstColumn="1" w:lastColumn="0" w:oddVBand="0" w:evenVBand="0" w:oddHBand="0" w:evenHBand="0" w:firstRowFirstColumn="0" w:firstRowLastColumn="0" w:lastRowFirstColumn="0" w:lastRowLastColumn="0"/>
            <w:tcW w:w="2880" w:type="dxa"/>
          </w:tcPr>
          <w:p w14:paraId="023685BA" w14:textId="725BF36D" w:rsidR="00AE0746" w:rsidRPr="00727218" w:rsidRDefault="00727218" w:rsidP="00727218">
            <w:pPr>
              <w:jc w:val="left"/>
            </w:pPr>
            <w:r>
              <w:t>Range</w:t>
            </w:r>
          </w:p>
        </w:tc>
        <w:tc>
          <w:tcPr>
            <w:tcW w:w="3312" w:type="dxa"/>
          </w:tcPr>
          <w:p w14:paraId="00B4CF85" w14:textId="1DFECAEE" w:rsidR="00AE0746" w:rsidRPr="00C36E66" w:rsidRDefault="00C36E66" w:rsidP="00727218">
            <w:pPr>
              <w:jc w:val="center"/>
              <w:cnfStyle w:val="000000000000" w:firstRow="0" w:lastRow="0" w:firstColumn="0" w:lastColumn="0" w:oddVBand="0" w:evenVBand="0" w:oddHBand="0" w:evenHBand="0" w:firstRowFirstColumn="0" w:firstRowLastColumn="0" w:lastRowFirstColumn="0" w:lastRowLastColumn="0"/>
            </w:pPr>
            <w:r w:rsidRPr="00C36E66">
              <w:t>13.70</w:t>
            </w:r>
          </w:p>
        </w:tc>
        <w:tc>
          <w:tcPr>
            <w:tcW w:w="3312" w:type="dxa"/>
          </w:tcPr>
          <w:p w14:paraId="3389D578" w14:textId="52BBCC39" w:rsidR="00AE0746" w:rsidRDefault="00C36E66" w:rsidP="00727218">
            <w:pPr>
              <w:jc w:val="center"/>
              <w:cnfStyle w:val="000000000000" w:firstRow="0" w:lastRow="0" w:firstColumn="0" w:lastColumn="0" w:oddVBand="0" w:evenVBand="0" w:oddHBand="0" w:evenHBand="0" w:firstRowFirstColumn="0" w:firstRowLastColumn="0" w:lastRowFirstColumn="0" w:lastRowLastColumn="0"/>
            </w:pPr>
            <w:r>
              <w:t>19.57</w:t>
            </w:r>
          </w:p>
        </w:tc>
      </w:tr>
      <w:tr w:rsidR="00AE0746" w14:paraId="3B0CC03B" w14:textId="77777777" w:rsidTr="00C36E66">
        <w:tc>
          <w:tcPr>
            <w:cnfStyle w:val="001000000000" w:firstRow="0" w:lastRow="0" w:firstColumn="1" w:lastColumn="0" w:oddVBand="0" w:evenVBand="0" w:oddHBand="0" w:evenHBand="0" w:firstRowFirstColumn="0" w:firstRowLastColumn="0" w:lastRowFirstColumn="0" w:lastRowLastColumn="0"/>
            <w:tcW w:w="2880" w:type="dxa"/>
          </w:tcPr>
          <w:p w14:paraId="0F2566FD" w14:textId="71BCC845" w:rsidR="00AE0746" w:rsidRPr="00727218" w:rsidRDefault="00727218" w:rsidP="00727218">
            <w:pPr>
              <w:jc w:val="left"/>
            </w:pPr>
            <w:r w:rsidRPr="00727218">
              <w:t>Standard Deviation</w:t>
            </w:r>
          </w:p>
        </w:tc>
        <w:tc>
          <w:tcPr>
            <w:tcW w:w="3312" w:type="dxa"/>
          </w:tcPr>
          <w:p w14:paraId="28ECAE62" w14:textId="711E4661" w:rsidR="00AE0746" w:rsidRPr="00C36E66" w:rsidRDefault="00C36E66" w:rsidP="00727218">
            <w:pPr>
              <w:jc w:val="center"/>
              <w:cnfStyle w:val="000000000000" w:firstRow="0" w:lastRow="0" w:firstColumn="0" w:lastColumn="0" w:oddVBand="0" w:evenVBand="0" w:oddHBand="0" w:evenHBand="0" w:firstRowFirstColumn="0" w:firstRowLastColumn="0" w:lastRowFirstColumn="0" w:lastRowLastColumn="0"/>
            </w:pPr>
            <w:r w:rsidRPr="00C36E66">
              <w:t>03.56</w:t>
            </w:r>
          </w:p>
        </w:tc>
        <w:tc>
          <w:tcPr>
            <w:tcW w:w="3312" w:type="dxa"/>
          </w:tcPr>
          <w:p w14:paraId="1AEAC177" w14:textId="1D16E02B" w:rsidR="00AE0746" w:rsidRDefault="00C36E66" w:rsidP="00727218">
            <w:pPr>
              <w:jc w:val="center"/>
              <w:cnfStyle w:val="000000000000" w:firstRow="0" w:lastRow="0" w:firstColumn="0" w:lastColumn="0" w:oddVBand="0" w:evenVBand="0" w:oddHBand="0" w:evenHBand="0" w:firstRowFirstColumn="0" w:firstRowLastColumn="0" w:lastRowFirstColumn="0" w:lastRowLastColumn="0"/>
            </w:pPr>
            <w:r>
              <w:t>04.80</w:t>
            </w:r>
          </w:p>
        </w:tc>
      </w:tr>
    </w:tbl>
    <w:p w14:paraId="384F3E20" w14:textId="77777777" w:rsidR="00C36E66" w:rsidRDefault="00C36E66" w:rsidP="00C36E66">
      <w:pPr>
        <w:rPr>
          <w:rFonts w:eastAsia="Times New Roman"/>
          <w:shd w:val="clear" w:color="auto" w:fill="FFFFFF"/>
        </w:rPr>
      </w:pPr>
    </w:p>
    <w:p w14:paraId="7C519622" w14:textId="77777777" w:rsidR="00C36E66" w:rsidRDefault="00A4087B" w:rsidP="00C36E66">
      <w:pPr>
        <w:pStyle w:val="Question"/>
      </w:pPr>
      <w:r w:rsidRPr="00A4087B">
        <w:rPr>
          <w:rFonts w:eastAsia="Times New Roman"/>
          <w:shd w:val="clear" w:color="auto" w:fill="FFFFFF"/>
        </w:rPr>
        <w:t>Provide one or two visualizations that show the distribution of the sample data. Write one or two sentences noting what you observe about the plot or plots.</w:t>
      </w:r>
      <w:r>
        <w:rPr>
          <w:rFonts w:eastAsia="Times New Roman"/>
          <w:shd w:val="clear" w:color="auto" w:fill="FFFFFF"/>
        </w:rPr>
        <w:t xml:space="preserve"> </w:t>
      </w:r>
    </w:p>
    <w:p w14:paraId="387FCB9F" w14:textId="5B4D86EB" w:rsidR="0075575A" w:rsidRDefault="00C21611" w:rsidP="0075575A">
      <w:pPr>
        <w:jc w:val="center"/>
      </w:pPr>
      <w:r>
        <w:rPr>
          <w:noProof/>
        </w:rPr>
        <w:drawing>
          <wp:inline distT="0" distB="0" distL="0" distR="0" wp14:anchorId="3B80DABA" wp14:editId="64AF5B91">
            <wp:extent cx="2861467" cy="1828800"/>
            <wp:effectExtent l="0" t="0" r="88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8E4A5F">
        <w:t xml:space="preserve"> </w:t>
      </w:r>
      <w:r w:rsidR="0075575A">
        <w:rPr>
          <w:noProof/>
        </w:rPr>
        <w:drawing>
          <wp:inline distT="0" distB="0" distL="0" distR="0" wp14:anchorId="7D3DB891" wp14:editId="049C4D10">
            <wp:extent cx="2906991" cy="1828800"/>
            <wp:effectExtent l="0" t="0" r="146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AEE1E7" w14:textId="794AB69F" w:rsidR="0075575A" w:rsidRPr="008E4A5F" w:rsidRDefault="0075575A" w:rsidP="008E4A5F">
      <w:pPr>
        <w:jc w:val="center"/>
        <w:rPr>
          <w:b/>
        </w:rPr>
      </w:pPr>
      <w:r w:rsidRPr="008E4A5F">
        <w:rPr>
          <w:b/>
        </w:rPr>
        <w:t>The above plots clearly suggest that congruent tasks appear to be consistently completed faster than incongruent tasks.</w:t>
      </w:r>
    </w:p>
    <w:p w14:paraId="1768FB37" w14:textId="0FDB619A" w:rsidR="00861D93" w:rsidRDefault="0075575A" w:rsidP="00861D93">
      <w:pPr>
        <w:pStyle w:val="ListParagraph"/>
        <w:numPr>
          <w:ilvl w:val="0"/>
          <w:numId w:val="3"/>
        </w:numPr>
      </w:pPr>
      <w:r w:rsidRPr="008E4A5F">
        <w:rPr>
          <w:i/>
        </w:rPr>
        <w:t xml:space="preserve">The </w:t>
      </w:r>
      <w:r w:rsidR="00BD623B">
        <w:rPr>
          <w:i/>
        </w:rPr>
        <w:t>points for incongruent tasks in the scatter plot</w:t>
      </w:r>
      <w:r w:rsidRPr="008E4A5F">
        <w:rPr>
          <w:i/>
        </w:rPr>
        <w:t xml:space="preserve"> </w:t>
      </w:r>
      <w:r w:rsidR="00BD623B">
        <w:rPr>
          <w:i/>
        </w:rPr>
        <w:t>lie</w:t>
      </w:r>
      <w:r w:rsidRPr="008E4A5F">
        <w:rPr>
          <w:i/>
        </w:rPr>
        <w:t xml:space="preserve"> </w:t>
      </w:r>
      <w:r w:rsidR="008E4A5F" w:rsidRPr="008E4A5F">
        <w:rPr>
          <w:i/>
        </w:rPr>
        <w:t xml:space="preserve">(completely) </w:t>
      </w:r>
      <w:r w:rsidRPr="008E4A5F">
        <w:rPr>
          <w:i/>
        </w:rPr>
        <w:t xml:space="preserve">above the </w:t>
      </w:r>
      <w:r w:rsidR="00BD623B">
        <w:rPr>
          <w:i/>
        </w:rPr>
        <w:t>points</w:t>
      </w:r>
      <w:r w:rsidRPr="008E4A5F">
        <w:rPr>
          <w:i/>
        </w:rPr>
        <w:t xml:space="preserve"> </w:t>
      </w:r>
      <w:r w:rsidR="00BD623B">
        <w:rPr>
          <w:i/>
        </w:rPr>
        <w:t>that represent the</w:t>
      </w:r>
      <w:r w:rsidRPr="008E4A5F">
        <w:rPr>
          <w:i/>
        </w:rPr>
        <w:t xml:space="preserve"> </w:t>
      </w:r>
      <w:r w:rsidR="008E4A5F" w:rsidRPr="008E4A5F">
        <w:rPr>
          <w:i/>
        </w:rPr>
        <w:t>time taken for congruent tasks.</w:t>
      </w:r>
      <w:r w:rsidR="008E4A5F">
        <w:t xml:space="preserve"> This indicates that the time taken for color identification in case of incongruent tasks is more than </w:t>
      </w:r>
      <w:r w:rsidR="00861D93">
        <w:t>in the case of congruent tasks.</w:t>
      </w:r>
    </w:p>
    <w:p w14:paraId="6BD28101" w14:textId="77777777" w:rsidR="00861D93" w:rsidRDefault="00861D93" w:rsidP="00861D93">
      <w:pPr>
        <w:pStyle w:val="ListParagraph"/>
      </w:pPr>
    </w:p>
    <w:p w14:paraId="7686F5BB" w14:textId="49E6A7E0" w:rsidR="008E4A5F" w:rsidRDefault="0075575A" w:rsidP="00861D93">
      <w:pPr>
        <w:pStyle w:val="ListParagraph"/>
        <w:numPr>
          <w:ilvl w:val="0"/>
          <w:numId w:val="3"/>
        </w:numPr>
      </w:pPr>
      <w:r w:rsidRPr="008E4A5F">
        <w:rPr>
          <w:i/>
        </w:rPr>
        <w:t>Majority of the differences lie above the 5 second mark with none of them below 0.</w:t>
      </w:r>
      <w:r>
        <w:t xml:space="preserve"> This strengthens the alternative hypothesis </w:t>
      </w:r>
      <w:r w:rsidR="008E4A5F">
        <w:t>i.e.</w:t>
      </w:r>
      <w:r>
        <w:t xml:space="preserve"> there is a significant difference in the time to name the colo</w:t>
      </w:r>
      <w:r w:rsidRPr="00B90814">
        <w:t xml:space="preserve">rs </w:t>
      </w:r>
      <w:r w:rsidR="008E4A5F">
        <w:t>in-case of</w:t>
      </w:r>
      <w:r w:rsidRPr="00B90814">
        <w:t xml:space="preserve"> congruent </w:t>
      </w:r>
      <w:r>
        <w:t>&amp;</w:t>
      </w:r>
      <w:r w:rsidRPr="00B90814">
        <w:t xml:space="preserve"> incongruent tasks</w:t>
      </w:r>
      <w:r>
        <w:t>.</w:t>
      </w:r>
    </w:p>
    <w:p w14:paraId="01091AE5" w14:textId="22B110EE" w:rsidR="00A4087B" w:rsidRDefault="008E4A5F" w:rsidP="008E4A5F">
      <w:pPr>
        <w:pStyle w:val="Question"/>
        <w:rPr>
          <w:rFonts w:eastAsia="Times New Roman"/>
          <w:shd w:val="clear" w:color="auto" w:fill="FFFFFF"/>
        </w:rPr>
      </w:pPr>
      <w:r>
        <w:br w:type="page"/>
      </w:r>
      <w:r w:rsidR="00A4087B" w:rsidRPr="00A4087B">
        <w:rPr>
          <w:rFonts w:eastAsia="Times New Roman"/>
          <w:shd w:val="clear" w:color="auto" w:fill="FFFFFF"/>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9"/>
        <w:gridCol w:w="277"/>
        <w:gridCol w:w="6834"/>
      </w:tblGrid>
      <w:tr w:rsidR="00095552" w14:paraId="7ADB67DA" w14:textId="77777777" w:rsidTr="00594070">
        <w:tc>
          <w:tcPr>
            <w:tcW w:w="2249" w:type="dxa"/>
          </w:tcPr>
          <w:p w14:paraId="131BFC3F" w14:textId="62086563" w:rsidR="00095552" w:rsidRPr="00095552" w:rsidRDefault="00D0157F" w:rsidP="00594070">
            <w:pPr>
              <w:rPr>
                <w:rFonts w:ascii="Calibri" w:eastAsia="Times New Roman" w:hAnsi="Calibri" w:cs="Times New Roman"/>
                <w:b/>
                <w:i/>
              </w:rPr>
            </w:pPr>
            <m:oMathPara>
              <m:oMath>
                <m:sSub>
                  <m:sSubPr>
                    <m:ctrlPr>
                      <w:rPr>
                        <w:rFonts w:ascii="Cambria Math" w:hAnsi="Cambria Math"/>
                        <w:b/>
                        <w:i/>
                      </w:rPr>
                    </m:ctrlPr>
                  </m:sSubPr>
                  <m:e>
                    <m:r>
                      <m:rPr>
                        <m:sty m:val="bi"/>
                      </m:rPr>
                      <w:rPr>
                        <w:rFonts w:ascii="Cambria Math" w:hAnsi="Cambria Math"/>
                      </w:rPr>
                      <m:t>µ</m:t>
                    </m:r>
                  </m:e>
                  <m:sub>
                    <m:r>
                      <m:rPr>
                        <m:sty m:val="bi"/>
                      </m:rPr>
                      <w:rPr>
                        <w:rFonts w:ascii="Cambria Math" w:hAnsi="Cambria Math"/>
                      </w:rPr>
                      <m:t>c</m:t>
                    </m:r>
                  </m:sub>
                </m:sSub>
              </m:oMath>
            </m:oMathPara>
          </w:p>
        </w:tc>
        <w:tc>
          <w:tcPr>
            <w:tcW w:w="277" w:type="dxa"/>
          </w:tcPr>
          <w:p w14:paraId="33A8C186" w14:textId="35CC13CC" w:rsidR="00095552" w:rsidRPr="00B90814" w:rsidRDefault="00095552" w:rsidP="00594070">
            <w:pPr>
              <w:rPr>
                <w:b/>
              </w:rPr>
            </w:pPr>
            <w:r>
              <w:rPr>
                <w:b/>
              </w:rPr>
              <w:t>:</w:t>
            </w:r>
          </w:p>
        </w:tc>
        <w:tc>
          <w:tcPr>
            <w:tcW w:w="6834" w:type="dxa"/>
          </w:tcPr>
          <w:p w14:paraId="6C14F3D7" w14:textId="0C081CF2" w:rsidR="00095552" w:rsidRDefault="00095552" w:rsidP="00594070">
            <w:r>
              <w:t>14.05</w:t>
            </w:r>
          </w:p>
        </w:tc>
      </w:tr>
      <w:tr w:rsidR="00095552" w14:paraId="659F71F6" w14:textId="77777777" w:rsidTr="00594070">
        <w:tc>
          <w:tcPr>
            <w:tcW w:w="2249" w:type="dxa"/>
          </w:tcPr>
          <w:p w14:paraId="4D576CF3" w14:textId="6ED083D3" w:rsidR="00095552" w:rsidRPr="00095552" w:rsidRDefault="00D0157F" w:rsidP="00594070">
            <w:pPr>
              <w:rPr>
                <w:rFonts w:ascii="Calibri" w:eastAsia="Times New Roman" w:hAnsi="Calibri" w:cs="Times New Roman"/>
                <w:b/>
                <w:i/>
              </w:rPr>
            </w:pPr>
            <m:oMathPara>
              <m:oMath>
                <m:sSub>
                  <m:sSubPr>
                    <m:ctrlPr>
                      <w:rPr>
                        <w:rFonts w:ascii="Cambria Math" w:hAnsi="Cambria Math"/>
                        <w:b/>
                        <w:i/>
                      </w:rPr>
                    </m:ctrlPr>
                  </m:sSubPr>
                  <m:e>
                    <m:r>
                      <m:rPr>
                        <m:sty m:val="bi"/>
                      </m:rPr>
                      <w:rPr>
                        <w:rFonts w:ascii="Cambria Math" w:hAnsi="Cambria Math"/>
                      </w:rPr>
                      <m:t>µ</m:t>
                    </m:r>
                  </m:e>
                  <m:sub>
                    <m:r>
                      <m:rPr>
                        <m:sty m:val="bi"/>
                      </m:rPr>
                      <w:rPr>
                        <w:rFonts w:ascii="Cambria Math" w:hAnsi="Cambria Math"/>
                      </w:rPr>
                      <m:t>i</m:t>
                    </m:r>
                  </m:sub>
                </m:sSub>
              </m:oMath>
            </m:oMathPara>
          </w:p>
        </w:tc>
        <w:tc>
          <w:tcPr>
            <w:tcW w:w="277" w:type="dxa"/>
          </w:tcPr>
          <w:p w14:paraId="2DFB88A9" w14:textId="7120563E" w:rsidR="00095552" w:rsidRPr="00B90814" w:rsidRDefault="00095552" w:rsidP="00594070">
            <w:pPr>
              <w:rPr>
                <w:b/>
              </w:rPr>
            </w:pPr>
            <w:r>
              <w:rPr>
                <w:b/>
              </w:rPr>
              <w:t>:</w:t>
            </w:r>
          </w:p>
        </w:tc>
        <w:tc>
          <w:tcPr>
            <w:tcW w:w="6834" w:type="dxa"/>
          </w:tcPr>
          <w:p w14:paraId="25B681D4" w14:textId="6E47065D" w:rsidR="00095552" w:rsidRDefault="00095552" w:rsidP="00594070">
            <w:r>
              <w:t>22.02</w:t>
            </w:r>
          </w:p>
        </w:tc>
      </w:tr>
      <w:tr w:rsidR="00480906" w14:paraId="1B35DCAA" w14:textId="77777777" w:rsidTr="00594070">
        <w:tc>
          <w:tcPr>
            <w:tcW w:w="2249" w:type="dxa"/>
          </w:tcPr>
          <w:p w14:paraId="3F83AF99" w14:textId="5C922DAE" w:rsidR="00480906" w:rsidRPr="00112161" w:rsidRDefault="00D0157F" w:rsidP="00594070">
            <w:pPr>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d</m:t>
                    </m:r>
                  </m:sub>
                </m:sSub>
              </m:oMath>
            </m:oMathPara>
          </w:p>
        </w:tc>
        <w:tc>
          <w:tcPr>
            <w:tcW w:w="277" w:type="dxa"/>
          </w:tcPr>
          <w:p w14:paraId="39F44C09" w14:textId="77777777" w:rsidR="00480906" w:rsidRPr="00B90814" w:rsidRDefault="00480906" w:rsidP="00594070">
            <w:pPr>
              <w:rPr>
                <w:b/>
              </w:rPr>
            </w:pPr>
            <w:r w:rsidRPr="00B90814">
              <w:rPr>
                <w:b/>
              </w:rPr>
              <w:t>:</w:t>
            </w:r>
          </w:p>
        </w:tc>
        <w:tc>
          <w:tcPr>
            <w:tcW w:w="6834" w:type="dxa"/>
          </w:tcPr>
          <w:p w14:paraId="6C15CBBC" w14:textId="62F83AD1" w:rsidR="00480906" w:rsidRDefault="00EB1E07" w:rsidP="00EB1E07">
            <w:r>
              <w:t xml:space="preserve">- </w:t>
            </w:r>
            <w:r w:rsidR="009C7AD8">
              <w:t>7.96</w:t>
            </w:r>
          </w:p>
        </w:tc>
      </w:tr>
      <w:tr w:rsidR="00480906" w14:paraId="1BFFCF6B" w14:textId="77777777" w:rsidTr="00594070">
        <w:trPr>
          <w:trHeight w:val="297"/>
        </w:trPr>
        <w:tc>
          <w:tcPr>
            <w:tcW w:w="2249" w:type="dxa"/>
          </w:tcPr>
          <w:p w14:paraId="7C5F38DA" w14:textId="6C5C5285" w:rsidR="00480906" w:rsidRPr="00112161" w:rsidRDefault="00861D93" w:rsidP="00594070">
            <w:pPr>
              <w:rPr>
                <w:b/>
              </w:rPr>
            </w:pPr>
            <m:oMathPara>
              <m:oMath>
                <m:r>
                  <m:rPr>
                    <m:sty m:val="bi"/>
                  </m:rPr>
                  <w:rPr>
                    <w:rFonts w:ascii="Cambria Math" w:hAnsi="Cambria Math"/>
                  </w:rPr>
                  <m:t>s</m:t>
                </m:r>
              </m:oMath>
            </m:oMathPara>
          </w:p>
        </w:tc>
        <w:tc>
          <w:tcPr>
            <w:tcW w:w="277" w:type="dxa"/>
          </w:tcPr>
          <w:p w14:paraId="6C14EDE4" w14:textId="77777777" w:rsidR="00480906" w:rsidRPr="00B90814" w:rsidRDefault="00480906" w:rsidP="00594070">
            <w:pPr>
              <w:rPr>
                <w:b/>
              </w:rPr>
            </w:pPr>
            <w:r w:rsidRPr="00B90814">
              <w:rPr>
                <w:b/>
              </w:rPr>
              <w:t>:</w:t>
            </w:r>
          </w:p>
        </w:tc>
        <w:tc>
          <w:tcPr>
            <w:tcW w:w="6834" w:type="dxa"/>
          </w:tcPr>
          <w:p w14:paraId="79F736D7" w14:textId="73AFBF37" w:rsidR="00480906" w:rsidRDefault="009C7AD8" w:rsidP="00095552">
            <w:r w:rsidRPr="009C7AD8">
              <w:t>4.8648</w:t>
            </w:r>
          </w:p>
        </w:tc>
      </w:tr>
      <w:tr w:rsidR="00095552" w14:paraId="6B31E323" w14:textId="77777777" w:rsidTr="00594070">
        <w:trPr>
          <w:trHeight w:val="297"/>
        </w:trPr>
        <w:tc>
          <w:tcPr>
            <w:tcW w:w="2249" w:type="dxa"/>
          </w:tcPr>
          <w:p w14:paraId="2DB54E5E" w14:textId="5E87209B" w:rsidR="00095552" w:rsidRDefault="00095552" w:rsidP="00594070">
            <w:pPr>
              <w:rPr>
                <w:rFonts w:ascii="Calibri" w:eastAsia="Times New Roman" w:hAnsi="Calibri" w:cs="Times New Roman"/>
                <w:b/>
              </w:rPr>
            </w:pPr>
            <m:oMathPara>
              <m:oMath>
                <m:r>
                  <m:rPr>
                    <m:sty m:val="bi"/>
                  </m:rPr>
                  <w:rPr>
                    <w:rFonts w:ascii="Cambria Math" w:hAnsi="Cambria Math"/>
                  </w:rPr>
                  <m:t>n</m:t>
                </m:r>
              </m:oMath>
            </m:oMathPara>
          </w:p>
        </w:tc>
        <w:tc>
          <w:tcPr>
            <w:tcW w:w="277" w:type="dxa"/>
          </w:tcPr>
          <w:p w14:paraId="1F8C3F65" w14:textId="00FAD127" w:rsidR="00095552" w:rsidRPr="00B90814" w:rsidRDefault="00095552" w:rsidP="00594070">
            <w:pPr>
              <w:rPr>
                <w:b/>
              </w:rPr>
            </w:pPr>
            <w:r>
              <w:rPr>
                <w:b/>
              </w:rPr>
              <w:t>:</w:t>
            </w:r>
          </w:p>
        </w:tc>
        <w:tc>
          <w:tcPr>
            <w:tcW w:w="6834" w:type="dxa"/>
          </w:tcPr>
          <w:p w14:paraId="6268D7F6" w14:textId="31366C6E" w:rsidR="00095552" w:rsidRPr="009C7AD8" w:rsidRDefault="00095552" w:rsidP="00594070">
            <w:r>
              <w:t>24</w:t>
            </w:r>
          </w:p>
        </w:tc>
      </w:tr>
      <w:tr w:rsidR="00861D93" w14:paraId="1B3696E3" w14:textId="77777777" w:rsidTr="00594070">
        <w:trPr>
          <w:trHeight w:val="297"/>
        </w:trPr>
        <w:tc>
          <w:tcPr>
            <w:tcW w:w="2249" w:type="dxa"/>
          </w:tcPr>
          <w:p w14:paraId="69A65CD3" w14:textId="63BAE00F" w:rsidR="00861D93" w:rsidRDefault="009C7AD8" w:rsidP="00594070">
            <w:pPr>
              <w:rPr>
                <w:rFonts w:ascii="Calibri" w:eastAsia="Times New Roman" w:hAnsi="Calibri" w:cs="Times New Roman"/>
                <w:b/>
              </w:rPr>
            </w:pPr>
            <m:oMathPara>
              <m:oMath>
                <m:r>
                  <m:rPr>
                    <m:sty m:val="bi"/>
                  </m:rPr>
                  <w:rPr>
                    <w:rFonts w:ascii="Cambria Math" w:eastAsia="Times New Roman" w:hAnsi="Cambria Math" w:cs="Times New Roman"/>
                  </w:rPr>
                  <m:t>df</m:t>
                </m:r>
              </m:oMath>
            </m:oMathPara>
          </w:p>
        </w:tc>
        <w:tc>
          <w:tcPr>
            <w:tcW w:w="277" w:type="dxa"/>
          </w:tcPr>
          <w:p w14:paraId="2E43E7DD" w14:textId="75B1AC06" w:rsidR="00861D93" w:rsidRPr="00B90814" w:rsidRDefault="00861D93" w:rsidP="00594070">
            <w:pPr>
              <w:rPr>
                <w:b/>
              </w:rPr>
            </w:pPr>
            <w:r>
              <w:rPr>
                <w:b/>
              </w:rPr>
              <w:t>:</w:t>
            </w:r>
          </w:p>
        </w:tc>
        <w:tc>
          <w:tcPr>
            <w:tcW w:w="6834" w:type="dxa"/>
          </w:tcPr>
          <w:p w14:paraId="7E22E19F" w14:textId="3E80E793" w:rsidR="00861D93" w:rsidRDefault="009C7AD8" w:rsidP="00594070">
            <w:r>
              <w:t>23</w:t>
            </w:r>
          </w:p>
        </w:tc>
      </w:tr>
      <w:tr w:rsidR="00861D93" w14:paraId="0838E200" w14:textId="77777777" w:rsidTr="00594070">
        <w:trPr>
          <w:trHeight w:val="297"/>
        </w:trPr>
        <w:tc>
          <w:tcPr>
            <w:tcW w:w="2249" w:type="dxa"/>
          </w:tcPr>
          <w:p w14:paraId="20CF1FFC" w14:textId="1A1661F9" w:rsidR="00861D93" w:rsidRDefault="009C7AD8" w:rsidP="00861D93">
            <w:pPr>
              <w:rPr>
                <w:rFonts w:ascii="Calibri" w:eastAsia="Times New Roman" w:hAnsi="Calibri" w:cs="Times New Roman"/>
                <w:b/>
              </w:rPr>
            </w:pPr>
            <m:oMathPara>
              <m:oMath>
                <m:r>
                  <m:rPr>
                    <m:sty m:val="bi"/>
                  </m:rPr>
                  <w:rPr>
                    <w:rFonts w:ascii="Cambria Math" w:eastAsia="Times New Roman" w:hAnsi="Cambria Math" w:cs="Times New Roman"/>
                  </w:rPr>
                  <m:t>t</m:t>
                </m:r>
              </m:oMath>
            </m:oMathPara>
          </w:p>
        </w:tc>
        <w:tc>
          <w:tcPr>
            <w:tcW w:w="277" w:type="dxa"/>
          </w:tcPr>
          <w:p w14:paraId="450AC1F7" w14:textId="3C214B3B" w:rsidR="00861D93" w:rsidRPr="00B90814" w:rsidRDefault="00861D93" w:rsidP="00594070">
            <w:pPr>
              <w:rPr>
                <w:b/>
              </w:rPr>
            </w:pPr>
            <w:r>
              <w:rPr>
                <w:b/>
              </w:rPr>
              <w:t>:</w:t>
            </w:r>
          </w:p>
        </w:tc>
        <w:tc>
          <w:tcPr>
            <w:tcW w:w="6834" w:type="dxa"/>
          </w:tcPr>
          <w:p w14:paraId="48BFFC25" w14:textId="7E468D82" w:rsidR="00861D93" w:rsidRDefault="00095552" w:rsidP="00095552">
            <w:r>
              <w:t>-8.02</w:t>
            </w:r>
          </w:p>
        </w:tc>
      </w:tr>
      <w:tr w:rsidR="00861D93" w14:paraId="749363FF" w14:textId="77777777" w:rsidTr="00594070">
        <w:trPr>
          <w:trHeight w:val="297"/>
        </w:trPr>
        <w:tc>
          <w:tcPr>
            <w:tcW w:w="2249" w:type="dxa"/>
          </w:tcPr>
          <w:p w14:paraId="04B9A335" w14:textId="218CC00F" w:rsidR="00861D93" w:rsidRDefault="00861D93" w:rsidP="00861D93">
            <w:pPr>
              <w:rPr>
                <w:rFonts w:ascii="Calibri" w:eastAsia="Times New Roman" w:hAnsi="Calibri" w:cs="Times New Roman"/>
                <w:b/>
              </w:rPr>
            </w:pPr>
            <m:oMathPara>
              <m:oMath>
                <m:r>
                  <m:rPr>
                    <m:sty m:val="bi"/>
                  </m:rPr>
                  <w:rPr>
                    <w:rFonts w:ascii="Cambria Math" w:eastAsia="Times New Roman" w:hAnsi="Cambria Math" w:cs="Times New Roman"/>
                  </w:rPr>
                  <m:t>α</m:t>
                </m:r>
              </m:oMath>
            </m:oMathPara>
          </w:p>
        </w:tc>
        <w:tc>
          <w:tcPr>
            <w:tcW w:w="277" w:type="dxa"/>
          </w:tcPr>
          <w:p w14:paraId="60B6E3BF" w14:textId="6E506C6E" w:rsidR="00861D93" w:rsidRPr="00B90814" w:rsidRDefault="009C7AD8" w:rsidP="00594070">
            <w:pPr>
              <w:rPr>
                <w:b/>
              </w:rPr>
            </w:pPr>
            <w:r>
              <w:rPr>
                <w:b/>
              </w:rPr>
              <w:t>:</w:t>
            </w:r>
          </w:p>
        </w:tc>
        <w:tc>
          <w:tcPr>
            <w:tcW w:w="6834" w:type="dxa"/>
          </w:tcPr>
          <w:p w14:paraId="634BF8C4" w14:textId="3967DE1B" w:rsidR="00861D93" w:rsidRDefault="009C7AD8" w:rsidP="00594070">
            <w:r>
              <w:t>0.05</w:t>
            </w:r>
          </w:p>
        </w:tc>
      </w:tr>
      <w:tr w:rsidR="00EB1E07" w14:paraId="193EFED0" w14:textId="77777777" w:rsidTr="00594070">
        <w:trPr>
          <w:trHeight w:val="297"/>
        </w:trPr>
        <w:tc>
          <w:tcPr>
            <w:tcW w:w="2249" w:type="dxa"/>
          </w:tcPr>
          <w:p w14:paraId="5ACC7360" w14:textId="4F6651CA" w:rsidR="00EB1E07" w:rsidRDefault="00EB1E07" w:rsidP="00EB1E07">
            <w:pPr>
              <w:jc w:val="center"/>
              <w:rPr>
                <w:rFonts w:ascii="Calibri" w:eastAsia="Times New Roman" w:hAnsi="Calibri" w:cs="Times New Roman"/>
                <w:b/>
              </w:rPr>
            </w:pPr>
            <m:oMathPara>
              <m:oMath>
                <m:r>
                  <m:rPr>
                    <m:sty m:val="bi"/>
                  </m:rPr>
                  <w:rPr>
                    <w:rFonts w:ascii="Cambria Math" w:eastAsia="Times New Roman" w:hAnsi="Cambria Math" w:cs="Times New Roman"/>
                  </w:rPr>
                  <m:t>P</m:t>
                </m:r>
              </m:oMath>
            </m:oMathPara>
          </w:p>
        </w:tc>
        <w:tc>
          <w:tcPr>
            <w:tcW w:w="277" w:type="dxa"/>
          </w:tcPr>
          <w:p w14:paraId="70730FED" w14:textId="3C0D17B2" w:rsidR="00EB1E07" w:rsidRDefault="00EB1E07" w:rsidP="00594070">
            <w:pPr>
              <w:rPr>
                <w:b/>
              </w:rPr>
            </w:pPr>
            <w:r>
              <w:rPr>
                <w:b/>
              </w:rPr>
              <w:t>:</w:t>
            </w:r>
          </w:p>
        </w:tc>
        <w:tc>
          <w:tcPr>
            <w:tcW w:w="6834" w:type="dxa"/>
          </w:tcPr>
          <w:p w14:paraId="0936E013" w14:textId="23C1FC49" w:rsidR="00EB1E07" w:rsidRDefault="00EB1E07" w:rsidP="00594070">
            <w:r w:rsidRPr="00EB1E07">
              <w:t xml:space="preserve">&lt; </w:t>
            </w:r>
            <w:r>
              <w:t>0</w:t>
            </w:r>
            <w:r w:rsidRPr="00EB1E07">
              <w:t>.00001</w:t>
            </w:r>
          </w:p>
        </w:tc>
      </w:tr>
      <w:tr w:rsidR="00861D93" w14:paraId="1F6C60C3" w14:textId="77777777" w:rsidTr="00594070">
        <w:trPr>
          <w:trHeight w:val="297"/>
        </w:trPr>
        <w:tc>
          <w:tcPr>
            <w:tcW w:w="2249" w:type="dxa"/>
          </w:tcPr>
          <w:p w14:paraId="3C5027ED" w14:textId="7BBF8A12" w:rsidR="00861D93" w:rsidRDefault="00D0157F" w:rsidP="00594070">
            <w:pPr>
              <w:rPr>
                <w:rFonts w:ascii="Calibri" w:eastAsia="Times New Roman" w:hAnsi="Calibri" w:cs="Times New Roman"/>
                <w:b/>
              </w:rPr>
            </w:pPr>
            <m:oMathPara>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t</m:t>
                    </m:r>
                  </m:e>
                  <m:sup>
                    <m:r>
                      <m:rPr>
                        <m:sty m:val="bi"/>
                      </m:rPr>
                      <w:rPr>
                        <w:rFonts w:ascii="Cambria Math" w:eastAsia="Times New Roman" w:hAnsi="Cambria Math" w:cs="Times New Roman"/>
                      </w:rPr>
                      <m:t>*</m:t>
                    </m:r>
                  </m:sup>
                </m:sSup>
              </m:oMath>
            </m:oMathPara>
          </w:p>
        </w:tc>
        <w:tc>
          <w:tcPr>
            <w:tcW w:w="277" w:type="dxa"/>
          </w:tcPr>
          <w:p w14:paraId="6A187FB8" w14:textId="1E5C9BC5" w:rsidR="00861D93" w:rsidRPr="00B90814" w:rsidRDefault="009C7AD8" w:rsidP="00594070">
            <w:pPr>
              <w:rPr>
                <w:b/>
              </w:rPr>
            </w:pPr>
            <w:r>
              <w:rPr>
                <w:b/>
              </w:rPr>
              <w:t>:</w:t>
            </w:r>
          </w:p>
        </w:tc>
        <w:tc>
          <w:tcPr>
            <w:tcW w:w="6834" w:type="dxa"/>
          </w:tcPr>
          <w:p w14:paraId="48E8A0C4" w14:textId="6A08B0E9" w:rsidR="00861D93" w:rsidRDefault="00095552" w:rsidP="00095552">
            <w:r>
              <w:t>-2.069</w:t>
            </w:r>
            <w:r w:rsidR="009C7AD8" w:rsidRPr="009C7AD8">
              <w:t>; 2.06</w:t>
            </w:r>
            <w:r>
              <w:t>9</w:t>
            </w:r>
          </w:p>
        </w:tc>
      </w:tr>
      <w:tr w:rsidR="00861D93" w14:paraId="25D41832" w14:textId="77777777" w:rsidTr="00594070">
        <w:trPr>
          <w:trHeight w:val="297"/>
        </w:trPr>
        <w:tc>
          <w:tcPr>
            <w:tcW w:w="2249" w:type="dxa"/>
          </w:tcPr>
          <w:p w14:paraId="77FA4A9E" w14:textId="42FBA5A6" w:rsidR="00861D93" w:rsidRDefault="009C7AD8" w:rsidP="00594070">
            <w:pPr>
              <w:rPr>
                <w:rFonts w:ascii="Calibri" w:eastAsia="Times New Roman" w:hAnsi="Calibri" w:cs="Times New Roman"/>
                <w:b/>
              </w:rPr>
            </w:pPr>
            <m:oMathPara>
              <m:oMath>
                <m:r>
                  <m:rPr>
                    <m:sty m:val="bi"/>
                  </m:rPr>
                  <w:rPr>
                    <w:rFonts w:ascii="Cambria Math" w:eastAsia="Times New Roman" w:hAnsi="Cambria Math" w:cs="Times New Roman"/>
                  </w:rPr>
                  <m:t>95% CI</m:t>
                </m:r>
              </m:oMath>
            </m:oMathPara>
          </w:p>
        </w:tc>
        <w:tc>
          <w:tcPr>
            <w:tcW w:w="277" w:type="dxa"/>
          </w:tcPr>
          <w:p w14:paraId="580D7CA5" w14:textId="17AF634B" w:rsidR="00861D93" w:rsidRPr="00B90814" w:rsidRDefault="009C7AD8" w:rsidP="00594070">
            <w:pPr>
              <w:rPr>
                <w:b/>
              </w:rPr>
            </w:pPr>
            <w:r>
              <w:rPr>
                <w:b/>
              </w:rPr>
              <w:t>:</w:t>
            </w:r>
          </w:p>
        </w:tc>
        <w:tc>
          <w:tcPr>
            <w:tcW w:w="6834" w:type="dxa"/>
          </w:tcPr>
          <w:p w14:paraId="1873997D" w14:textId="1E545592" w:rsidR="00861D93" w:rsidRDefault="009C7AD8" w:rsidP="00594070">
            <w:r>
              <w:t>(</w:t>
            </w:r>
            <w:r w:rsidR="00095552">
              <w:t>-25.35, 9.42</w:t>
            </w:r>
            <w:r w:rsidRPr="009C7AD8">
              <w:t>)</w:t>
            </w:r>
          </w:p>
        </w:tc>
      </w:tr>
    </w:tbl>
    <w:p w14:paraId="05A74C1A" w14:textId="77777777" w:rsidR="009C7AD8" w:rsidRDefault="009C7AD8" w:rsidP="00095552"/>
    <w:p w14:paraId="08381A9A" w14:textId="67F54C73" w:rsidR="00095552" w:rsidRPr="00095552" w:rsidRDefault="00095552" w:rsidP="00095552">
      <m:oMathPara>
        <m:oMathParaPr>
          <m:jc m:val="left"/>
        </m:oMathPara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m:t>
                  </m:r>
                </m:sub>
              </m:sSub>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7.96</m:t>
              </m:r>
            </m:num>
            <m:den>
              <m:r>
                <w:rPr>
                  <w:rFonts w:ascii="Cambria Math" w:hAnsi="Cambria Math"/>
                </w:rPr>
                <m:t>4.8648/</m:t>
              </m:r>
              <m:rad>
                <m:radPr>
                  <m:degHide m:val="1"/>
                  <m:ctrlPr>
                    <w:rPr>
                      <w:rFonts w:ascii="Cambria Math" w:hAnsi="Cambria Math"/>
                      <w:i/>
                    </w:rPr>
                  </m:ctrlPr>
                </m:radPr>
                <m:deg/>
                <m:e>
                  <m:r>
                    <w:rPr>
                      <w:rFonts w:ascii="Cambria Math" w:hAnsi="Cambria Math"/>
                    </w:rPr>
                    <m:t>24</m:t>
                  </m:r>
                </m:e>
              </m:rad>
            </m:den>
          </m:f>
          <m:r>
            <w:rPr>
              <w:rFonts w:ascii="Cambria Math" w:hAnsi="Cambria Math"/>
            </w:rPr>
            <m:t>=- 8.02</m:t>
          </m:r>
        </m:oMath>
      </m:oMathPara>
    </w:p>
    <w:p w14:paraId="505E261E" w14:textId="75AF3C06" w:rsidR="00095552" w:rsidRDefault="00095552" w:rsidP="00095552">
      <w:r>
        <w:t>With a t-value of -8.02 that is less than the t-critical of -2.064</w:t>
      </w:r>
      <w:r w:rsidR="00F73C4C">
        <w:t xml:space="preserve"> [3]</w:t>
      </w:r>
      <w:r>
        <w:t>,</w:t>
      </w:r>
      <w:r w:rsidR="00F73C4C" w:rsidRPr="00F73C4C">
        <w:t xml:space="preserve"> the </w:t>
      </w:r>
      <w:r w:rsidR="00F73C4C" w:rsidRPr="00F73C4C">
        <w:rPr>
          <w:b/>
        </w:rPr>
        <w:t xml:space="preserve">null hypothesis is rejected </w:t>
      </w:r>
      <w:r w:rsidR="00F73C4C" w:rsidRPr="00F73C4C">
        <w:t>with a 95% confidence.</w:t>
      </w:r>
      <w:r w:rsidR="00F73C4C">
        <w:t xml:space="preserve"> </w:t>
      </w:r>
      <w:r w:rsidR="00F73C4C" w:rsidRPr="00F73C4C">
        <w:t xml:space="preserve">People do not name colors at the same speed when </w:t>
      </w:r>
      <w:r w:rsidR="00F73C4C">
        <w:t>the word’s meaning and its colo</w:t>
      </w:r>
      <w:r w:rsidR="00F73C4C" w:rsidRPr="00F73C4C">
        <w:t xml:space="preserve">r match, as when they do not match. </w:t>
      </w:r>
    </w:p>
    <w:p w14:paraId="4A3C0B47" w14:textId="7F5B8655" w:rsidR="00095552" w:rsidRPr="00F73C4C" w:rsidRDefault="00F73C4C" w:rsidP="00095552">
      <w:r>
        <w:t>The obtained statistical evidence matches my intuitive expectations &amp; also the deductions obtained from the created visualizations.</w:t>
      </w:r>
    </w:p>
    <w:p w14:paraId="753D6888" w14:textId="4FE02929" w:rsidR="00F73C4C" w:rsidRDefault="00A4087B" w:rsidP="00F73C4C">
      <w:pPr>
        <w:pStyle w:val="Question"/>
        <w:rPr>
          <w:rFonts w:eastAsia="Times New Roman"/>
          <w:shd w:val="clear" w:color="auto" w:fill="FFFFFF"/>
        </w:rPr>
      </w:pPr>
      <w:r w:rsidRPr="00A4087B">
        <w:rPr>
          <w:rFonts w:eastAsia="Times New Roman"/>
          <w:shd w:val="clear" w:color="auto" w:fill="FFFFFF"/>
        </w:rPr>
        <w:t>What do you think is responsible for the effects observed? Can you think of an alternative or similar task that would result in a similar effect? Some research about the problem will be helpful for thinking about these two questions!</w:t>
      </w:r>
    </w:p>
    <w:p w14:paraId="6597D831" w14:textId="63F850BD" w:rsidR="00F73C4C" w:rsidRDefault="00F73C4C" w:rsidP="00F73C4C">
      <w:pPr>
        <w:rPr>
          <w:rFonts w:eastAsia="Times New Roman"/>
          <w:shd w:val="clear" w:color="auto" w:fill="FFFFFF"/>
        </w:rPr>
      </w:pPr>
      <w:r>
        <w:rPr>
          <w:rFonts w:eastAsia="Times New Roman"/>
          <w:shd w:val="clear" w:color="auto" w:fill="FFFFFF"/>
        </w:rPr>
        <w:t xml:space="preserve">Before researching, the immediate reasoning that I thought of is </w:t>
      </w:r>
      <w:r w:rsidR="00BD623B">
        <w:rPr>
          <w:rFonts w:eastAsia="Times New Roman"/>
          <w:shd w:val="clear" w:color="auto" w:fill="FFFFFF"/>
        </w:rPr>
        <w:t xml:space="preserve">– </w:t>
      </w:r>
      <w:r>
        <w:rPr>
          <w:rFonts w:eastAsia="Times New Roman"/>
          <w:shd w:val="clear" w:color="auto" w:fill="FFFFFF"/>
        </w:rPr>
        <w:t xml:space="preserve">we tend to process words faster than colors. Furthermore, if were trying to state the color of the word, the word is probably distracting us as we try to dismiss it and focus on the color. This site [1] calls this “Speed of Processing Model”. </w:t>
      </w:r>
    </w:p>
    <w:p w14:paraId="08C732F2" w14:textId="3BCAFF41" w:rsidR="00F73C4C" w:rsidRPr="00D04E3C" w:rsidRDefault="00F73C4C" w:rsidP="00F73C4C">
      <w:pPr>
        <w:rPr>
          <w:rFonts w:eastAsia="Times New Roman"/>
          <w:shd w:val="clear" w:color="auto" w:fill="FFFFFF"/>
        </w:rPr>
      </w:pPr>
      <w:r>
        <w:rPr>
          <w:rFonts w:eastAsia="Times New Roman"/>
          <w:shd w:val="clear" w:color="auto" w:fill="FFFFFF"/>
        </w:rPr>
        <w:t>On further research, I came across ‘Numerical Stroop Effect’ which is based on the mingling of numerical values and their size [2].</w:t>
      </w:r>
    </w:p>
    <w:p w14:paraId="3147C945" w14:textId="647C804D" w:rsidR="00D04E3C" w:rsidRDefault="00D04E3C" w:rsidP="00D04E3C">
      <w:pPr>
        <w:pStyle w:val="Heading1"/>
      </w:pPr>
      <w:r>
        <w:t>References</w:t>
      </w:r>
    </w:p>
    <w:p w14:paraId="6CC80D85" w14:textId="6EEC80C7" w:rsidR="00191D1E" w:rsidRPr="00191D1E" w:rsidRDefault="00191D1E" w:rsidP="00191D1E">
      <w:pPr>
        <w:jc w:val="left"/>
      </w:pPr>
      <w:r>
        <w:t xml:space="preserve">[1] </w:t>
      </w:r>
      <w:hyperlink r:id="rId10" w:history="1">
        <w:r w:rsidRPr="00191D1E">
          <w:rPr>
            <w:rStyle w:val="Hyperlink"/>
          </w:rPr>
          <w:t>https://www.rit.edu/cla/gssp400.sbackground.html</w:t>
        </w:r>
      </w:hyperlink>
      <w:r>
        <w:br/>
        <w:t xml:space="preserve">[2] </w:t>
      </w:r>
      <w:hyperlink r:id="rId11" w:history="1">
        <w:r w:rsidRPr="00191D1E">
          <w:rPr>
            <w:rStyle w:val="Hyperlink"/>
          </w:rPr>
          <w:t>https://en.wikipedia.org/wiki/Numerical_Stroop_effect</w:t>
        </w:r>
      </w:hyperlink>
      <w:r>
        <w:br/>
        <w:t xml:space="preserve">[3] </w:t>
      </w:r>
      <w:hyperlink r:id="rId12" w:history="1">
        <w:r w:rsidRPr="00191D1E">
          <w:rPr>
            <w:rStyle w:val="Hyperlink"/>
          </w:rPr>
          <w:t>https://s3.amazonaws.com/udacity-hosted-downloads/t-table.jpg</w:t>
        </w:r>
      </w:hyperlink>
    </w:p>
    <w:sectPr w:rsidR="00191D1E" w:rsidRPr="00191D1E" w:rsidSect="0092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B0981"/>
    <w:multiLevelType w:val="hybridMultilevel"/>
    <w:tmpl w:val="14E8536E"/>
    <w:lvl w:ilvl="0" w:tplc="1E74D246">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4C1D52"/>
    <w:multiLevelType w:val="hybridMultilevel"/>
    <w:tmpl w:val="C46863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C61F2"/>
    <w:multiLevelType w:val="hybridMultilevel"/>
    <w:tmpl w:val="6A3E4892"/>
    <w:lvl w:ilvl="0" w:tplc="7D26B7B0">
      <w:start w:val="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C5"/>
    <w:rsid w:val="00095552"/>
    <w:rsid w:val="0011089F"/>
    <w:rsid w:val="00112161"/>
    <w:rsid w:val="00191D1E"/>
    <w:rsid w:val="001A4BA1"/>
    <w:rsid w:val="00303838"/>
    <w:rsid w:val="00315EC5"/>
    <w:rsid w:val="003D1286"/>
    <w:rsid w:val="00420A9E"/>
    <w:rsid w:val="00480906"/>
    <w:rsid w:val="00727218"/>
    <w:rsid w:val="0075575A"/>
    <w:rsid w:val="00770B36"/>
    <w:rsid w:val="00846289"/>
    <w:rsid w:val="00861D93"/>
    <w:rsid w:val="008E4A5F"/>
    <w:rsid w:val="0090793F"/>
    <w:rsid w:val="0092141A"/>
    <w:rsid w:val="009C7AD8"/>
    <w:rsid w:val="00A4087B"/>
    <w:rsid w:val="00AE0746"/>
    <w:rsid w:val="00B1364D"/>
    <w:rsid w:val="00B90814"/>
    <w:rsid w:val="00BD623B"/>
    <w:rsid w:val="00C04C53"/>
    <w:rsid w:val="00C21611"/>
    <w:rsid w:val="00C36E66"/>
    <w:rsid w:val="00D0157F"/>
    <w:rsid w:val="00D04E3C"/>
    <w:rsid w:val="00E1442B"/>
    <w:rsid w:val="00E76B8A"/>
    <w:rsid w:val="00EB1E07"/>
    <w:rsid w:val="00F73C4C"/>
    <w:rsid w:val="00FE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CB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53"/>
    <w:pPr>
      <w:jc w:val="both"/>
    </w:pPr>
  </w:style>
  <w:style w:type="paragraph" w:styleId="Heading1">
    <w:name w:val="heading 1"/>
    <w:basedOn w:val="Normal"/>
    <w:next w:val="Normal"/>
    <w:link w:val="Heading1Char"/>
    <w:uiPriority w:val="9"/>
    <w:qFormat/>
    <w:rsid w:val="00315EC5"/>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B90814"/>
    <w:pPr>
      <w:keepNext/>
      <w:keepLines/>
      <w:spacing w:before="200" w:after="0"/>
      <w:jc w:val="left"/>
      <w:outlineLvl w:val="1"/>
    </w:pPr>
    <w:rPr>
      <w:rFonts w:asciiTheme="majorHAnsi" w:eastAsia="Times New Roman" w:hAnsiTheme="majorHAnsi" w:cstheme="majorBidi"/>
      <w:b/>
      <w:bCs/>
      <w:color w:val="4A66AC" w:themeColor="accent1"/>
      <w:sz w:val="26"/>
      <w:szCs w:val="26"/>
      <w:shd w:val="clear" w:color="auto" w:fill="FFFFFF"/>
    </w:rPr>
  </w:style>
  <w:style w:type="paragraph" w:styleId="Heading3">
    <w:name w:val="heading 3"/>
    <w:basedOn w:val="Normal"/>
    <w:next w:val="Normal"/>
    <w:link w:val="Heading3Char"/>
    <w:uiPriority w:val="9"/>
    <w:unhideWhenUsed/>
    <w:qFormat/>
    <w:rsid w:val="00315EC5"/>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315EC5"/>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315EC5"/>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315EC5"/>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315E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5EC5"/>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315E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C5"/>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B90814"/>
    <w:rPr>
      <w:rFonts w:asciiTheme="majorHAnsi" w:eastAsia="Times New Roman"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315EC5"/>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315EC5"/>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315EC5"/>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315EC5"/>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315E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5EC5"/>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315E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5EC5"/>
    <w:pPr>
      <w:spacing w:line="240" w:lineRule="auto"/>
    </w:pPr>
    <w:rPr>
      <w:b/>
      <w:bCs/>
      <w:color w:val="4A66AC" w:themeColor="accent1"/>
      <w:sz w:val="18"/>
      <w:szCs w:val="18"/>
    </w:rPr>
  </w:style>
  <w:style w:type="paragraph" w:styleId="Title">
    <w:name w:val="Title"/>
    <w:basedOn w:val="Normal"/>
    <w:next w:val="Normal"/>
    <w:link w:val="TitleChar"/>
    <w:uiPriority w:val="10"/>
    <w:qFormat/>
    <w:rsid w:val="00315EC5"/>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315EC5"/>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315EC5"/>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315EC5"/>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315EC5"/>
    <w:rPr>
      <w:b/>
      <w:bCs/>
    </w:rPr>
  </w:style>
  <w:style w:type="character" w:styleId="Emphasis">
    <w:name w:val="Emphasis"/>
    <w:basedOn w:val="DefaultParagraphFont"/>
    <w:uiPriority w:val="20"/>
    <w:qFormat/>
    <w:rsid w:val="00315EC5"/>
    <w:rPr>
      <w:i/>
      <w:iCs/>
    </w:rPr>
  </w:style>
  <w:style w:type="paragraph" w:styleId="NoSpacing">
    <w:name w:val="No Spacing"/>
    <w:link w:val="NoSpacingChar"/>
    <w:uiPriority w:val="1"/>
    <w:qFormat/>
    <w:rsid w:val="00315EC5"/>
    <w:pPr>
      <w:spacing w:after="0" w:line="240" w:lineRule="auto"/>
    </w:pPr>
  </w:style>
  <w:style w:type="paragraph" w:styleId="ListParagraph">
    <w:name w:val="List Paragraph"/>
    <w:basedOn w:val="Normal"/>
    <w:uiPriority w:val="34"/>
    <w:qFormat/>
    <w:rsid w:val="00315EC5"/>
    <w:pPr>
      <w:ind w:left="720"/>
      <w:contextualSpacing/>
    </w:pPr>
  </w:style>
  <w:style w:type="paragraph" w:styleId="Quote">
    <w:name w:val="Quote"/>
    <w:basedOn w:val="Normal"/>
    <w:next w:val="Normal"/>
    <w:link w:val="QuoteChar"/>
    <w:uiPriority w:val="29"/>
    <w:qFormat/>
    <w:rsid w:val="00315EC5"/>
    <w:rPr>
      <w:i/>
      <w:iCs/>
      <w:color w:val="000000" w:themeColor="text1"/>
    </w:rPr>
  </w:style>
  <w:style w:type="character" w:customStyle="1" w:styleId="QuoteChar">
    <w:name w:val="Quote Char"/>
    <w:basedOn w:val="DefaultParagraphFont"/>
    <w:link w:val="Quote"/>
    <w:uiPriority w:val="29"/>
    <w:rsid w:val="00315EC5"/>
    <w:rPr>
      <w:i/>
      <w:iCs/>
      <w:color w:val="000000" w:themeColor="text1"/>
    </w:rPr>
  </w:style>
  <w:style w:type="paragraph" w:styleId="IntenseQuote">
    <w:name w:val="Intense Quote"/>
    <w:basedOn w:val="Normal"/>
    <w:next w:val="Normal"/>
    <w:link w:val="IntenseQuoteChar"/>
    <w:uiPriority w:val="30"/>
    <w:qFormat/>
    <w:rsid w:val="00315EC5"/>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315EC5"/>
    <w:rPr>
      <w:b/>
      <w:bCs/>
      <w:i/>
      <w:iCs/>
      <w:color w:val="4A66AC" w:themeColor="accent1"/>
    </w:rPr>
  </w:style>
  <w:style w:type="character" w:styleId="SubtleEmphasis">
    <w:name w:val="Subtle Emphasis"/>
    <w:basedOn w:val="DefaultParagraphFont"/>
    <w:uiPriority w:val="19"/>
    <w:qFormat/>
    <w:rsid w:val="00315EC5"/>
    <w:rPr>
      <w:i/>
      <w:iCs/>
      <w:color w:val="808080" w:themeColor="text1" w:themeTint="7F"/>
    </w:rPr>
  </w:style>
  <w:style w:type="character" w:styleId="IntenseEmphasis">
    <w:name w:val="Intense Emphasis"/>
    <w:basedOn w:val="DefaultParagraphFont"/>
    <w:uiPriority w:val="21"/>
    <w:qFormat/>
    <w:rsid w:val="00315EC5"/>
    <w:rPr>
      <w:b/>
      <w:bCs/>
      <w:i/>
      <w:iCs/>
      <w:color w:val="4A66AC" w:themeColor="accent1"/>
    </w:rPr>
  </w:style>
  <w:style w:type="character" w:styleId="SubtleReference">
    <w:name w:val="Subtle Reference"/>
    <w:basedOn w:val="DefaultParagraphFont"/>
    <w:uiPriority w:val="31"/>
    <w:qFormat/>
    <w:rsid w:val="00315EC5"/>
    <w:rPr>
      <w:smallCaps/>
      <w:color w:val="629DD1" w:themeColor="accent2"/>
      <w:u w:val="single"/>
    </w:rPr>
  </w:style>
  <w:style w:type="character" w:styleId="IntenseReference">
    <w:name w:val="Intense Reference"/>
    <w:basedOn w:val="DefaultParagraphFont"/>
    <w:uiPriority w:val="32"/>
    <w:qFormat/>
    <w:rsid w:val="00315EC5"/>
    <w:rPr>
      <w:b/>
      <w:bCs/>
      <w:smallCaps/>
      <w:color w:val="629DD1" w:themeColor="accent2"/>
      <w:spacing w:val="5"/>
      <w:u w:val="single"/>
    </w:rPr>
  </w:style>
  <w:style w:type="character" w:styleId="BookTitle">
    <w:name w:val="Book Title"/>
    <w:basedOn w:val="DefaultParagraphFont"/>
    <w:uiPriority w:val="33"/>
    <w:qFormat/>
    <w:rsid w:val="00315EC5"/>
    <w:rPr>
      <w:b/>
      <w:bCs/>
      <w:smallCaps/>
      <w:spacing w:val="5"/>
    </w:rPr>
  </w:style>
  <w:style w:type="paragraph" w:styleId="TOCHeading">
    <w:name w:val="TOC Heading"/>
    <w:basedOn w:val="Heading1"/>
    <w:next w:val="Normal"/>
    <w:uiPriority w:val="39"/>
    <w:semiHidden/>
    <w:unhideWhenUsed/>
    <w:qFormat/>
    <w:rsid w:val="00315EC5"/>
    <w:pPr>
      <w:outlineLvl w:val="9"/>
    </w:pPr>
  </w:style>
  <w:style w:type="character" w:customStyle="1" w:styleId="NoSpacingChar">
    <w:name w:val="No Spacing Char"/>
    <w:basedOn w:val="DefaultParagraphFont"/>
    <w:link w:val="NoSpacing"/>
    <w:uiPriority w:val="1"/>
    <w:rsid w:val="00315EC5"/>
  </w:style>
  <w:style w:type="paragraph" w:customStyle="1" w:styleId="PersonalName">
    <w:name w:val="Personal Name"/>
    <w:basedOn w:val="Title"/>
    <w:rsid w:val="00315EC5"/>
    <w:rPr>
      <w:b/>
      <w:caps/>
      <w:color w:val="000000"/>
      <w:sz w:val="28"/>
      <w:szCs w:val="28"/>
    </w:rPr>
  </w:style>
  <w:style w:type="character" w:styleId="Hyperlink">
    <w:name w:val="Hyperlink"/>
    <w:uiPriority w:val="99"/>
    <w:unhideWhenUsed/>
    <w:rsid w:val="00BD623B"/>
    <w:rPr>
      <w:color w:val="1B1D3D" w:themeColor="text2" w:themeShade="BF"/>
    </w:rPr>
  </w:style>
  <w:style w:type="table" w:styleId="TableGrid">
    <w:name w:val="Table Grid"/>
    <w:basedOn w:val="TableNormal"/>
    <w:uiPriority w:val="39"/>
    <w:rsid w:val="00D0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
    <w:name w:val="Question"/>
    <w:basedOn w:val="Normal"/>
    <w:qFormat/>
    <w:rsid w:val="00303838"/>
    <w:pPr>
      <w:jc w:val="left"/>
    </w:pPr>
    <w:rPr>
      <w:color w:val="1E5E9F" w:themeColor="accent3" w:themeShade="BF"/>
      <w:sz w:val="24"/>
    </w:rPr>
  </w:style>
  <w:style w:type="character" w:styleId="PlaceholderText">
    <w:name w:val="Placeholder Text"/>
    <w:basedOn w:val="DefaultParagraphFont"/>
    <w:uiPriority w:val="99"/>
    <w:semiHidden/>
    <w:rsid w:val="00770B36"/>
    <w:rPr>
      <w:color w:val="808080"/>
    </w:rPr>
  </w:style>
  <w:style w:type="table" w:styleId="GridTable5Dark-Accent1">
    <w:name w:val="Grid Table 5 Dark Accent 1"/>
    <w:basedOn w:val="TableNormal"/>
    <w:uiPriority w:val="50"/>
    <w:rsid w:val="0072721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2">
    <w:name w:val="Grid Table 4 Accent 2"/>
    <w:basedOn w:val="TableNormal"/>
    <w:uiPriority w:val="49"/>
    <w:rsid w:val="00727218"/>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4-Accent3">
    <w:name w:val="Grid Table 4 Accent 3"/>
    <w:basedOn w:val="TableNormal"/>
    <w:uiPriority w:val="49"/>
    <w:rsid w:val="00727218"/>
    <w:pPr>
      <w:spacing w:after="0" w:line="240" w:lineRule="auto"/>
    </w:p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4">
    <w:name w:val="Grid Table 4 Accent 4"/>
    <w:basedOn w:val="TableNormal"/>
    <w:uiPriority w:val="49"/>
    <w:rsid w:val="00C36E66"/>
    <w:pPr>
      <w:spacing w:after="0" w:line="240" w:lineRule="auto"/>
    </w:pPr>
    <w:tblPr>
      <w:tblStyleRowBandSize w:val="1"/>
      <w:tblStyleColBandSize w:val="1"/>
      <w:tblInd w:w="0" w:type="dxa"/>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3767">
      <w:bodyDiv w:val="1"/>
      <w:marLeft w:val="0"/>
      <w:marRight w:val="0"/>
      <w:marTop w:val="0"/>
      <w:marBottom w:val="0"/>
      <w:divBdr>
        <w:top w:val="none" w:sz="0" w:space="0" w:color="auto"/>
        <w:left w:val="none" w:sz="0" w:space="0" w:color="auto"/>
        <w:bottom w:val="none" w:sz="0" w:space="0" w:color="auto"/>
        <w:right w:val="none" w:sz="0" w:space="0" w:color="auto"/>
      </w:divBdr>
    </w:div>
    <w:div w:id="39133068">
      <w:bodyDiv w:val="1"/>
      <w:marLeft w:val="0"/>
      <w:marRight w:val="0"/>
      <w:marTop w:val="0"/>
      <w:marBottom w:val="0"/>
      <w:divBdr>
        <w:top w:val="none" w:sz="0" w:space="0" w:color="auto"/>
        <w:left w:val="none" w:sz="0" w:space="0" w:color="auto"/>
        <w:bottom w:val="none" w:sz="0" w:space="0" w:color="auto"/>
        <w:right w:val="none" w:sz="0" w:space="0" w:color="auto"/>
      </w:divBdr>
    </w:div>
    <w:div w:id="41296646">
      <w:bodyDiv w:val="1"/>
      <w:marLeft w:val="0"/>
      <w:marRight w:val="0"/>
      <w:marTop w:val="0"/>
      <w:marBottom w:val="0"/>
      <w:divBdr>
        <w:top w:val="none" w:sz="0" w:space="0" w:color="auto"/>
        <w:left w:val="none" w:sz="0" w:space="0" w:color="auto"/>
        <w:bottom w:val="none" w:sz="0" w:space="0" w:color="auto"/>
        <w:right w:val="none" w:sz="0" w:space="0" w:color="auto"/>
      </w:divBdr>
    </w:div>
    <w:div w:id="146359102">
      <w:bodyDiv w:val="1"/>
      <w:marLeft w:val="0"/>
      <w:marRight w:val="0"/>
      <w:marTop w:val="0"/>
      <w:marBottom w:val="0"/>
      <w:divBdr>
        <w:top w:val="none" w:sz="0" w:space="0" w:color="auto"/>
        <w:left w:val="none" w:sz="0" w:space="0" w:color="auto"/>
        <w:bottom w:val="none" w:sz="0" w:space="0" w:color="auto"/>
        <w:right w:val="none" w:sz="0" w:space="0" w:color="auto"/>
      </w:divBdr>
    </w:div>
    <w:div w:id="220481945">
      <w:bodyDiv w:val="1"/>
      <w:marLeft w:val="0"/>
      <w:marRight w:val="0"/>
      <w:marTop w:val="0"/>
      <w:marBottom w:val="0"/>
      <w:divBdr>
        <w:top w:val="none" w:sz="0" w:space="0" w:color="auto"/>
        <w:left w:val="none" w:sz="0" w:space="0" w:color="auto"/>
        <w:bottom w:val="none" w:sz="0" w:space="0" w:color="auto"/>
        <w:right w:val="none" w:sz="0" w:space="0" w:color="auto"/>
      </w:divBdr>
    </w:div>
    <w:div w:id="261494511">
      <w:bodyDiv w:val="1"/>
      <w:marLeft w:val="0"/>
      <w:marRight w:val="0"/>
      <w:marTop w:val="0"/>
      <w:marBottom w:val="0"/>
      <w:divBdr>
        <w:top w:val="none" w:sz="0" w:space="0" w:color="auto"/>
        <w:left w:val="none" w:sz="0" w:space="0" w:color="auto"/>
        <w:bottom w:val="none" w:sz="0" w:space="0" w:color="auto"/>
        <w:right w:val="none" w:sz="0" w:space="0" w:color="auto"/>
      </w:divBdr>
    </w:div>
    <w:div w:id="273751768">
      <w:bodyDiv w:val="1"/>
      <w:marLeft w:val="0"/>
      <w:marRight w:val="0"/>
      <w:marTop w:val="0"/>
      <w:marBottom w:val="0"/>
      <w:divBdr>
        <w:top w:val="none" w:sz="0" w:space="0" w:color="auto"/>
        <w:left w:val="none" w:sz="0" w:space="0" w:color="auto"/>
        <w:bottom w:val="none" w:sz="0" w:space="0" w:color="auto"/>
        <w:right w:val="none" w:sz="0" w:space="0" w:color="auto"/>
      </w:divBdr>
    </w:div>
    <w:div w:id="275646550">
      <w:bodyDiv w:val="1"/>
      <w:marLeft w:val="0"/>
      <w:marRight w:val="0"/>
      <w:marTop w:val="0"/>
      <w:marBottom w:val="0"/>
      <w:divBdr>
        <w:top w:val="none" w:sz="0" w:space="0" w:color="auto"/>
        <w:left w:val="none" w:sz="0" w:space="0" w:color="auto"/>
        <w:bottom w:val="none" w:sz="0" w:space="0" w:color="auto"/>
        <w:right w:val="none" w:sz="0" w:space="0" w:color="auto"/>
      </w:divBdr>
    </w:div>
    <w:div w:id="291982763">
      <w:bodyDiv w:val="1"/>
      <w:marLeft w:val="0"/>
      <w:marRight w:val="0"/>
      <w:marTop w:val="0"/>
      <w:marBottom w:val="0"/>
      <w:divBdr>
        <w:top w:val="none" w:sz="0" w:space="0" w:color="auto"/>
        <w:left w:val="none" w:sz="0" w:space="0" w:color="auto"/>
        <w:bottom w:val="none" w:sz="0" w:space="0" w:color="auto"/>
        <w:right w:val="none" w:sz="0" w:space="0" w:color="auto"/>
      </w:divBdr>
    </w:div>
    <w:div w:id="466515038">
      <w:bodyDiv w:val="1"/>
      <w:marLeft w:val="0"/>
      <w:marRight w:val="0"/>
      <w:marTop w:val="0"/>
      <w:marBottom w:val="0"/>
      <w:divBdr>
        <w:top w:val="none" w:sz="0" w:space="0" w:color="auto"/>
        <w:left w:val="none" w:sz="0" w:space="0" w:color="auto"/>
        <w:bottom w:val="none" w:sz="0" w:space="0" w:color="auto"/>
        <w:right w:val="none" w:sz="0" w:space="0" w:color="auto"/>
      </w:divBdr>
    </w:div>
    <w:div w:id="548612995">
      <w:bodyDiv w:val="1"/>
      <w:marLeft w:val="0"/>
      <w:marRight w:val="0"/>
      <w:marTop w:val="0"/>
      <w:marBottom w:val="0"/>
      <w:divBdr>
        <w:top w:val="none" w:sz="0" w:space="0" w:color="auto"/>
        <w:left w:val="none" w:sz="0" w:space="0" w:color="auto"/>
        <w:bottom w:val="none" w:sz="0" w:space="0" w:color="auto"/>
        <w:right w:val="none" w:sz="0" w:space="0" w:color="auto"/>
      </w:divBdr>
    </w:div>
    <w:div w:id="604533722">
      <w:bodyDiv w:val="1"/>
      <w:marLeft w:val="0"/>
      <w:marRight w:val="0"/>
      <w:marTop w:val="0"/>
      <w:marBottom w:val="0"/>
      <w:divBdr>
        <w:top w:val="none" w:sz="0" w:space="0" w:color="auto"/>
        <w:left w:val="none" w:sz="0" w:space="0" w:color="auto"/>
        <w:bottom w:val="none" w:sz="0" w:space="0" w:color="auto"/>
        <w:right w:val="none" w:sz="0" w:space="0" w:color="auto"/>
      </w:divBdr>
    </w:div>
    <w:div w:id="905645098">
      <w:bodyDiv w:val="1"/>
      <w:marLeft w:val="0"/>
      <w:marRight w:val="0"/>
      <w:marTop w:val="0"/>
      <w:marBottom w:val="0"/>
      <w:divBdr>
        <w:top w:val="none" w:sz="0" w:space="0" w:color="auto"/>
        <w:left w:val="none" w:sz="0" w:space="0" w:color="auto"/>
        <w:bottom w:val="none" w:sz="0" w:space="0" w:color="auto"/>
        <w:right w:val="none" w:sz="0" w:space="0" w:color="auto"/>
      </w:divBdr>
    </w:div>
    <w:div w:id="908227642">
      <w:bodyDiv w:val="1"/>
      <w:marLeft w:val="0"/>
      <w:marRight w:val="0"/>
      <w:marTop w:val="0"/>
      <w:marBottom w:val="0"/>
      <w:divBdr>
        <w:top w:val="none" w:sz="0" w:space="0" w:color="auto"/>
        <w:left w:val="none" w:sz="0" w:space="0" w:color="auto"/>
        <w:bottom w:val="none" w:sz="0" w:space="0" w:color="auto"/>
        <w:right w:val="none" w:sz="0" w:space="0" w:color="auto"/>
      </w:divBdr>
    </w:div>
    <w:div w:id="926306721">
      <w:bodyDiv w:val="1"/>
      <w:marLeft w:val="0"/>
      <w:marRight w:val="0"/>
      <w:marTop w:val="0"/>
      <w:marBottom w:val="0"/>
      <w:divBdr>
        <w:top w:val="none" w:sz="0" w:space="0" w:color="auto"/>
        <w:left w:val="none" w:sz="0" w:space="0" w:color="auto"/>
        <w:bottom w:val="none" w:sz="0" w:space="0" w:color="auto"/>
        <w:right w:val="none" w:sz="0" w:space="0" w:color="auto"/>
      </w:divBdr>
    </w:div>
    <w:div w:id="1029457274">
      <w:bodyDiv w:val="1"/>
      <w:marLeft w:val="0"/>
      <w:marRight w:val="0"/>
      <w:marTop w:val="0"/>
      <w:marBottom w:val="0"/>
      <w:divBdr>
        <w:top w:val="none" w:sz="0" w:space="0" w:color="auto"/>
        <w:left w:val="none" w:sz="0" w:space="0" w:color="auto"/>
        <w:bottom w:val="none" w:sz="0" w:space="0" w:color="auto"/>
        <w:right w:val="none" w:sz="0" w:space="0" w:color="auto"/>
      </w:divBdr>
    </w:div>
    <w:div w:id="1046610466">
      <w:bodyDiv w:val="1"/>
      <w:marLeft w:val="0"/>
      <w:marRight w:val="0"/>
      <w:marTop w:val="0"/>
      <w:marBottom w:val="0"/>
      <w:divBdr>
        <w:top w:val="none" w:sz="0" w:space="0" w:color="auto"/>
        <w:left w:val="none" w:sz="0" w:space="0" w:color="auto"/>
        <w:bottom w:val="none" w:sz="0" w:space="0" w:color="auto"/>
        <w:right w:val="none" w:sz="0" w:space="0" w:color="auto"/>
      </w:divBdr>
    </w:div>
    <w:div w:id="1167944572">
      <w:bodyDiv w:val="1"/>
      <w:marLeft w:val="0"/>
      <w:marRight w:val="0"/>
      <w:marTop w:val="0"/>
      <w:marBottom w:val="0"/>
      <w:divBdr>
        <w:top w:val="none" w:sz="0" w:space="0" w:color="auto"/>
        <w:left w:val="none" w:sz="0" w:space="0" w:color="auto"/>
        <w:bottom w:val="none" w:sz="0" w:space="0" w:color="auto"/>
        <w:right w:val="none" w:sz="0" w:space="0" w:color="auto"/>
      </w:divBdr>
    </w:div>
    <w:div w:id="1208756387">
      <w:bodyDiv w:val="1"/>
      <w:marLeft w:val="0"/>
      <w:marRight w:val="0"/>
      <w:marTop w:val="0"/>
      <w:marBottom w:val="0"/>
      <w:divBdr>
        <w:top w:val="none" w:sz="0" w:space="0" w:color="auto"/>
        <w:left w:val="none" w:sz="0" w:space="0" w:color="auto"/>
        <w:bottom w:val="none" w:sz="0" w:space="0" w:color="auto"/>
        <w:right w:val="none" w:sz="0" w:space="0" w:color="auto"/>
      </w:divBdr>
    </w:div>
    <w:div w:id="1356155733">
      <w:bodyDiv w:val="1"/>
      <w:marLeft w:val="0"/>
      <w:marRight w:val="0"/>
      <w:marTop w:val="0"/>
      <w:marBottom w:val="0"/>
      <w:divBdr>
        <w:top w:val="none" w:sz="0" w:space="0" w:color="auto"/>
        <w:left w:val="none" w:sz="0" w:space="0" w:color="auto"/>
        <w:bottom w:val="none" w:sz="0" w:space="0" w:color="auto"/>
        <w:right w:val="none" w:sz="0" w:space="0" w:color="auto"/>
      </w:divBdr>
    </w:div>
    <w:div w:id="1631470447">
      <w:bodyDiv w:val="1"/>
      <w:marLeft w:val="0"/>
      <w:marRight w:val="0"/>
      <w:marTop w:val="0"/>
      <w:marBottom w:val="0"/>
      <w:divBdr>
        <w:top w:val="none" w:sz="0" w:space="0" w:color="auto"/>
        <w:left w:val="none" w:sz="0" w:space="0" w:color="auto"/>
        <w:bottom w:val="none" w:sz="0" w:space="0" w:color="auto"/>
        <w:right w:val="none" w:sz="0" w:space="0" w:color="auto"/>
      </w:divBdr>
    </w:div>
    <w:div w:id="1665427749">
      <w:bodyDiv w:val="1"/>
      <w:marLeft w:val="0"/>
      <w:marRight w:val="0"/>
      <w:marTop w:val="0"/>
      <w:marBottom w:val="0"/>
      <w:divBdr>
        <w:top w:val="none" w:sz="0" w:space="0" w:color="auto"/>
        <w:left w:val="none" w:sz="0" w:space="0" w:color="auto"/>
        <w:bottom w:val="none" w:sz="0" w:space="0" w:color="auto"/>
        <w:right w:val="none" w:sz="0" w:space="0" w:color="auto"/>
      </w:divBdr>
    </w:div>
    <w:div w:id="1721443118">
      <w:bodyDiv w:val="1"/>
      <w:marLeft w:val="0"/>
      <w:marRight w:val="0"/>
      <w:marTop w:val="0"/>
      <w:marBottom w:val="0"/>
      <w:divBdr>
        <w:top w:val="none" w:sz="0" w:space="0" w:color="auto"/>
        <w:left w:val="none" w:sz="0" w:space="0" w:color="auto"/>
        <w:bottom w:val="none" w:sz="0" w:space="0" w:color="auto"/>
        <w:right w:val="none" w:sz="0" w:space="0" w:color="auto"/>
      </w:divBdr>
    </w:div>
    <w:div w:id="1760978173">
      <w:bodyDiv w:val="1"/>
      <w:marLeft w:val="0"/>
      <w:marRight w:val="0"/>
      <w:marTop w:val="0"/>
      <w:marBottom w:val="0"/>
      <w:divBdr>
        <w:top w:val="none" w:sz="0" w:space="0" w:color="auto"/>
        <w:left w:val="none" w:sz="0" w:space="0" w:color="auto"/>
        <w:bottom w:val="none" w:sz="0" w:space="0" w:color="auto"/>
        <w:right w:val="none" w:sz="0" w:space="0" w:color="auto"/>
      </w:divBdr>
    </w:div>
    <w:div w:id="1766416750">
      <w:bodyDiv w:val="1"/>
      <w:marLeft w:val="0"/>
      <w:marRight w:val="0"/>
      <w:marTop w:val="0"/>
      <w:marBottom w:val="0"/>
      <w:divBdr>
        <w:top w:val="none" w:sz="0" w:space="0" w:color="auto"/>
        <w:left w:val="none" w:sz="0" w:space="0" w:color="auto"/>
        <w:bottom w:val="none" w:sz="0" w:space="0" w:color="auto"/>
        <w:right w:val="none" w:sz="0" w:space="0" w:color="auto"/>
      </w:divBdr>
    </w:div>
    <w:div w:id="1931424854">
      <w:bodyDiv w:val="1"/>
      <w:marLeft w:val="0"/>
      <w:marRight w:val="0"/>
      <w:marTop w:val="0"/>
      <w:marBottom w:val="0"/>
      <w:divBdr>
        <w:top w:val="none" w:sz="0" w:space="0" w:color="auto"/>
        <w:left w:val="none" w:sz="0" w:space="0" w:color="auto"/>
        <w:bottom w:val="none" w:sz="0" w:space="0" w:color="auto"/>
        <w:right w:val="none" w:sz="0" w:space="0" w:color="auto"/>
      </w:divBdr>
    </w:div>
    <w:div w:id="1997807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Numerical_Stroop_effect" TargetMode="External"/><Relationship Id="rId12" Type="http://schemas.openxmlformats.org/officeDocument/2006/relationships/hyperlink" Target="https://s3.amazonaws.com/udacity-hosted-downloads/t-table.jp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faculty.washington.edu/chudler/java/ready.html&amp;sa=D&amp;ust=1490294800208000&amp;usg=AFQjCNHUdIny9yMp2fzrI5v_T25l93BVMA" TargetMode="External"/><Relationship Id="rId7" Type="http://schemas.openxmlformats.org/officeDocument/2006/relationships/hyperlink" Target="https://www.google.com/url?q=https://drive.google.com/file/d/0B9Yf01UaIbUgQXpYb2NhZ29yX1U/view?usp%3Dsharing&amp;sa=D&amp;ust=1490294800209000&amp;usg=AFQjCNGci3rDgxfIwgTguCV7eGfFvEevvA"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yperlink" Target="https://www.rit.edu/cla/gssp400.sbackground.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unny/Downloads/stroopdata.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unny/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solidFill>
                  <a:schemeClr val="accent1">
                    <a:lumMod val="75000"/>
                  </a:schemeClr>
                </a:solidFill>
              </a:rPr>
              <a:t>Scatter Plot: Congruent vs.</a:t>
            </a:r>
            <a:r>
              <a:rPr lang="en-US" sz="1050" baseline="0">
                <a:solidFill>
                  <a:schemeClr val="accent1">
                    <a:lumMod val="75000"/>
                  </a:schemeClr>
                </a:solidFill>
              </a:rPr>
              <a:t> Incongruent</a:t>
            </a:r>
            <a:endParaRPr lang="en-US" sz="1050">
              <a:solidFill>
                <a:schemeClr val="accent1">
                  <a:lumMod val="75000"/>
                </a:schemeClr>
              </a:solidFill>
            </a:endParaRP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[stroopdata.csv]stroopdata!$A$1</c:f>
              <c:strCache>
                <c:ptCount val="1"/>
                <c:pt idx="0">
                  <c:v>Congruent</c:v>
                </c:pt>
              </c:strCache>
            </c:strRef>
          </c:tx>
          <c:spPr>
            <a:ln w="25400" cap="rnd">
              <a:noFill/>
              <a:round/>
            </a:ln>
            <a:effectLst/>
          </c:spPr>
          <c:marker>
            <c:symbol val="circle"/>
            <c:size val="5"/>
            <c:spPr>
              <a:solidFill>
                <a:schemeClr val="accent1"/>
              </a:solidFill>
              <a:ln w="9525">
                <a:solidFill>
                  <a:schemeClr val="accent1"/>
                </a:solidFill>
              </a:ln>
              <a:effectLst/>
            </c:spPr>
          </c:marker>
          <c:yVal>
            <c:numRef>
              <c:f>[stroopdata.csv]stroopdata!$A$2:$A$25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1"/>
          <c:order val="1"/>
          <c:tx>
            <c:strRef>
              <c:f>[stroopdata.csv]stroopdata!$B$1</c:f>
              <c:strCache>
                <c:ptCount val="1"/>
                <c:pt idx="0">
                  <c:v>Incongruent</c:v>
                </c:pt>
              </c:strCache>
            </c:strRef>
          </c:tx>
          <c:spPr>
            <a:ln w="25400" cap="rnd">
              <a:noFill/>
              <a:round/>
            </a:ln>
            <a:effectLst/>
          </c:spPr>
          <c:marker>
            <c:symbol val="circle"/>
            <c:size val="5"/>
            <c:spPr>
              <a:solidFill>
                <a:schemeClr val="accent2"/>
              </a:solidFill>
              <a:ln w="9525">
                <a:solidFill>
                  <a:schemeClr val="accent2"/>
                </a:solidFill>
              </a:ln>
              <a:effectLst/>
            </c:spPr>
          </c:marker>
          <c:yVal>
            <c:numRef>
              <c:f>[stroopdata.csv]stroopdata!$B$2:$B$25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142564240"/>
        <c:axId val="2142782848"/>
      </c:scatterChart>
      <c:valAx>
        <c:axId val="2142564240"/>
        <c:scaling>
          <c:orientation val="minMax"/>
        </c:scaling>
        <c:delete val="1"/>
        <c:axPos val="b"/>
        <c:numFmt formatCode="General" sourceLinked="1"/>
        <c:majorTickMark val="none"/>
        <c:minorTickMark val="none"/>
        <c:tickLblPos val="nextTo"/>
        <c:crossAx val="2142782848"/>
        <c:crosses val="autoZero"/>
        <c:crossBetween val="midCat"/>
      </c:valAx>
      <c:valAx>
        <c:axId val="214278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564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accent1">
                    <a:lumMod val="75000"/>
                  </a:schemeClr>
                </a:solidFill>
                <a:latin typeface="+mn-lt"/>
                <a:ea typeface="+mn-ea"/>
                <a:cs typeface="+mn-cs"/>
              </a:defRPr>
            </a:pPr>
            <a:r>
              <a:rPr lang="en-US" sz="1000">
                <a:solidFill>
                  <a:schemeClr val="accent1">
                    <a:lumMod val="75000"/>
                  </a:schemeClr>
                </a:solidFill>
              </a:rPr>
              <a:t>Difference: Incongruent - Congruent</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accent1">
                  <a:lumMod val="75000"/>
                </a:schemeClr>
              </a:solidFill>
              <a:latin typeface="+mn-lt"/>
              <a:ea typeface="+mn-ea"/>
              <a:cs typeface="+mn-cs"/>
            </a:defRPr>
          </a:pPr>
          <a:endParaRPr lang="en-US"/>
        </a:p>
      </c:txPr>
    </c:title>
    <c:autoTitleDeleted val="0"/>
    <c:plotArea>
      <c:layout/>
      <c:scatterChart>
        <c:scatterStyle val="lineMarker"/>
        <c:varyColors val="0"/>
        <c:ser>
          <c:idx val="0"/>
          <c:order val="0"/>
          <c:tx>
            <c:strRef>
              <c:f>[stroopdata.csv]stroopdata!$C$1</c:f>
              <c:strCache>
                <c:ptCount val="1"/>
                <c:pt idx="0">
                  <c:v>Diff</c:v>
                </c:pt>
              </c:strCache>
            </c:strRef>
          </c:tx>
          <c:spPr>
            <a:ln w="25400" cap="rnd">
              <a:noFill/>
              <a:round/>
            </a:ln>
            <a:effectLst/>
          </c:spPr>
          <c:marker>
            <c:symbol val="circle"/>
            <c:size val="5"/>
            <c:spPr>
              <a:solidFill>
                <a:schemeClr val="accent1"/>
              </a:solidFill>
              <a:ln w="9525">
                <a:solidFill>
                  <a:schemeClr val="accent1"/>
                </a:solidFill>
              </a:ln>
              <a:effectLst/>
            </c:spPr>
          </c:marker>
          <c:yVal>
            <c:numRef>
              <c:f>[stroopdata.csv]stroopdata!$C$2:$C$25</c:f>
              <c:numCache>
                <c:formatCode>General</c:formatCode>
                <c:ptCount val="24"/>
                <c:pt idx="0">
                  <c:v>7.198999999999994</c:v>
                </c:pt>
                <c:pt idx="1">
                  <c:v>1.949999999999999</c:v>
                </c:pt>
                <c:pt idx="2">
                  <c:v>11.65</c:v>
                </c:pt>
                <c:pt idx="3">
                  <c:v>7.056999999999999</c:v>
                </c:pt>
                <c:pt idx="4">
                  <c:v>8.133999999999998</c:v>
                </c:pt>
                <c:pt idx="5">
                  <c:v>8.639999999999998</c:v>
                </c:pt>
                <c:pt idx="6">
                  <c:v>9.880000000000002</c:v>
                </c:pt>
                <c:pt idx="7">
                  <c:v>8.407000000000001</c:v>
                </c:pt>
                <c:pt idx="8">
                  <c:v>11.361</c:v>
                </c:pt>
                <c:pt idx="9">
                  <c:v>11.802</c:v>
                </c:pt>
                <c:pt idx="10">
                  <c:v>2.196000000000001</c:v>
                </c:pt>
                <c:pt idx="11">
                  <c:v>3.345999999999998</c:v>
                </c:pt>
                <c:pt idx="12">
                  <c:v>2.437000000000001</c:v>
                </c:pt>
                <c:pt idx="13">
                  <c:v>3.401</c:v>
                </c:pt>
                <c:pt idx="14">
                  <c:v>17.055</c:v>
                </c:pt>
                <c:pt idx="15">
                  <c:v>10.028</c:v>
                </c:pt>
                <c:pt idx="16">
                  <c:v>6.643999999999996</c:v>
                </c:pt>
                <c:pt idx="17">
                  <c:v>9.79</c:v>
                </c:pt>
                <c:pt idx="18">
                  <c:v>6.081000000000001</c:v>
                </c:pt>
                <c:pt idx="19">
                  <c:v>21.919</c:v>
                </c:pt>
                <c:pt idx="20">
                  <c:v>10.95</c:v>
                </c:pt>
                <c:pt idx="21">
                  <c:v>3.727</c:v>
                </c:pt>
                <c:pt idx="22">
                  <c:v>2.347999999999999</c:v>
                </c:pt>
                <c:pt idx="23">
                  <c:v>5.152999999999986</c:v>
                </c:pt>
              </c:numCache>
            </c:numRef>
          </c:yVal>
          <c:smooth val="0"/>
        </c:ser>
        <c:dLbls>
          <c:showLegendKey val="0"/>
          <c:showVal val="0"/>
          <c:showCatName val="0"/>
          <c:showSerName val="0"/>
          <c:showPercent val="0"/>
          <c:showBubbleSize val="0"/>
        </c:dLbls>
        <c:axId val="2128725264"/>
        <c:axId val="2128726688"/>
      </c:scatterChart>
      <c:valAx>
        <c:axId val="2128725264"/>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2128726688"/>
        <c:crosses val="autoZero"/>
        <c:crossBetween val="midCat"/>
      </c:valAx>
      <c:valAx>
        <c:axId val="212872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725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3C2FFE3-FC65-5847-98A8-4552BA44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924</Words>
  <Characters>5269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Background Information</vt:lpstr>
      <vt:lpstr>Questions for Investigation</vt:lpstr>
      <vt:lpstr>References</vt:lpstr>
    </vt:vector>
  </TitlesOfParts>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Suri</dc:creator>
  <cp:keywords/>
  <dc:description/>
  <cp:lastModifiedBy>Pranav Suri</cp:lastModifiedBy>
  <cp:revision>6</cp:revision>
  <cp:lastPrinted>2017-03-25T20:43:00Z</cp:lastPrinted>
  <dcterms:created xsi:type="dcterms:W3CDTF">2017-03-25T20:43:00Z</dcterms:created>
  <dcterms:modified xsi:type="dcterms:W3CDTF">2018-02-12T19:24:00Z</dcterms:modified>
</cp:coreProperties>
</file>