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color w:val="000000"/>
        </w:rPr>
        <w:tab/>
        <w:tab/>
        <w:tab/>
        <w:tab/>
        <w:tab/>
        <w:drawing>
          <wp:inline xmlns:a="http://schemas.openxmlformats.org/drawingml/2006/main" xmlns:pic="http://schemas.openxmlformats.org/drawingml/2006/picture">
            <wp:extent cx="914400" cy="457200"/>
            <wp:docPr id="1" name="Picture 1"/>
            <wp:cNvGraphicFramePr>
              <a:graphicFrameLocks noChangeAspect="1"/>
            </wp:cNvGraphicFramePr>
            <a:graphic>
              <a:graphicData uri="http://schemas.openxmlformats.org/drawingml/2006/picture">
                <pic:pic>
                  <pic:nvPicPr>
                    <pic:cNvPr id="0" name="MicrosoftTeams-image.png"/>
                    <pic:cNvPicPr/>
                  </pic:nvPicPr>
                  <pic:blipFill>
                    <a:blip r:embed="rId9"/>
                    <a:stretch>
                      <a:fillRect/>
                    </a:stretch>
                  </pic:blipFill>
                  <pic:spPr>
                    <a:xfrm>
                      <a:off x="0" y="0"/>
                      <a:ext cx="914400" cy="457200"/>
                    </a:xfrm>
                    <a:prstGeom prst="rect"/>
                  </pic:spPr>
                </pic:pic>
              </a:graphicData>
            </a:graphic>
          </wp:inline>
        </w:drawing>
        <w:br/>
      </w:r>
    </w:p>
    <w:p>
      <w:pPr>
        <w:pStyle w:val="NewHeading"/>
      </w:pPr>
      <w:r>
        <w:t>Recruit Id : 004</w:t>
      </w:r>
    </w:p>
    <w:p>
      <w:pPr>
        <w:pStyle w:val="NewHeading"/>
      </w:pPr>
      <w:r>
        <w:t xml:space="preserve">Candidate Name : </w:t>
      </w:r>
    </w:p>
    <w:p>
      <w:pPr>
        <w:pStyle w:val="NewHeading"/>
      </w:pPr>
      <w:r>
        <w:t xml:space="preserve">Essay Topic : </w:t>
      </w:r>
    </w:p>
    <w:p>
      <w:pPr>
        <w:pStyle w:val="Heading3"/>
      </w:pPr>
    </w:p>
    <w:p>
      <w:r>
        <w:rPr>
          <w:color w:val="000000"/>
          <w:sz w:val="24"/>
        </w:rPr>
        <w:t>Only a particular event does not change my event, every new day I face a event and every new event teaches me new lesson and  every lesson changes my attitude and style of life. I would like to share a few events which changed my life activities: 1.That was the day of function in our family so we prepared food for the guests. But that day was a rainy day where we did not get the expected numbers of guests. ultimately there remained  more amount of food so we decided to pack the food and give it to the poor street people and road siders. we  started giving to people. Once we gave to a man he said "like a god you have came and helped us. Thank you so much". These words kept on going in my mind. From that moment I did not wasted food any a cause. 2.The other day, it was a quite hectic day I was returning from my college so I usually travel  in buses from college to home. I reached the bus stop which is near a very busy road. from a long I saw a man who is trying to to cross the traffic road. No one cares him or helped him. I gone near him I found that he is a physically challenged  person. Without thinking anything I started helping him to cross the road. The man got a smile in him and started holding my hand tightly that moment made me to think and changed my attitude towards to help others.</w:t>
      </w:r>
    </w:p>
    <w:tbl>
      <w:tblPr>
        <w:tblW w:type="auto" w:w="0"/>
        <w:tblLook w:firstColumn="1" w:firstRow="1" w:lastColumn="0" w:lastRow="0" w:noHBand="0" w:noVBand="1" w:val="04A0"/>
      </w:tblPr>
      <w:tblGrid>
        <w:gridCol w:w="4320"/>
        <w:gridCol w:w="4320"/>
      </w:tblGrid>
      <w:tr>
        <w:tc>
          <w:tcPr>
            <w:tcW w:type="dxa" w:w="4320"/>
          </w:tcPr>
          <w:p>
            <w:r>
              <w:rPr>
                <w:b/>
              </w:rPr>
              <w:t>Labels</w:t>
            </w:r>
          </w:p>
        </w:tc>
        <w:tc>
          <w:tcPr>
            <w:tcW w:type="dxa" w:w="4320"/>
          </w:tcPr>
          <w:p>
            <w:r>
              <w:rPr>
                <w:b/>
              </w:rPr>
              <w:t>Data</w:t>
            </w:r>
          </w:p>
        </w:tc>
      </w:tr>
      <w:tr>
        <w:tc>
          <w:tcPr>
            <w:tcW w:type="dxa" w:w="4320"/>
          </w:tcPr>
          <w:p>
            <w:r>
              <w:t xml:space="preserve">Word Count : </w:t>
            </w:r>
          </w:p>
        </w:tc>
        <w:tc>
          <w:tcPr>
            <w:tcW w:type="dxa" w:w="4320"/>
          </w:tcPr>
          <w:p>
            <w:r>
              <w:t>259</w:t>
            </w:r>
          </w:p>
        </w:tc>
      </w:tr>
      <w:tr>
        <w:tc>
          <w:tcPr>
            <w:tcW w:type="dxa" w:w="4320"/>
          </w:tcPr>
          <w:p>
            <w:r>
              <w:t xml:space="preserve">Grammar and spelling errors count : </w:t>
            </w:r>
          </w:p>
        </w:tc>
        <w:tc>
          <w:tcPr>
            <w:tcW w:type="dxa" w:w="4320"/>
          </w:tcPr>
          <w:p>
            <w:r>
              <w:t>7</w:t>
            </w:r>
          </w:p>
        </w:tc>
      </w:tr>
      <w:tr>
        <w:tc>
          <w:tcPr>
            <w:tcW w:type="dxa" w:w="4320"/>
          </w:tcPr>
          <w:p>
            <w:r>
              <w:t xml:space="preserve">Grammar and spelling errors list : </w:t>
            </w:r>
          </w:p>
        </w:tc>
        <w:tc>
          <w:tcPr>
            <w:tcW w:type="dxa" w:w="4320"/>
          </w:tcPr>
          <w:p>
            <w:r>
              <w:t>['day where', 'siders', '  ', 'him', 'gone', ' so', 'to to']</w:t>
            </w:r>
          </w:p>
        </w:tc>
      </w:tr>
      <w:tr>
        <w:tc>
          <w:tcPr>
            <w:tcW w:type="dxa" w:w="4320"/>
          </w:tcPr>
          <w:p>
            <w:r>
              <w:t>Frequency for keyword : &lt;Event&gt;</w:t>
            </w:r>
          </w:p>
        </w:tc>
        <w:tc>
          <w:tcPr>
            <w:tcW w:type="dxa" w:w="4320"/>
          </w:tcPr>
          <w:p>
            <w:r>
              <w:t>4</w:t>
            </w:r>
          </w:p>
        </w:tc>
      </w:tr>
      <w:tr>
        <w:tc>
          <w:tcPr>
            <w:tcW w:type="dxa" w:w="4320"/>
          </w:tcPr>
          <w:p>
            <w:r>
              <w:t>Frequency for keyword : &lt;Life&gt;</w:t>
            </w:r>
          </w:p>
        </w:tc>
        <w:tc>
          <w:tcPr>
            <w:tcW w:type="dxa" w:w="4320"/>
          </w:tcPr>
          <w:p>
            <w:r>
              <w:t>2</w:t>
            </w:r>
          </w:p>
        </w:tc>
      </w:tr>
      <w:tr>
        <w:tc>
          <w:tcPr>
            <w:tcW w:type="dxa" w:w="4320"/>
          </w:tcPr>
          <w:p>
            <w:r>
              <w:t xml:space="preserve">Special words or entities : </w:t>
            </w:r>
          </w:p>
        </w:tc>
        <w:tc>
          <w:tcPr>
            <w:tcW w:type="dxa" w:w="4320"/>
          </w:tcPr>
          <w:p>
            <w:r>
              <w:t>[(the day, 'DATE', 391), (that day, 'DATE', 391), (a rainy day, 'DATE', 391), (2.The other day, 'DATE', 391)]</w:t>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 ©  All Rights Reserved | OG Healthcare | Essay Evaluation Report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sans serif" w:hAnsi="ms sans serif"/>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3"/>
    <w:rPr>
      <w:rFonts w:ascii="ms sans serif" w:hAnsi="ms sans seri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