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color w:val="000000"/>
        </w:rPr>
        <w:tab/>
        <w:tab/>
        <w:tab/>
        <w:tab/>
        <w:tab/>
        <w:drawing>
          <wp:inline xmlns:a="http://schemas.openxmlformats.org/drawingml/2006/main" xmlns:pic="http://schemas.openxmlformats.org/drawingml/2006/picture">
            <wp:extent cx="914400" cy="457200"/>
            <wp:docPr id="1" name="Picture 1"/>
            <wp:cNvGraphicFramePr>
              <a:graphicFrameLocks noChangeAspect="1"/>
            </wp:cNvGraphicFramePr>
            <a:graphic>
              <a:graphicData uri="http://schemas.openxmlformats.org/drawingml/2006/picture">
                <pic:pic>
                  <pic:nvPicPr>
                    <pic:cNvPr id="0" name="MicrosoftTeams-image.png"/>
                    <pic:cNvPicPr/>
                  </pic:nvPicPr>
                  <pic:blipFill>
                    <a:blip r:embed="rId9"/>
                    <a:stretch>
                      <a:fillRect/>
                    </a:stretch>
                  </pic:blipFill>
                  <pic:spPr>
                    <a:xfrm>
                      <a:off x="0" y="0"/>
                      <a:ext cx="914400" cy="457200"/>
                    </a:xfrm>
                    <a:prstGeom prst="rect"/>
                  </pic:spPr>
                </pic:pic>
              </a:graphicData>
            </a:graphic>
          </wp:inline>
        </w:drawing>
        <w:br/>
      </w:r>
    </w:p>
    <w:p>
      <w:pPr>
        <w:pStyle w:val="NewHeading"/>
      </w:pPr>
      <w:r>
        <w:t>Recruit Id : 006</w:t>
      </w:r>
    </w:p>
    <w:p>
      <w:pPr>
        <w:pStyle w:val="NewHeading"/>
      </w:pPr>
      <w:r>
        <w:t xml:space="preserve">Candidate Name : </w:t>
      </w:r>
    </w:p>
    <w:p>
      <w:pPr>
        <w:pStyle w:val="NewHeading"/>
      </w:pPr>
      <w:r>
        <w:t xml:space="preserve">Essay Topic : </w:t>
      </w:r>
    </w:p>
    <w:p>
      <w:pPr>
        <w:pStyle w:val="Heading3"/>
      </w:pPr>
    </w:p>
    <w:p>
      <w:r>
        <w:rPr>
          <w:color w:val="000000"/>
          <w:sz w:val="24"/>
        </w:rPr>
        <w:t>An event that changed your life.  As usual like my normal day, I woke up from the bed and saw my mobile. I have gotten the call from my friend. I called him back. That call changed my life like anything. He was assigned to write the review article. He wants some background help from the life-science. so he recommended me for the role. The next day, I have assigned as the article writer. Then I was given the work to write about how bio-inspired designs can be implemented by the freeze casting method. I helped my teammates to finish the work pretty early. We completed the work within one month with entire documents. The main community people impressed by my work and they assigned me in another project.  It was really a big project, they trust my work and gave me full freedom of doing it all alone.  I worked very hard for that project. Day and night I worked and completed the projected within 20 days with full thesis. Everyone got impressed by my work. Then the faculty provide me the great opportunity to present that project in the conference. Early I used to have a doubt on myself, whether I can finish that work or not and all. After that conference my confident and energy level increased. This is my one of the life changing moment happened in my life to improve my carrier concentration and building up the skills.</w:t>
      </w:r>
    </w:p>
    <w:tbl>
      <w:tblPr>
        <w:tblW w:type="auto" w:w="0"/>
        <w:tblLook w:firstColumn="1" w:firstRow="1" w:lastColumn="0" w:lastRow="0" w:noHBand="0" w:noVBand="1" w:val="04A0"/>
      </w:tblPr>
      <w:tblGrid>
        <w:gridCol w:w="4320"/>
        <w:gridCol w:w="4320"/>
      </w:tblGrid>
      <w:tr>
        <w:tc>
          <w:tcPr>
            <w:tcW w:type="dxa" w:w="4320"/>
          </w:tcPr>
          <w:p>
            <w:r>
              <w:rPr>
                <w:b/>
              </w:rPr>
              <w:t>Labels</w:t>
            </w:r>
          </w:p>
        </w:tc>
        <w:tc>
          <w:tcPr>
            <w:tcW w:type="dxa" w:w="4320"/>
          </w:tcPr>
          <w:p>
            <w:r>
              <w:rPr>
                <w:b/>
              </w:rPr>
              <w:t>Data</w:t>
            </w:r>
          </w:p>
        </w:tc>
      </w:tr>
      <w:tr>
        <w:tc>
          <w:tcPr>
            <w:tcW w:type="dxa" w:w="4320"/>
          </w:tcPr>
          <w:p>
            <w:r>
              <w:t xml:space="preserve">Word Count : </w:t>
            </w:r>
          </w:p>
        </w:tc>
        <w:tc>
          <w:tcPr>
            <w:tcW w:type="dxa" w:w="4320"/>
          </w:tcPr>
          <w:p>
            <w:r>
              <w:t>240</w:t>
            </w:r>
          </w:p>
        </w:tc>
      </w:tr>
      <w:tr>
        <w:tc>
          <w:tcPr>
            <w:tcW w:type="dxa" w:w="4320"/>
          </w:tcPr>
          <w:p>
            <w:r>
              <w:t xml:space="preserve">Grammar and spelling errors count : </w:t>
            </w:r>
          </w:p>
        </w:tc>
        <w:tc>
          <w:tcPr>
            <w:tcW w:type="dxa" w:w="4320"/>
          </w:tcPr>
          <w:p>
            <w:r>
              <w:t>3</w:t>
            </w:r>
          </w:p>
        </w:tc>
      </w:tr>
      <w:tr>
        <w:tc>
          <w:tcPr>
            <w:tcW w:type="dxa" w:w="4320"/>
          </w:tcPr>
          <w:p>
            <w:r>
              <w:t xml:space="preserve">Grammar and spelling errors list : </w:t>
            </w:r>
          </w:p>
        </w:tc>
        <w:tc>
          <w:tcPr>
            <w:tcW w:type="dxa" w:w="4320"/>
          </w:tcPr>
          <w:p>
            <w:r>
              <w:t>[' and', 'life changing', 'so']</w:t>
            </w:r>
          </w:p>
        </w:tc>
      </w:tr>
      <w:tr>
        <w:tc>
          <w:tcPr>
            <w:tcW w:type="dxa" w:w="4320"/>
          </w:tcPr>
          <w:p>
            <w:r>
              <w:t>Frequency for keyword : &lt;Event&gt;</w:t>
            </w:r>
          </w:p>
        </w:tc>
        <w:tc>
          <w:tcPr>
            <w:tcW w:type="dxa" w:w="4320"/>
          </w:tcPr>
          <w:p>
            <w:r>
              <w:t>1</w:t>
            </w:r>
          </w:p>
        </w:tc>
      </w:tr>
      <w:tr>
        <w:tc>
          <w:tcPr>
            <w:tcW w:type="dxa" w:w="4320"/>
          </w:tcPr>
          <w:p>
            <w:r>
              <w:t>Frequency for keyword : &lt;Life&gt;</w:t>
            </w:r>
          </w:p>
        </w:tc>
        <w:tc>
          <w:tcPr>
            <w:tcW w:type="dxa" w:w="4320"/>
          </w:tcPr>
          <w:p>
            <w:r>
              <w:t>4</w:t>
            </w:r>
          </w:p>
        </w:tc>
      </w:tr>
      <w:tr>
        <w:tc>
          <w:tcPr>
            <w:tcW w:type="dxa" w:w="4320"/>
          </w:tcPr>
          <w:p>
            <w:r>
              <w:t xml:space="preserve">Special words or entities : </w:t>
            </w:r>
          </w:p>
        </w:tc>
        <w:tc>
          <w:tcPr>
            <w:tcW w:type="dxa" w:w="4320"/>
          </w:tcPr>
          <w:p>
            <w:r>
              <w:t>[(The next day, 'DATE', 391), (one month, 'DATE', 391), (20 days, 'DATE', 391), (one, 'CARDINAL', 397)]</w:t>
            </w:r>
          </w:p>
        </w:tc>
      </w:tr>
    </w:tbl>
    <w:sectPr w:rsidR="00FC693F" w:rsidRPr="0006063C" w:rsidSect="00034616">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 xml:space="preserve"> ©  All Rights Reserved | OG Healthcare | Essay Evaluation Report</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s sans serif" w:hAnsi="ms sans serif"/>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Times New Roman" w:hAnsi="Times New Roman"/>
      <w:b/>
      <w:bCs/>
      <w:color w:val="000000"/>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000000"/>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
    <w:name w:val="New Heading"/>
    <w:basedOn w:val="Heading3"/>
    <w:rPr>
      <w:rFonts w:ascii="ms sans serif" w:hAnsi="ms sans serif"/>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