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ДОГОВОР НА ОКАЗАНИЕ ЛОГИСТИЧЕСКИХ И ЭКСПЕДИТОРСКИХ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(типовая форма, публичная оферта для регистрации в CRM)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г. Москва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«{{ day }}» {{ month }} {{ year }} г.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Исполнитель: </w:t>
      </w:r>
      <w:r w:rsidDel="00000000" w:rsidR="00000000" w:rsidRPr="00000000">
        <w:rPr>
          <w:rtl w:val="0"/>
        </w:rPr>
        <w:t xml:space="preserve">{{ company.name }} (ИНН/Рег. № {{ company.tax_id }}/{{ company.ogrn }}), в лице {{ company.representative_fullname }}, действующего на основании {{ company.representative_basis 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, с одной стороны, 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Заказчик: </w:t>
      </w:r>
      <w:r w:rsidDel="00000000" w:rsidR="00000000" w:rsidRPr="00000000">
        <w:rPr>
          <w:rtl w:val="0"/>
        </w:rPr>
        <w:t xml:space="preserve">{{ client_fullname }} (ИНН/рег. № {{ client_inn_or_reg }}), в лице {{ client_representative }}, действующего на основании {{ client_basis 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, с другой стороны, совместно именуемые «Стороны», заключили настоящий Договор о нижеследующем.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Термины и определения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1.1. CRM Исполнителя — система, в которой ведётся регистрация клиентов, учёт грузов, статусов и расчётов.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1.2. Код клиента — уникальный номер, присвоенный Заказчику при регистрации в CRM.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1.3. Груз — товары, передаваемые Заказчиком Исполнителю для перевозки, экспедирования и хранения.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1.4. Склад Исполнителя — собственный склад Исполнителя (адрес указывается в уведомлениях/накладных).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1.5. Склады партнёров — торгово-логистические площадки третьих лиц (в т.ч. «Садовод», ТЯК «Москва», «Южные Ворота» и др.), на которых производится выдача/хранение Груза по маршруту.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1.6. Форма описания груза — бланк Исполнителя, подлежащий обязательному заполнению Заказчиком (или его поставщиком) с указанием наименования, характеристик, количества, веса, объёма (м³), стоимости (в CNY), упаковки и др. сведений.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Предмет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2.1. Исполнитель оказывает Заказчику логистические и экспедиторские услуги: приём, выборочную проверку (по усмотрению Исполнителя), консолидацию, перевозку, экспедирование, оформление, хранение и выдачу Груза до согласованного пункта назначения (в т.ч. г. Москва, РФ).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2.2. Заказчик передаёт Исполнителю Груз, доверяя его перевозку/экспедирование, и обязуется предоставить достоверные сведения о Грузе и своевременно оплачивать услуги.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Регистрация в CRM и Код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3.1. До передачи Груза Заказчик регистрируется в CRM Исполнителя и получает Код клиента.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3.2. Все заявки, статусы, уведомления, счета и закрывающие документы ведутся в CRM/иных согласованных каналах и имеют юридическую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Порядок сдачи Груза и документы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4.1. Заказчик (либо его поставщик по поручению Заказчика) обязан заполнить Форму описания груза.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4.2. Заказчик несёт полную ответственность за достоверность сведений, предоставленных лично или его поставщиком: наименование, характеристики, вес, объём (м³), стоимость (в CNY), упаковка.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4.3. Исполнитель вправе по своему усмотрению проводить выборочную проверку (иногда проверяет, иногда — отправляет без вскрытия), полагаясь на сведения Заказчика/поставщика. Несоответствия факта и сведений — риск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4.4. Если поставщик предоставил неверные сведения, вся ответственность перед Исполнителем лежит на Заказчике.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Упаковка и сохранность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5.1. Исполнитель несёт ответственность за сохранность Груза только в случае, если деревянная обрешётка (ящик/паллет-короб) была выполнена самим Исполнителем и это зафиксировано в акте/накладной.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5.2. Если Груз упакован Заказчиком/поставщиком в коробку, мешок, плёнку (стретч), скотч и иные лёгкие/нежёсткие материалы, Исполнитель не несёт ответственности за повреждения/дефекты, возникшие в ходе перегрузок, транспортировки, складской обработки.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5.3. При утере/повреждении по вине Исполнителя (при наличии обрешётки Исполнителя) размер компенсации ограничен фактической рыночной стоимостью Груза в КНР на момент сдачи (в юанях), согласно данным, указанным в Форме описания груза, и/или подтверждающим документам.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Тарифы, расчёт стоимости и изменение цены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6.1. Базовая стоимость перевозки рассчитывается по ставке за 1 кг (либо иной согласованной базе).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6.2. Расчёт стоимости может корректироваться, если фактический вес/объём отличается от заявленного, вследствие изменения средней плотности отправки (масса/объём).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6.3. Если по вине Заказчика/его поставщика неверно указаны вес/объём/характеристики, Заказчик обязан оплатить перерасчёт по факту и все связанные расходы.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Платежи и порядок расчётов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7.1. Основная модель — оплата по факту прибытия Груза при выдаче в Москве наличными.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sz w:val="22"/>
          <w:szCs w:val="22"/>
          <w:rtl w:val="0"/>
        </w:rPr>
        <w:t xml:space="preserve">7.2. Альтернативные способы: (a) USDT/криптовалюта — по реквизитам и курсу, указанным Исполнителем; (b) перевод RUB «физ-карта → физ-карта»; (c) безнал по счёту (фирма → фирма) — только при заранее согласованном способе оплаты до сдачи Груза на склад.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7.3. Если Заказчик заранее не согласовал безналичный расчёт, он обязан оплатить наличными при выдаче.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7.4. Исполнитель вправе требовать предварительную оплату (частично/полностью) и/или оплату по требованию в пути, если возникли непредвиденные обстоятельства: задержки/досмотры/аресты/очереди/доп. сборы/таможенные мероприятия и т.п., при предоставлении подтверждающей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7.5. Исполнитель имеет право удерживать Груз и не выдавать его до полного расчёта по всем суммам (перевозка, хранение, доп. расходы, штрафы и т.п.).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Непредвиденные расходы и риски маршрута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8.1. Изменения на маршруте (в т.ч. из-за решений госорганов, международных ограничений, процедур таможни, погодных условий, перегрузок, очередей) могут приводить к доп. расходам и срокам — Заказчик обязуется их оплатить по документам/уведомлениям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8.2. Исполнитель не несёт ответственности за косвенные убытки Заказчика (упущенная выгода, неустойки перед третьими лицами, простой его персонала и т.п.), вызванные задержкой доставки.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Ответственность за недостоверные сведения и штрафы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9.1. Если Заказчик/его поставщик неверно указали наименование/характеристики/код/вес/объём, и это повлекло штрафы, доначисления, простой транспорта/персонала, дополнительные процедуры и расходы (в т.ч. на терминале, таможне, у партнёров), все суммы возмещает Заказчик.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9.2. Если по указанным причинам на Исполнителя/его перевозчика наложены административные/таможенные штрафы, Заказчик оплачивает их в тройном размере (×3) от суммы фактического штрафа.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9.3. Исполнитель оказывает содействие Заказчику в урегулировании вопросов с поставщиком, но не несёт юридической ответственности за действия/бездействие поставщика и органов.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Доставка, уведомление о прибытии и выдача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10.1. По прибытии Груза на пункт выдачи (склад Исполнителя или склад партнёра) Исполнитель направляет Заказчику уведомление (в CRM/мессенджере/электронной почте).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10.2. Срок самовывоза: с момента уведомления у Заказчика есть ровно 24 часа на получение Груза.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10.3. Хранение на складе Исполнителя: по истечении 24 часов взимается плата за хранение 250 (двести пятьдесят) рублей за одно место/сутки (место = 1 коробка/мешок/единица до ~50–70 кг).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10.4. Склады партнёров (напр. «Садовод», ТЯК «Москва», «Южные Ворота»): все погрузочно-разгрузочные операции, камера хранения и иные услуги оплачиваются Заказчиком по действующим ставкам площадки. При неуплате площадка/партнёр вправе поместить Груз в камеру хранения по своим тарифам до урегулирования.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10.5. При неуплате Заказчиком начисленных платежей (перевозка, хранение, доп. расходы, штрафы) Груз подлежит размещению на хранение до полного расчёта; риски удорожания хранения несёт Заказчик.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10.6. Если Заказчик сдал Груз на склад Исполнителя в Китае (или на консолидационный склад), и впоследствии принял решение отозвать этот Груз (забрать обратно или передать на другой склад/перевозчику), Заказчик обязуется: (a) оплатить все фактические расходы на обработку, погрузку и разгрузку по ставкам Исполнителя; (b) оплатить хранение Груза за весь период нахождения на складе по ставке 30 (тридцать) долларов США за одно место (место — коробка/мешок/единица до 50–70 кг); (c) Исполнитель вправе не выдавать Груз до полной оплаты указанных расходов.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Сроки и ответственность за задержки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11.1. Сроки доставки являются ориентировочными, рассчитываются исходя из нормальных условий и не включают время дополнительных процедур (досмотры, проверки, очереди, аресты, штормы и т.п.).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11.2. Исполнитель не несёт ответственности за задержки, вызванные форс-мажором, решениями госорганов, действиями таможни/перевозчиков/партнёров, а также неверными данными Заказчика/его поставщика.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11.3. Любые претензии по срокам не влекут обязанности Исполнителя компенсировать косвенные потери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Претензионный порядок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12.1. Претензии по количеству, качеству или повреждениям Груза предъявляются Заказчиком только при наличии фото- и/или видеофиксации момента выдачи, с оформлением соответствующего акта и указанием, что упаковка (деревянная обрешётка) была выполнена Исполнителем.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12.2. Если у Заказчика имеется видеофиксация погрузки со склада Исполнителя и выгрузки при получении, срок подачи претензии составляет 3 (три) календарных дня с момента выдачи Груза. Если видеофиксация отсутствует, то с момента получения Груза претензии по качеству, количеству и повреждениям не принимаются.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12.3. Претензии по суммам штрафов/доначислений сопровождаются копиями актов органов/площадок, расчётами и уведомлениями.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Форс-мажор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13.1. Стороны освобождаются от ответственности за неисполнение обязательств по Договору при наступлении обстоятельств непреодолимой силы (стихийные бедствия, военные действия, эпидемии, блокировки, решения госорганов, закрытие/ограничение транспортных коридоров, изменения законодательства и др.).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13.2. Сторона, для которой создалась невозможность исполнения, уведомляет другую Сторону в разумный срок.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Конфиденциальность и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14.1. Сведения, полученные при исполнении Договора (тарифы, маршруты, параметры отправок, персональные и коммерческие данные), являются конфиденциальными.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14.2. Заказчик соглашается на обработку его данных в CRM Исполнителя исключительно для целей исполнения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Срок действия, изменение и расторжение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15.1. Договор вступает в силу с момента акцепта в CRM/подписания и действует бессрочно до расторжения.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15.2. Тарифы/ставки/условия хранения могут обновляться Исполнителем; изменения доводятся уведомлением и применяются к новым отправкам/этапам.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15.3. Любая из Сторон может расторгнуть Договор с уведомлением за 10 календарных дней; обязательства по уже принятым к исполнению отправкам сохраняются до полного завершения расчётов.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Электронное взаимодействие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16.1. Стороны признают юридическую силу электронных документов и уведомлений в CRM, мессенджерах и на e-mail, если иное прямо не оговорено.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16.2. Отметки/статусы в CRM, а также подписи уполномоченных лиц на накладных/актах являются достаточным подтверждением фактов приёма/выдачи/хранения/расчётов.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Применимое право и споры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17.1. К отношениям Сторон применяется право Российской Федерации.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17.2. Споры подлежат рассмотрению в арбитражном суде по месту регистрации Исполнителя при обязательном претензионном порядке по разделу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Реквизиты и подписи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2.0" w:type="dxa"/>
        <w:jc w:val="left"/>
        <w:tblLayout w:type="fixed"/>
        <w:tblLook w:val="0600"/>
      </w:tblPr>
      <w:tblGrid>
        <w:gridCol w:w="5386"/>
        <w:gridCol w:w="5386"/>
        <w:tblGridChange w:id="0">
          <w:tblGrid>
            <w:gridCol w:w="5386"/>
            <w:gridCol w:w="538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ИСПОЛНИТЕЛЬ: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{{ company.name }}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Юридический адрес: {{ company.legal_address }}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Фактический адрес: {{ company.actual_address }}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ИНН/Tax ID: {{ company.tax_id }}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ОГРН/Registration №: {{ company.ogrn }}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Телефон: {{ company.phone }}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Электронная почта: {{ company.email }}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Подпись: ___________________      М.П.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{{ client_company_name }}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Адрес / ИНН / ОГРН: {{ client_address }} / {{ client_inn }} / {{ client_ogrn }}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Код клиента (CRM): {{ client_code }}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Подпись: ___________________      М.П.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54.64566929134207" w:top="425.1968503937008" w:left="1133.8582677165355" w:right="335.078740157480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