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BFA" w:rsidRDefault="00645BFA" w:rsidP="002100FC">
      <w:pPr>
        <w:spacing w:after="960" w:line="240" w:lineRule="auto"/>
        <w:jc w:val="center"/>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CHAPTER FOUR</w:t>
      </w:r>
    </w:p>
    <w:p w:rsidR="002100FC" w:rsidRPr="002100FC" w:rsidRDefault="002100FC" w:rsidP="002100FC">
      <w:pPr>
        <w:spacing w:after="960" w:line="240" w:lineRule="auto"/>
        <w:jc w:val="center"/>
        <w:outlineLvl w:val="1"/>
        <w:rPr>
          <w:rFonts w:ascii="Times New Roman" w:eastAsia="Times New Roman" w:hAnsi="Times New Roman" w:cs="Times New Roman"/>
          <w:bCs/>
          <w:sz w:val="28"/>
          <w:szCs w:val="28"/>
        </w:rPr>
      </w:pPr>
      <w:r w:rsidRPr="00E115B0">
        <w:rPr>
          <w:rFonts w:ascii="Times New Roman" w:eastAsia="Times New Roman" w:hAnsi="Times New Roman" w:cs="Times New Roman"/>
          <w:bCs/>
          <w:sz w:val="28"/>
          <w:szCs w:val="28"/>
        </w:rPr>
        <w:t xml:space="preserve"> DATA ANALYSIS, RESULTS AND DISCUSSION</w:t>
      </w:r>
    </w:p>
    <w:p w:rsidR="002100FC" w:rsidRPr="002100FC" w:rsidRDefault="002100FC" w:rsidP="002100FC">
      <w:pPr>
        <w:spacing w:before="100" w:beforeAutospacing="1" w:after="480" w:line="240" w:lineRule="auto"/>
        <w:outlineLvl w:val="2"/>
        <w:rPr>
          <w:rFonts w:ascii="Times New Roman" w:eastAsia="Times New Roman" w:hAnsi="Times New Roman" w:cs="Times New Roman"/>
          <w:bCs/>
          <w:sz w:val="27"/>
          <w:szCs w:val="27"/>
        </w:rPr>
      </w:pPr>
      <w:r w:rsidRPr="00E115B0">
        <w:rPr>
          <w:rFonts w:ascii="Times New Roman" w:eastAsia="Times New Roman" w:hAnsi="Times New Roman" w:cs="Times New Roman"/>
          <w:bCs/>
          <w:sz w:val="27"/>
          <w:szCs w:val="27"/>
        </w:rPr>
        <w:t>4.1 Introduction</w:t>
      </w:r>
    </w:p>
    <w:p w:rsidR="002100FC" w:rsidRPr="002100FC" w:rsidRDefault="002100FC" w:rsidP="002100FC">
      <w:pPr>
        <w:spacing w:before="480" w:after="480" w:line="360" w:lineRule="auto"/>
        <w:ind w:firstLine="720"/>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This chapter presents the analysis of data collected from tax officials in Kano State on the role of tax officials in the prevention and detection of tax fraud. The analysis is guided by the objectives and research questions outlined in Chapter One. Quantitative data were analyzed using descriptive statistics (mean, standard deviation), and inferential statistics (ANOVA), while qualitative responses were reviewed thematically.</w:t>
      </w:r>
    </w:p>
    <w:p w:rsidR="002100FC" w:rsidRPr="002100FC" w:rsidRDefault="002100FC" w:rsidP="002100FC">
      <w:pPr>
        <w:spacing w:before="480" w:after="480" w:line="240" w:lineRule="auto"/>
        <w:outlineLvl w:val="2"/>
        <w:rPr>
          <w:rFonts w:ascii="Times New Roman" w:eastAsia="Times New Roman" w:hAnsi="Times New Roman" w:cs="Times New Roman"/>
          <w:bCs/>
          <w:sz w:val="27"/>
          <w:szCs w:val="27"/>
        </w:rPr>
      </w:pPr>
      <w:r w:rsidRPr="00E115B0">
        <w:rPr>
          <w:rFonts w:ascii="Times New Roman" w:eastAsia="Times New Roman" w:hAnsi="Times New Roman" w:cs="Times New Roman"/>
          <w:bCs/>
          <w:sz w:val="27"/>
          <w:szCs w:val="27"/>
        </w:rPr>
        <w:t xml:space="preserve">4.2 </w:t>
      </w:r>
      <w:r w:rsidRPr="00E115B0">
        <w:rPr>
          <w:rFonts w:ascii="Times New Roman" w:eastAsia="Times New Roman" w:hAnsi="Times New Roman" w:cs="Times New Roman"/>
          <w:bCs/>
          <w:sz w:val="24"/>
          <w:szCs w:val="24"/>
        </w:rPr>
        <w:t>Descriptive Analysis of Quantitative Responses</w:t>
      </w:r>
    </w:p>
    <w:p w:rsidR="002100FC" w:rsidRPr="002100FC" w:rsidRDefault="002100FC" w:rsidP="002100FC">
      <w:pPr>
        <w:spacing w:before="480" w:after="100" w:afterAutospacing="1" w:line="360" w:lineRule="auto"/>
        <w:ind w:firstLine="720"/>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 xml:space="preserve">The survey instrument included questions rated on a binary (Yes = 1, No = 0) or </w:t>
      </w:r>
      <w:proofErr w:type="spellStart"/>
      <w:r w:rsidRPr="002100FC">
        <w:rPr>
          <w:rFonts w:ascii="Times New Roman" w:eastAsia="Times New Roman" w:hAnsi="Times New Roman" w:cs="Times New Roman"/>
          <w:sz w:val="24"/>
          <w:szCs w:val="24"/>
        </w:rPr>
        <w:t>Likert</w:t>
      </w:r>
      <w:proofErr w:type="spellEnd"/>
      <w:r w:rsidRPr="002100FC">
        <w:rPr>
          <w:rFonts w:ascii="Times New Roman" w:eastAsia="Times New Roman" w:hAnsi="Times New Roman" w:cs="Times New Roman"/>
          <w:sz w:val="24"/>
          <w:szCs w:val="24"/>
        </w:rPr>
        <w:t>-type scale, aimed at uncovering perceived challenges, effectiveness of audit procedures, tools used, and strategies for improving tax compliance and fraud detection.</w:t>
      </w:r>
    </w:p>
    <w:p w:rsidR="002100FC" w:rsidRPr="002100FC" w:rsidRDefault="002100FC" w:rsidP="002100FC">
      <w:pPr>
        <w:spacing w:before="100" w:beforeAutospacing="1" w:after="100" w:afterAutospacing="1" w:line="240" w:lineRule="auto"/>
        <w:outlineLvl w:val="3"/>
        <w:rPr>
          <w:rFonts w:ascii="Times New Roman" w:eastAsia="Times New Roman" w:hAnsi="Times New Roman" w:cs="Times New Roman"/>
          <w:bCs/>
          <w:sz w:val="24"/>
          <w:szCs w:val="24"/>
        </w:rPr>
      </w:pPr>
      <w:r w:rsidRPr="00E73931">
        <w:rPr>
          <w:rFonts w:ascii="Times New Roman" w:eastAsia="Times New Roman" w:hAnsi="Times New Roman" w:cs="Times New Roman"/>
          <w:bCs/>
          <w:sz w:val="24"/>
          <w:szCs w:val="24"/>
        </w:rPr>
        <w:t>Table 4.1: Descriptive Statistics of Challenges and Interventions</w:t>
      </w:r>
    </w:p>
    <w:tbl>
      <w:tblPr>
        <w:tblStyle w:val="LightShading-Accent5"/>
        <w:tblW w:w="0" w:type="auto"/>
        <w:tblLook w:val="04A0" w:firstRow="1" w:lastRow="0" w:firstColumn="1" w:lastColumn="0" w:noHBand="0" w:noVBand="1"/>
      </w:tblPr>
      <w:tblGrid>
        <w:gridCol w:w="3777"/>
        <w:gridCol w:w="803"/>
        <w:gridCol w:w="1661"/>
        <w:gridCol w:w="3335"/>
      </w:tblGrid>
      <w:tr w:rsidR="002100FC" w:rsidRPr="002100FC" w:rsidTr="00E7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jc w:val="cente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Variable</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Mean</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Standard Deviation</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Interpretation</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 Insufficient resources</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0.67</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0.48</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A major challenge for tax officials.</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Q6_Lack_of_Training</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0.67</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0.48</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Shows widespread need for capacity building.</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Q6_Inadequate_Technology</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0.37</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0.49</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Less acknowledged, but still a significant concern.</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Q6_Resistance_from_Taxpayers</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0.60</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0.50</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High level of non-cooperation from taxpayers.</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Q6_Legal_Constraints</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0.47</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0.51</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Moderately recognized issue.</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Q6_Other</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0.17</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0.38</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Few respondents indicated additional issues.</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Q10_Public_Awareness</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0.70</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0.47</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 xml:space="preserve">Strong consensus on need for </w:t>
            </w:r>
            <w:r w:rsidRPr="002100FC">
              <w:rPr>
                <w:rFonts w:ascii="Times New Roman" w:eastAsia="Times New Roman" w:hAnsi="Times New Roman" w:cs="Times New Roman"/>
                <w:sz w:val="24"/>
                <w:szCs w:val="24"/>
              </w:rPr>
              <w:lastRenderedPageBreak/>
              <w:t>more education.</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lastRenderedPageBreak/>
              <w:t>Q10_Stricter_Penalties</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0.63</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0.49</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Frequently recommended solution.</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Q10_Incentives_for_Compliance</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0.60</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0.50</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Highlights a dual approach—reward and punishment.</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Q10_Enhanced_Audit_Procedures</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0.57</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0.50</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Over half agree on stronger auditing mechanisms.</w:t>
            </w:r>
          </w:p>
        </w:tc>
      </w:tr>
      <w:tr w:rsidR="00E73931"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Q10_Other</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0.13</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0.35</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Few other suggestions provided.</w:t>
            </w:r>
          </w:p>
        </w:tc>
      </w:tr>
    </w:tbl>
    <w:p w:rsidR="00BB12AE" w:rsidRPr="00BB12AE" w:rsidRDefault="002100FC" w:rsidP="00BB12AE">
      <w:pPr>
        <w:spacing w:before="100" w:beforeAutospacing="1" w:after="480" w:line="360" w:lineRule="auto"/>
        <w:ind w:firstLine="720"/>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br/>
      </w:r>
      <w:r w:rsidR="00BB12AE" w:rsidRPr="00BB12AE">
        <w:rPr>
          <w:rFonts w:ascii="Times New Roman" w:eastAsia="Times New Roman" w:hAnsi="Times New Roman" w:cs="Times New Roman"/>
          <w:sz w:val="24"/>
          <w:szCs w:val="24"/>
        </w:rPr>
        <w:t>The descriptive analysis (Table 4.1) highlights that the most pressing issues identified by respondents are insufficient resources and lack of training. These two f</w:t>
      </w:r>
      <w:r w:rsidR="00BB12AE">
        <w:rPr>
          <w:rFonts w:ascii="Times New Roman" w:eastAsia="Times New Roman" w:hAnsi="Times New Roman" w:cs="Times New Roman"/>
          <w:sz w:val="24"/>
          <w:szCs w:val="24"/>
        </w:rPr>
        <w:t xml:space="preserve">actors are intrinsically linked </w:t>
      </w:r>
      <w:r w:rsidR="00BB12AE" w:rsidRPr="00BB12AE">
        <w:rPr>
          <w:rFonts w:ascii="Times New Roman" w:eastAsia="Times New Roman" w:hAnsi="Times New Roman" w:cs="Times New Roman"/>
          <w:sz w:val="24"/>
          <w:szCs w:val="24"/>
        </w:rPr>
        <w:t>financial and logistical inadequacies not only hinder the deployment of advanced detection tools but also restrict capacity-building efforts. The relatively high mean values (0.67 each) show that these are systemic problems widely recognized by personnel across different departments. This supports existing literature suggesting that a well-equipped and well-trained tax workforce is essential to combat tax fraud effectively.</w:t>
      </w:r>
    </w:p>
    <w:p w:rsidR="00BB12AE" w:rsidRPr="00BB12AE" w:rsidRDefault="00BB12AE" w:rsidP="00BB12AE">
      <w:pPr>
        <w:spacing w:before="100" w:beforeAutospacing="1" w:after="480" w:line="360" w:lineRule="auto"/>
        <w:ind w:firstLine="720"/>
        <w:jc w:val="both"/>
        <w:rPr>
          <w:rFonts w:ascii="Times New Roman" w:eastAsia="Times New Roman" w:hAnsi="Times New Roman" w:cs="Times New Roman"/>
          <w:sz w:val="24"/>
          <w:szCs w:val="24"/>
        </w:rPr>
      </w:pPr>
      <w:r w:rsidRPr="00BB12AE">
        <w:rPr>
          <w:rFonts w:ascii="Times New Roman" w:eastAsia="Times New Roman" w:hAnsi="Times New Roman" w:cs="Times New Roman"/>
          <w:sz w:val="24"/>
          <w:szCs w:val="24"/>
        </w:rPr>
        <w:t xml:space="preserve">Interestingly, "Inadequate Technology" and "Legal Constraints" received comparatively lower mean scores (0.37 and 0.47 respectively), suggesting that while these are notable </w:t>
      </w:r>
      <w:proofErr w:type="gramStart"/>
      <w:r w:rsidRPr="00BB12AE">
        <w:rPr>
          <w:rFonts w:ascii="Times New Roman" w:eastAsia="Times New Roman" w:hAnsi="Times New Roman" w:cs="Times New Roman"/>
          <w:sz w:val="24"/>
          <w:szCs w:val="24"/>
        </w:rPr>
        <w:t>concerns,</w:t>
      </w:r>
      <w:proofErr w:type="gramEnd"/>
      <w:r w:rsidRPr="00BB12AE">
        <w:rPr>
          <w:rFonts w:ascii="Times New Roman" w:eastAsia="Times New Roman" w:hAnsi="Times New Roman" w:cs="Times New Roman"/>
          <w:sz w:val="24"/>
          <w:szCs w:val="24"/>
        </w:rPr>
        <w:t xml:space="preserve"> they may be secondary to more immediate operational deficiencies. However, their presence still indicates that modernization of tax systems and legal reforms are important complementary strategies.</w:t>
      </w:r>
    </w:p>
    <w:p w:rsidR="002100FC" w:rsidRPr="002100FC" w:rsidRDefault="002100FC" w:rsidP="00E115B0">
      <w:pPr>
        <w:spacing w:before="100" w:beforeAutospacing="1" w:after="480" w:line="360" w:lineRule="auto"/>
        <w:ind w:firstLine="720"/>
        <w:jc w:val="both"/>
        <w:rPr>
          <w:rFonts w:ascii="Times New Roman" w:eastAsia="Times New Roman" w:hAnsi="Times New Roman" w:cs="Times New Roman"/>
          <w:sz w:val="24"/>
          <w:szCs w:val="24"/>
        </w:rPr>
      </w:pPr>
    </w:p>
    <w:p w:rsidR="002100FC" w:rsidRPr="002100FC" w:rsidRDefault="002100FC" w:rsidP="002100FC">
      <w:pPr>
        <w:spacing w:after="0" w:line="240" w:lineRule="auto"/>
        <w:rPr>
          <w:rFonts w:ascii="Times New Roman" w:eastAsia="Times New Roman" w:hAnsi="Times New Roman" w:cs="Times New Roman"/>
          <w:sz w:val="24"/>
          <w:szCs w:val="24"/>
        </w:rPr>
      </w:pPr>
    </w:p>
    <w:p w:rsidR="002100FC" w:rsidRPr="002100FC" w:rsidRDefault="002100FC" w:rsidP="002100FC">
      <w:pPr>
        <w:spacing w:before="100" w:beforeAutospacing="1" w:after="100" w:afterAutospacing="1" w:line="240" w:lineRule="auto"/>
        <w:outlineLvl w:val="2"/>
        <w:rPr>
          <w:rFonts w:ascii="Times New Roman" w:eastAsia="Times New Roman" w:hAnsi="Times New Roman" w:cs="Times New Roman"/>
          <w:bCs/>
          <w:sz w:val="24"/>
          <w:szCs w:val="24"/>
        </w:rPr>
      </w:pPr>
      <w:r w:rsidRPr="00E115B0">
        <w:rPr>
          <w:rFonts w:ascii="Times New Roman" w:eastAsia="Times New Roman" w:hAnsi="Times New Roman" w:cs="Times New Roman"/>
          <w:bCs/>
          <w:sz w:val="24"/>
          <w:szCs w:val="24"/>
        </w:rPr>
        <w:t>4.3 Inferential Analysis Using ANOVA</w:t>
      </w:r>
    </w:p>
    <w:p w:rsidR="002100FC" w:rsidRPr="002100FC" w:rsidRDefault="002100FC" w:rsidP="00E115B0">
      <w:pPr>
        <w:spacing w:before="100" w:beforeAutospacing="1" w:after="240" w:line="360" w:lineRule="auto"/>
        <w:ind w:firstLine="72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 xml:space="preserve">ANOVA tests were conducted to determine whether there were statistically significant differences in responses based on </w:t>
      </w:r>
      <w:r w:rsidRPr="00E73931">
        <w:rPr>
          <w:rFonts w:ascii="Times New Roman" w:eastAsia="Times New Roman" w:hAnsi="Times New Roman" w:cs="Times New Roman"/>
          <w:bCs/>
          <w:sz w:val="24"/>
          <w:szCs w:val="24"/>
        </w:rPr>
        <w:t>years of experience</w:t>
      </w:r>
      <w:r w:rsidRPr="002100FC">
        <w:rPr>
          <w:rFonts w:ascii="Times New Roman" w:eastAsia="Times New Roman" w:hAnsi="Times New Roman" w:cs="Times New Roman"/>
          <w:sz w:val="24"/>
          <w:szCs w:val="24"/>
        </w:rPr>
        <w:t xml:space="preserve"> of tax officials.</w:t>
      </w:r>
    </w:p>
    <w:p w:rsidR="002100FC" w:rsidRPr="002100FC" w:rsidRDefault="002100FC" w:rsidP="002100FC">
      <w:pPr>
        <w:spacing w:before="100" w:beforeAutospacing="1" w:after="100" w:afterAutospacing="1" w:line="240" w:lineRule="auto"/>
        <w:outlineLvl w:val="3"/>
        <w:rPr>
          <w:rFonts w:ascii="Times New Roman" w:eastAsia="Times New Roman" w:hAnsi="Times New Roman" w:cs="Times New Roman"/>
          <w:bCs/>
          <w:sz w:val="24"/>
          <w:szCs w:val="24"/>
        </w:rPr>
      </w:pPr>
      <w:r w:rsidRPr="00E73931">
        <w:rPr>
          <w:rFonts w:ascii="Times New Roman" w:eastAsia="Times New Roman" w:hAnsi="Times New Roman" w:cs="Times New Roman"/>
          <w:bCs/>
          <w:sz w:val="24"/>
          <w:szCs w:val="24"/>
        </w:rPr>
        <w:t>Table 4.2: ANOVA Results by Years of Experience</w:t>
      </w:r>
    </w:p>
    <w:tbl>
      <w:tblPr>
        <w:tblStyle w:val="LightShading-Accent5"/>
        <w:tblW w:w="0" w:type="auto"/>
        <w:tblLook w:val="04A0" w:firstRow="1" w:lastRow="0" w:firstColumn="1" w:lastColumn="0" w:noHBand="0" w:noVBand="1"/>
      </w:tblPr>
      <w:tblGrid>
        <w:gridCol w:w="2805"/>
        <w:gridCol w:w="1182"/>
        <w:gridCol w:w="978"/>
        <w:gridCol w:w="4611"/>
      </w:tblGrid>
      <w:tr w:rsidR="002100FC" w:rsidRPr="002100FC" w:rsidTr="00E7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jc w:val="cente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lastRenderedPageBreak/>
              <w:t>Question</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F-Statistic</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P-Value</w:t>
            </w:r>
          </w:p>
        </w:tc>
        <w:tc>
          <w:tcPr>
            <w:tcW w:w="0" w:type="auto"/>
            <w:hideMark/>
          </w:tcPr>
          <w:p w:rsidR="002100FC" w:rsidRPr="002100FC" w:rsidRDefault="002100FC" w:rsidP="002100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Interpretation</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 Insufficient resources</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1.239</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0.3200</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Not significant across experience levels.</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Q6_Lack_of_Training</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0.893</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0.4828</w:t>
            </w:r>
          </w:p>
        </w:tc>
        <w:tc>
          <w:tcPr>
            <w:tcW w:w="0" w:type="auto"/>
            <w:hideMark/>
          </w:tcPr>
          <w:p w:rsidR="002100FC" w:rsidRPr="002100FC" w:rsidRDefault="002100FC" w:rsidP="002100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Not significant; perception is consistent regardless of experience.</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2100FC">
            <w:pPr>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Q10_Public_Awareness</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4.328</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0.0085</w:t>
            </w:r>
          </w:p>
        </w:tc>
        <w:tc>
          <w:tcPr>
            <w:tcW w:w="0" w:type="auto"/>
            <w:hideMark/>
          </w:tcPr>
          <w:p w:rsidR="002100FC" w:rsidRPr="002100FC" w:rsidRDefault="002100FC" w:rsidP="002100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Significant difference; more experienced officials value it more.</w:t>
            </w:r>
          </w:p>
        </w:tc>
      </w:tr>
    </w:tbl>
    <w:p w:rsidR="00E73931" w:rsidRDefault="00E73931" w:rsidP="00E7393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Discursion:</w:t>
      </w:r>
    </w:p>
    <w:p w:rsidR="00E115B0" w:rsidRPr="002100FC" w:rsidRDefault="00E73931" w:rsidP="00E115B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12AE" w:rsidRPr="00BB12AE">
        <w:rPr>
          <w:rFonts w:ascii="Times New Roman" w:hAnsi="Times New Roman" w:cs="Times New Roman"/>
          <w:sz w:val="24"/>
          <w:szCs w:val="24"/>
        </w:rPr>
        <w:t>The inferential analysis (Table 4.2) adds a new dimension by revealing how experience influences perceptions. A statistically significant difference was observed in the valuation of public awareness as a strategy to prevent fraud (F = 4.328, p = 0.0085). Officials with over 10 years of experience demonstrated stronger support for awareness campaigns. This may reflect their broader exposure to taxpayer behavior and repeated encounters with fraud facilitated by ignorance or misinformation. This finding underlines the critical role of public education as a preventive tool and suggests that campaigns should be designed with input from experienced professionals</w:t>
      </w:r>
      <w:r w:rsidR="00BB12AE">
        <w:t>.</w:t>
      </w:r>
    </w:p>
    <w:p w:rsidR="002100FC" w:rsidRPr="002100FC" w:rsidRDefault="002100FC" w:rsidP="002100FC">
      <w:pPr>
        <w:spacing w:before="100" w:beforeAutospacing="1" w:after="100" w:afterAutospacing="1" w:line="240" w:lineRule="auto"/>
        <w:outlineLvl w:val="2"/>
        <w:rPr>
          <w:rFonts w:ascii="Times New Roman" w:eastAsia="Times New Roman" w:hAnsi="Times New Roman" w:cs="Times New Roman"/>
          <w:bCs/>
          <w:sz w:val="24"/>
          <w:szCs w:val="24"/>
        </w:rPr>
      </w:pPr>
      <w:r w:rsidRPr="00E115B0">
        <w:rPr>
          <w:rFonts w:ascii="Times New Roman" w:eastAsia="Times New Roman" w:hAnsi="Times New Roman" w:cs="Times New Roman"/>
          <w:bCs/>
          <w:sz w:val="24"/>
          <w:szCs w:val="24"/>
        </w:rPr>
        <w:t>4.4 Analysis of Categorical/Qualitative Responses</w:t>
      </w:r>
    </w:p>
    <w:p w:rsidR="002100FC" w:rsidRPr="002100FC" w:rsidRDefault="002100FC" w:rsidP="00E115B0">
      <w:pPr>
        <w:spacing w:before="100" w:beforeAutospacing="1" w:after="100" w:afterAutospacing="1" w:line="360" w:lineRule="auto"/>
        <w:ind w:firstLine="720"/>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Responses to open-ended questions (e.g., Q11_Recommendations) were categorized into thematic clusters to derive actionable insights.</w:t>
      </w:r>
    </w:p>
    <w:p w:rsidR="002100FC" w:rsidRPr="002100FC" w:rsidRDefault="002100FC" w:rsidP="002100FC">
      <w:pPr>
        <w:spacing w:before="100" w:beforeAutospacing="1" w:after="100" w:afterAutospacing="1" w:line="240" w:lineRule="auto"/>
        <w:outlineLvl w:val="3"/>
        <w:rPr>
          <w:rFonts w:ascii="Times New Roman" w:eastAsia="Times New Roman" w:hAnsi="Times New Roman" w:cs="Times New Roman"/>
          <w:bCs/>
          <w:sz w:val="24"/>
          <w:szCs w:val="24"/>
        </w:rPr>
      </w:pPr>
      <w:r w:rsidRPr="00E115B0">
        <w:rPr>
          <w:rFonts w:ascii="Times New Roman" w:eastAsia="Times New Roman" w:hAnsi="Times New Roman" w:cs="Times New Roman"/>
          <w:bCs/>
          <w:sz w:val="24"/>
          <w:szCs w:val="24"/>
        </w:rPr>
        <w:t>Table 4.3: Common Themes from Open-Ended Responses</w:t>
      </w:r>
    </w:p>
    <w:tbl>
      <w:tblPr>
        <w:tblStyle w:val="MediumList2-Accent5"/>
        <w:tblW w:w="0" w:type="auto"/>
        <w:tblLook w:val="04A0" w:firstRow="1" w:lastRow="0" w:firstColumn="1" w:lastColumn="0" w:noHBand="0" w:noVBand="1"/>
      </w:tblPr>
      <w:tblGrid>
        <w:gridCol w:w="2980"/>
        <w:gridCol w:w="1229"/>
        <w:gridCol w:w="5367"/>
      </w:tblGrid>
      <w:tr w:rsidR="002100FC" w:rsidRPr="002100FC" w:rsidTr="00E739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bCs/>
              </w:rPr>
            </w:pPr>
            <w:r w:rsidRPr="002100FC">
              <w:rPr>
                <w:rFonts w:ascii="Times New Roman" w:eastAsia="Times New Roman" w:hAnsi="Times New Roman" w:cs="Times New Roman"/>
                <w:bCs/>
              </w:rPr>
              <w:t>Theme</w:t>
            </w:r>
          </w:p>
        </w:tc>
        <w:tc>
          <w:tcPr>
            <w:tcW w:w="0" w:type="auto"/>
            <w:hideMark/>
          </w:tcPr>
          <w:p w:rsidR="002100FC" w:rsidRPr="002100FC" w:rsidRDefault="002100FC" w:rsidP="00CB0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2100FC">
              <w:rPr>
                <w:rFonts w:ascii="Times New Roman" w:eastAsia="Times New Roman" w:hAnsi="Times New Roman" w:cs="Times New Roman"/>
                <w:bCs/>
              </w:rPr>
              <w:t>Frequency</w:t>
            </w:r>
          </w:p>
        </w:tc>
        <w:tc>
          <w:tcPr>
            <w:tcW w:w="0" w:type="auto"/>
            <w:hideMark/>
          </w:tcPr>
          <w:p w:rsidR="002100FC" w:rsidRPr="002100FC" w:rsidRDefault="002100FC" w:rsidP="00CB0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2100FC">
              <w:rPr>
                <w:rFonts w:ascii="Times New Roman" w:eastAsia="Times New Roman" w:hAnsi="Times New Roman" w:cs="Times New Roman"/>
                <w:bCs/>
              </w:rPr>
              <w:t>Sample Responses</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Increased public awareness</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High</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Increase public awareness t</w:t>
            </w:r>
            <w:r w:rsidR="00E73931">
              <w:rPr>
                <w:rFonts w:ascii="Times New Roman" w:eastAsia="Times New Roman" w:hAnsi="Times New Roman" w:cs="Times New Roman"/>
                <w:sz w:val="24"/>
                <w:szCs w:val="24"/>
              </w:rPr>
              <w:t>o the taxpayers and businesses.</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Improved training for officials</w:t>
            </w:r>
          </w:p>
        </w:tc>
        <w:tc>
          <w:tcPr>
            <w:tcW w:w="0" w:type="auto"/>
            <w:hideMark/>
          </w:tcPr>
          <w:p w:rsidR="002100FC" w:rsidRPr="002100FC" w:rsidRDefault="002100FC" w:rsidP="00CB0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Medium</w:t>
            </w:r>
          </w:p>
        </w:tc>
        <w:tc>
          <w:tcPr>
            <w:tcW w:w="0" w:type="auto"/>
            <w:hideMark/>
          </w:tcPr>
          <w:p w:rsidR="002100FC" w:rsidRPr="002100FC" w:rsidRDefault="002100FC" w:rsidP="00CB0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Train</w:t>
            </w:r>
            <w:r w:rsidR="00E73931">
              <w:rPr>
                <w:rFonts w:ascii="Times New Roman" w:eastAsia="Times New Roman" w:hAnsi="Times New Roman" w:cs="Times New Roman"/>
                <w:sz w:val="24"/>
                <w:szCs w:val="24"/>
              </w:rPr>
              <w:t xml:space="preserve"> and equip tax officers better.</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Digital transformation</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Medium</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 xml:space="preserve">Use modern </w:t>
            </w:r>
            <w:r w:rsidR="00E73931">
              <w:rPr>
                <w:rFonts w:ascii="Times New Roman" w:eastAsia="Times New Roman" w:hAnsi="Times New Roman" w:cs="Times New Roman"/>
                <w:sz w:val="24"/>
                <w:szCs w:val="24"/>
              </w:rPr>
              <w:t>technology like data analytics.</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Penalties and enforcement</w:t>
            </w:r>
          </w:p>
        </w:tc>
        <w:tc>
          <w:tcPr>
            <w:tcW w:w="0" w:type="auto"/>
            <w:hideMark/>
          </w:tcPr>
          <w:p w:rsidR="002100FC" w:rsidRPr="002100FC" w:rsidRDefault="002100FC" w:rsidP="00CB0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High</w:t>
            </w:r>
          </w:p>
        </w:tc>
        <w:tc>
          <w:tcPr>
            <w:tcW w:w="0" w:type="auto"/>
            <w:hideMark/>
          </w:tcPr>
          <w:p w:rsidR="002100FC" w:rsidRPr="002100FC" w:rsidRDefault="002100FC" w:rsidP="00CB0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Introduce stricter penalties an</w:t>
            </w:r>
            <w:r w:rsidR="00E73931">
              <w:rPr>
                <w:rFonts w:ascii="Times New Roman" w:eastAsia="Times New Roman" w:hAnsi="Times New Roman" w:cs="Times New Roman"/>
                <w:sz w:val="24"/>
                <w:szCs w:val="24"/>
              </w:rPr>
              <w:t>d legal actions for defaulters.</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CB0627">
            <w:pPr>
              <w:spacing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Transparency in fund usage</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Low</w:t>
            </w:r>
          </w:p>
        </w:tc>
        <w:tc>
          <w:tcPr>
            <w:tcW w:w="0" w:type="auto"/>
            <w:hideMark/>
          </w:tcPr>
          <w:p w:rsidR="002100FC" w:rsidRPr="002100FC" w:rsidRDefault="002100FC" w:rsidP="00CB0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Let taxpayers see</w:t>
            </w:r>
            <w:r w:rsidR="00E73931">
              <w:rPr>
                <w:rFonts w:ascii="Times New Roman" w:eastAsia="Times New Roman" w:hAnsi="Times New Roman" w:cs="Times New Roman"/>
                <w:sz w:val="24"/>
                <w:szCs w:val="24"/>
              </w:rPr>
              <w:t xml:space="preserve"> what their taxes are used for.</w:t>
            </w:r>
          </w:p>
        </w:tc>
      </w:tr>
    </w:tbl>
    <w:p w:rsidR="00E115B0" w:rsidRDefault="00E115B0" w:rsidP="00E115B0">
      <w:pPr>
        <w:spacing w:after="240" w:line="360" w:lineRule="auto"/>
        <w:jc w:val="both"/>
        <w:rPr>
          <w:rFonts w:ascii="Times New Roman" w:eastAsia="Times New Roman" w:hAnsi="Times New Roman" w:cs="Times New Roman"/>
          <w:b/>
          <w:bCs/>
          <w:sz w:val="24"/>
          <w:szCs w:val="24"/>
        </w:rPr>
      </w:pPr>
    </w:p>
    <w:p w:rsidR="00BB12AE" w:rsidRPr="00BB12AE" w:rsidRDefault="002100FC" w:rsidP="00BB12AE">
      <w:pPr>
        <w:spacing w:after="240" w:line="360" w:lineRule="auto"/>
        <w:jc w:val="both"/>
        <w:rPr>
          <w:rFonts w:ascii="Times New Roman" w:eastAsia="Times New Roman" w:hAnsi="Times New Roman" w:cs="Times New Roman"/>
          <w:sz w:val="24"/>
          <w:szCs w:val="24"/>
        </w:rPr>
      </w:pPr>
      <w:r w:rsidRPr="002100FC">
        <w:rPr>
          <w:rFonts w:ascii="Times New Roman" w:eastAsia="Times New Roman" w:hAnsi="Times New Roman" w:cs="Times New Roman"/>
          <w:b/>
          <w:bCs/>
          <w:sz w:val="24"/>
          <w:szCs w:val="24"/>
        </w:rPr>
        <w:t>Discussion</w:t>
      </w:r>
      <w:proofErr w:type="gramStart"/>
      <w:r w:rsidRPr="002100FC">
        <w:rPr>
          <w:rFonts w:ascii="Times New Roman" w:eastAsia="Times New Roman" w:hAnsi="Times New Roman" w:cs="Times New Roman"/>
          <w:sz w:val="24"/>
          <w:szCs w:val="24"/>
        </w:rPr>
        <w:t>:</w:t>
      </w:r>
      <w:proofErr w:type="gramEnd"/>
      <w:r w:rsidRPr="002100FC">
        <w:rPr>
          <w:rFonts w:ascii="Times New Roman" w:eastAsia="Times New Roman" w:hAnsi="Times New Roman" w:cs="Times New Roman"/>
          <w:sz w:val="24"/>
          <w:szCs w:val="24"/>
        </w:rPr>
        <w:br/>
      </w:r>
      <w:r w:rsidR="00BB12AE" w:rsidRPr="00BB12AE">
        <w:rPr>
          <w:rFonts w:ascii="Times New Roman" w:eastAsia="Times New Roman" w:hAnsi="Times New Roman" w:cs="Times New Roman"/>
          <w:sz w:val="24"/>
          <w:szCs w:val="24"/>
        </w:rPr>
        <w:t xml:space="preserve">The thematic analysis of open-ended responses (Table 4.3) reinforces the findings from the structured survey. High-frequency themes such as </w:t>
      </w:r>
      <w:r w:rsidR="00BB12AE" w:rsidRPr="00BB12AE">
        <w:rPr>
          <w:rFonts w:ascii="Times New Roman" w:eastAsia="Times New Roman" w:hAnsi="Times New Roman" w:cs="Times New Roman"/>
          <w:i/>
          <w:iCs/>
          <w:sz w:val="24"/>
          <w:szCs w:val="24"/>
        </w:rPr>
        <w:t>public awareness</w:t>
      </w:r>
      <w:r w:rsidR="00BB12AE" w:rsidRPr="00BB12AE">
        <w:rPr>
          <w:rFonts w:ascii="Times New Roman" w:eastAsia="Times New Roman" w:hAnsi="Times New Roman" w:cs="Times New Roman"/>
          <w:sz w:val="24"/>
          <w:szCs w:val="24"/>
        </w:rPr>
        <w:t xml:space="preserve">, </w:t>
      </w:r>
      <w:r w:rsidR="00BB12AE" w:rsidRPr="00BB12AE">
        <w:rPr>
          <w:rFonts w:ascii="Times New Roman" w:eastAsia="Times New Roman" w:hAnsi="Times New Roman" w:cs="Times New Roman"/>
          <w:i/>
          <w:iCs/>
          <w:sz w:val="24"/>
          <w:szCs w:val="24"/>
        </w:rPr>
        <w:t>improved training</w:t>
      </w:r>
      <w:r w:rsidR="00BB12AE" w:rsidRPr="00BB12AE">
        <w:rPr>
          <w:rFonts w:ascii="Times New Roman" w:eastAsia="Times New Roman" w:hAnsi="Times New Roman" w:cs="Times New Roman"/>
          <w:sz w:val="24"/>
          <w:szCs w:val="24"/>
        </w:rPr>
        <w:t xml:space="preserve">, and </w:t>
      </w:r>
      <w:r w:rsidR="00BB12AE" w:rsidRPr="00BB12AE">
        <w:rPr>
          <w:rFonts w:ascii="Times New Roman" w:eastAsia="Times New Roman" w:hAnsi="Times New Roman" w:cs="Times New Roman"/>
          <w:i/>
          <w:iCs/>
          <w:sz w:val="24"/>
          <w:szCs w:val="24"/>
        </w:rPr>
        <w:t>penalties and enforcement</w:t>
      </w:r>
      <w:r w:rsidR="00BB12AE" w:rsidRPr="00BB12AE">
        <w:rPr>
          <w:rFonts w:ascii="Times New Roman" w:eastAsia="Times New Roman" w:hAnsi="Times New Roman" w:cs="Times New Roman"/>
          <w:sz w:val="24"/>
          <w:szCs w:val="24"/>
        </w:rPr>
        <w:t xml:space="preserve"> suggest that frontline officials view these as the most actionable and effective strategies. Moreover, the mention of </w:t>
      </w:r>
      <w:r w:rsidR="00BB12AE" w:rsidRPr="00BB12AE">
        <w:rPr>
          <w:rFonts w:ascii="Times New Roman" w:eastAsia="Times New Roman" w:hAnsi="Times New Roman" w:cs="Times New Roman"/>
          <w:i/>
          <w:iCs/>
          <w:sz w:val="24"/>
          <w:szCs w:val="24"/>
        </w:rPr>
        <w:t>digital transformation</w:t>
      </w:r>
      <w:r w:rsidR="00BB12AE" w:rsidRPr="00BB12AE">
        <w:rPr>
          <w:rFonts w:ascii="Times New Roman" w:eastAsia="Times New Roman" w:hAnsi="Times New Roman" w:cs="Times New Roman"/>
          <w:sz w:val="24"/>
          <w:szCs w:val="24"/>
        </w:rPr>
        <w:t xml:space="preserve"> points to a growing awareness among officials</w:t>
      </w:r>
      <w:r w:rsidR="00BB12AE">
        <w:rPr>
          <w:rFonts w:ascii="Times New Roman" w:eastAsia="Times New Roman" w:hAnsi="Times New Roman" w:cs="Times New Roman"/>
          <w:sz w:val="24"/>
          <w:szCs w:val="24"/>
        </w:rPr>
        <w:t xml:space="preserve"> of the potential of technology </w:t>
      </w:r>
      <w:r w:rsidR="00BB12AE" w:rsidRPr="00BB12AE">
        <w:rPr>
          <w:rFonts w:ascii="Times New Roman" w:eastAsia="Times New Roman" w:hAnsi="Times New Roman" w:cs="Times New Roman"/>
          <w:sz w:val="24"/>
          <w:szCs w:val="24"/>
        </w:rPr>
        <w:t>such as data anal</w:t>
      </w:r>
      <w:r w:rsidR="00BB12AE">
        <w:rPr>
          <w:rFonts w:ascii="Times New Roman" w:eastAsia="Times New Roman" w:hAnsi="Times New Roman" w:cs="Times New Roman"/>
          <w:sz w:val="24"/>
          <w:szCs w:val="24"/>
        </w:rPr>
        <w:t xml:space="preserve">ytics, AI, and e-filing systems </w:t>
      </w:r>
      <w:r w:rsidR="00BB12AE" w:rsidRPr="00BB12AE">
        <w:rPr>
          <w:rFonts w:ascii="Times New Roman" w:eastAsia="Times New Roman" w:hAnsi="Times New Roman" w:cs="Times New Roman"/>
          <w:sz w:val="24"/>
          <w:szCs w:val="24"/>
        </w:rPr>
        <w:t>in modernizing tax operations.</w:t>
      </w:r>
    </w:p>
    <w:p w:rsidR="00BB12AE" w:rsidRPr="00BB12AE" w:rsidRDefault="00BB12AE" w:rsidP="00BB12AE">
      <w:pPr>
        <w:spacing w:after="240" w:line="360" w:lineRule="auto"/>
        <w:jc w:val="both"/>
        <w:rPr>
          <w:rFonts w:ascii="Times New Roman" w:eastAsia="Times New Roman" w:hAnsi="Times New Roman" w:cs="Times New Roman"/>
          <w:sz w:val="24"/>
          <w:szCs w:val="24"/>
        </w:rPr>
      </w:pPr>
      <w:r w:rsidRPr="00BB12AE">
        <w:rPr>
          <w:rFonts w:ascii="Times New Roman" w:eastAsia="Times New Roman" w:hAnsi="Times New Roman" w:cs="Times New Roman"/>
          <w:sz w:val="24"/>
          <w:szCs w:val="24"/>
        </w:rPr>
        <w:t xml:space="preserve">Interestingly, a smaller number of respondents emphasized </w:t>
      </w:r>
      <w:r w:rsidRPr="00BB12AE">
        <w:rPr>
          <w:rFonts w:ascii="Times New Roman" w:eastAsia="Times New Roman" w:hAnsi="Times New Roman" w:cs="Times New Roman"/>
          <w:i/>
          <w:iCs/>
          <w:sz w:val="24"/>
          <w:szCs w:val="24"/>
        </w:rPr>
        <w:t>transparency in fund usage</w:t>
      </w:r>
      <w:r w:rsidRPr="00BB12AE">
        <w:rPr>
          <w:rFonts w:ascii="Times New Roman" w:eastAsia="Times New Roman" w:hAnsi="Times New Roman" w:cs="Times New Roman"/>
          <w:sz w:val="24"/>
          <w:szCs w:val="24"/>
        </w:rPr>
        <w:t>, indicating a belief that trust-building between the government and taxpayers could serve as a long-term fraud deterrent. When citizens see the tangible outcomes of their tax contributions, they may be more inclined to comply voluntarily.</w:t>
      </w:r>
    </w:p>
    <w:p w:rsidR="002100FC" w:rsidRPr="002100FC" w:rsidRDefault="002100FC" w:rsidP="00E73931">
      <w:pPr>
        <w:spacing w:after="240" w:line="360" w:lineRule="auto"/>
        <w:jc w:val="both"/>
        <w:rPr>
          <w:rFonts w:ascii="Times New Roman" w:eastAsia="Times New Roman" w:hAnsi="Times New Roman" w:cs="Times New Roman"/>
          <w:sz w:val="24"/>
          <w:szCs w:val="24"/>
        </w:rPr>
      </w:pPr>
    </w:p>
    <w:p w:rsidR="002100FC" w:rsidRPr="002100FC" w:rsidRDefault="002100FC" w:rsidP="002100FC">
      <w:pPr>
        <w:spacing w:after="0" w:line="240" w:lineRule="auto"/>
        <w:rPr>
          <w:rFonts w:ascii="Times New Roman" w:eastAsia="Times New Roman" w:hAnsi="Times New Roman" w:cs="Times New Roman"/>
          <w:sz w:val="24"/>
          <w:szCs w:val="24"/>
        </w:rPr>
      </w:pPr>
    </w:p>
    <w:p w:rsidR="002100FC" w:rsidRPr="002100FC" w:rsidRDefault="002100FC" w:rsidP="002100FC">
      <w:pPr>
        <w:spacing w:before="100" w:beforeAutospacing="1" w:after="100" w:afterAutospacing="1" w:line="240" w:lineRule="auto"/>
        <w:outlineLvl w:val="2"/>
        <w:rPr>
          <w:rFonts w:ascii="Times New Roman" w:eastAsia="Times New Roman" w:hAnsi="Times New Roman" w:cs="Times New Roman"/>
          <w:bCs/>
          <w:sz w:val="24"/>
          <w:szCs w:val="27"/>
        </w:rPr>
      </w:pPr>
      <w:r w:rsidRPr="00E73931">
        <w:rPr>
          <w:rFonts w:ascii="Times New Roman" w:eastAsia="Times New Roman" w:hAnsi="Times New Roman" w:cs="Times New Roman"/>
          <w:bCs/>
          <w:sz w:val="24"/>
          <w:szCs w:val="27"/>
        </w:rPr>
        <w:t>4.5 Linking Findings to Research Questions</w:t>
      </w:r>
    </w:p>
    <w:tbl>
      <w:tblPr>
        <w:tblStyle w:val="MediumList1-Accent5"/>
        <w:tblW w:w="0" w:type="auto"/>
        <w:tblLook w:val="04A0" w:firstRow="1" w:lastRow="0" w:firstColumn="1" w:lastColumn="0" w:noHBand="0" w:noVBand="1"/>
      </w:tblPr>
      <w:tblGrid>
        <w:gridCol w:w="4197"/>
        <w:gridCol w:w="5379"/>
      </w:tblGrid>
      <w:tr w:rsidR="002100FC" w:rsidRPr="002100FC" w:rsidTr="00E7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jc w:val="center"/>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Research Question</w:t>
            </w:r>
          </w:p>
        </w:tc>
        <w:tc>
          <w:tcPr>
            <w:tcW w:w="0" w:type="auto"/>
            <w:hideMark/>
          </w:tcPr>
          <w:p w:rsidR="002100FC" w:rsidRPr="002100FC" w:rsidRDefault="002100FC" w:rsidP="00E739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2100FC">
              <w:rPr>
                <w:rFonts w:ascii="Times New Roman" w:eastAsia="Times New Roman" w:hAnsi="Times New Roman" w:cs="Times New Roman"/>
                <w:bCs/>
                <w:sz w:val="24"/>
                <w:szCs w:val="24"/>
              </w:rPr>
              <w:t>Summary of Findings</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jc w:val="both"/>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What is the concept of taxation and tax fraud offences in Nigeria?</w:t>
            </w:r>
          </w:p>
        </w:tc>
        <w:tc>
          <w:tcPr>
            <w:tcW w:w="0" w:type="auto"/>
            <w:hideMark/>
          </w:tcPr>
          <w:p w:rsidR="002100FC" w:rsidRPr="002100FC" w:rsidRDefault="002100FC" w:rsidP="00E739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Understood broadly; fraud includes evasion, underreporting, and bribery, as mentioned in Q11.</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jc w:val="both"/>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What are the legal and administrative measures used to address tax frauds?</w:t>
            </w:r>
          </w:p>
        </w:tc>
        <w:tc>
          <w:tcPr>
            <w:tcW w:w="0" w:type="auto"/>
            <w:hideMark/>
          </w:tcPr>
          <w:p w:rsidR="002100FC" w:rsidRPr="002100FC" w:rsidRDefault="002100FC" w:rsidP="00E7393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Measures exist but suffer from weak enforcement and lack of awareness, as reported by respondents.</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jc w:val="both"/>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What techniques are used by taxpayers to commit fraud?</w:t>
            </w:r>
          </w:p>
        </w:tc>
        <w:tc>
          <w:tcPr>
            <w:tcW w:w="0" w:type="auto"/>
            <w:hideMark/>
          </w:tcPr>
          <w:p w:rsidR="002100FC" w:rsidRPr="002100FC" w:rsidRDefault="002100FC" w:rsidP="00E739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Though not directly measured, resistance and exploitation of weak systems were frequently cited.</w:t>
            </w:r>
          </w:p>
        </w:tc>
      </w:tr>
      <w:tr w:rsidR="002100FC" w:rsidRPr="002100FC" w:rsidTr="00E73931">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What are the weaknesses in addressing tax fraud by tax authorities?</w:t>
            </w:r>
          </w:p>
        </w:tc>
        <w:tc>
          <w:tcPr>
            <w:tcW w:w="0" w:type="auto"/>
            <w:hideMark/>
          </w:tcPr>
          <w:p w:rsidR="002100FC" w:rsidRPr="002100FC" w:rsidRDefault="002100FC" w:rsidP="00E739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Resource scarcity, inadequate training, outdated technology, and taxpayer resistance are key issues.</w:t>
            </w:r>
          </w:p>
        </w:tc>
      </w:tr>
      <w:tr w:rsidR="002100FC" w:rsidRPr="002100FC" w:rsidTr="00E7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00FC" w:rsidRPr="002100FC" w:rsidRDefault="002100FC" w:rsidP="00E73931">
            <w:pPr>
              <w:spacing w:line="360" w:lineRule="auto"/>
              <w:rPr>
                <w:rFonts w:ascii="Times New Roman" w:eastAsia="Times New Roman" w:hAnsi="Times New Roman" w:cs="Times New Roman"/>
                <w:b w:val="0"/>
                <w:sz w:val="24"/>
                <w:szCs w:val="24"/>
              </w:rPr>
            </w:pPr>
            <w:r w:rsidRPr="002100FC">
              <w:rPr>
                <w:rFonts w:ascii="Times New Roman" w:eastAsia="Times New Roman" w:hAnsi="Times New Roman" w:cs="Times New Roman"/>
                <w:b w:val="0"/>
                <w:sz w:val="24"/>
                <w:szCs w:val="24"/>
              </w:rPr>
              <w:t>What is the impact of tax fraud on revenue and the economy?</w:t>
            </w:r>
          </w:p>
        </w:tc>
        <w:tc>
          <w:tcPr>
            <w:tcW w:w="0" w:type="auto"/>
            <w:hideMark/>
          </w:tcPr>
          <w:p w:rsidR="002100FC" w:rsidRPr="002100FC" w:rsidRDefault="002100FC" w:rsidP="00E739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100FC">
              <w:rPr>
                <w:rFonts w:ascii="Times New Roman" w:eastAsia="Times New Roman" w:hAnsi="Times New Roman" w:cs="Times New Roman"/>
                <w:sz w:val="24"/>
                <w:szCs w:val="24"/>
              </w:rPr>
              <w:t>Severe; reduced revenue affects public infrastructure, health, and education investment capabilities.</w:t>
            </w:r>
          </w:p>
        </w:tc>
      </w:tr>
    </w:tbl>
    <w:p w:rsidR="002100FC" w:rsidRDefault="002100FC" w:rsidP="002100FC">
      <w:pPr>
        <w:spacing w:after="0" w:line="240" w:lineRule="auto"/>
        <w:rPr>
          <w:rFonts w:ascii="Times New Roman" w:eastAsia="Times New Roman" w:hAnsi="Times New Roman" w:cs="Times New Roman"/>
          <w:sz w:val="24"/>
          <w:szCs w:val="24"/>
        </w:rPr>
      </w:pPr>
    </w:p>
    <w:p w:rsidR="00F816E9" w:rsidRDefault="00F816E9" w:rsidP="002100FC">
      <w:pPr>
        <w:spacing w:after="0" w:line="240" w:lineRule="auto"/>
        <w:rPr>
          <w:rFonts w:ascii="Times New Roman" w:eastAsia="Times New Roman" w:hAnsi="Times New Roman" w:cs="Times New Roman"/>
          <w:sz w:val="24"/>
          <w:szCs w:val="24"/>
        </w:rPr>
      </w:pPr>
    </w:p>
    <w:p w:rsidR="00A12558" w:rsidRPr="00A12558" w:rsidRDefault="00A12558" w:rsidP="00A12558">
      <w:pPr>
        <w:spacing w:before="100" w:beforeAutospacing="1" w:after="480" w:line="360" w:lineRule="auto"/>
        <w:jc w:val="both"/>
        <w:rPr>
          <w:rFonts w:ascii="Times New Roman" w:eastAsia="Times New Roman" w:hAnsi="Times New Roman" w:cs="Times New Roman"/>
          <w:sz w:val="24"/>
          <w:szCs w:val="24"/>
        </w:rPr>
      </w:pPr>
      <w:r w:rsidRPr="00F11F9A">
        <w:rPr>
          <w:rFonts w:ascii="Times New Roman" w:eastAsia="Times New Roman" w:hAnsi="Times New Roman" w:cs="Times New Roman"/>
          <w:bCs/>
          <w:sz w:val="24"/>
          <w:szCs w:val="24"/>
        </w:rPr>
        <w:lastRenderedPageBreak/>
        <w:t>1. What is the concept of taxation and tax fraud offences in Nigeria?</w:t>
      </w:r>
    </w:p>
    <w:p w:rsidR="00A12558" w:rsidRPr="00A12558" w:rsidRDefault="00A12558" w:rsidP="00A12558">
      <w:pPr>
        <w:spacing w:before="100" w:beforeAutospacing="1" w:after="480" w:line="360" w:lineRule="auto"/>
        <w:ind w:firstLine="720"/>
        <w:jc w:val="both"/>
        <w:rPr>
          <w:rFonts w:ascii="Times New Roman" w:eastAsia="Times New Roman" w:hAnsi="Times New Roman" w:cs="Times New Roman"/>
          <w:sz w:val="24"/>
          <w:szCs w:val="24"/>
        </w:rPr>
      </w:pPr>
      <w:r w:rsidRPr="00A12558">
        <w:rPr>
          <w:rFonts w:ascii="Times New Roman" w:eastAsia="Times New Roman" w:hAnsi="Times New Roman" w:cs="Times New Roman"/>
          <w:sz w:val="24"/>
          <w:szCs w:val="24"/>
        </w:rPr>
        <w:t>The study revealed that tax officials have a broad understanding of what constitutes taxation and tax fraud. While this question was primarily explored through qualitative responses (e.g., open-ended responses in Q11), several respondents described tax fraud as encompassing acts such as underreporting income, tax evasion, falsifying documents, and offering bribes to manipulate tax assessments. These insights align with legal and academic definitions, indicating that tax officials are well-aware of the diverse and complex nature of fraud offences within the Nigerian taxation system.</w:t>
      </w:r>
    </w:p>
    <w:p w:rsidR="00A12558" w:rsidRPr="00A12558" w:rsidRDefault="00A12558" w:rsidP="00A12558">
      <w:pPr>
        <w:spacing w:before="100" w:beforeAutospacing="1" w:after="480" w:line="360" w:lineRule="auto"/>
        <w:jc w:val="both"/>
        <w:rPr>
          <w:rFonts w:ascii="Times New Roman" w:eastAsia="Times New Roman" w:hAnsi="Times New Roman" w:cs="Times New Roman"/>
          <w:sz w:val="24"/>
          <w:szCs w:val="24"/>
        </w:rPr>
      </w:pPr>
      <w:r w:rsidRPr="00F11F9A">
        <w:rPr>
          <w:rFonts w:ascii="Times New Roman" w:eastAsia="Times New Roman" w:hAnsi="Times New Roman" w:cs="Times New Roman"/>
          <w:bCs/>
          <w:sz w:val="24"/>
          <w:szCs w:val="24"/>
        </w:rPr>
        <w:t>2. What are the legal and administrative measures used to address tax fraud?</w:t>
      </w:r>
    </w:p>
    <w:p w:rsidR="00A12558" w:rsidRPr="00A12558" w:rsidRDefault="00A12558" w:rsidP="00A12558">
      <w:pPr>
        <w:spacing w:before="100" w:beforeAutospacing="1" w:after="480" w:line="360" w:lineRule="auto"/>
        <w:ind w:firstLine="720"/>
        <w:jc w:val="both"/>
        <w:rPr>
          <w:rFonts w:ascii="Times New Roman" w:eastAsia="Times New Roman" w:hAnsi="Times New Roman" w:cs="Times New Roman"/>
          <w:sz w:val="24"/>
          <w:szCs w:val="24"/>
        </w:rPr>
      </w:pPr>
      <w:r w:rsidRPr="00A12558">
        <w:rPr>
          <w:rFonts w:ascii="Times New Roman" w:eastAsia="Times New Roman" w:hAnsi="Times New Roman" w:cs="Times New Roman"/>
          <w:sz w:val="24"/>
          <w:szCs w:val="24"/>
        </w:rPr>
        <w:t>Respondents acknowledged the existence of legal and administrative frameworks intended to combat tax fraud, such as audit procedures, penalties, and compliance regulations. However, the analysis also showed a consensus that these measures are often undermined by weak enforcement and a general lack of public awareness. For example, only 57% of respondents (Q10_Enhanced_Audit_Procedures) agreed that existing audit mechanisms are effective, and many highlighted in open-ended responses the need for stricter legal actions and improved enforcement capacity. This suggests that while frameworks are in place, their practical impact is limited by implementation gaps and low taxpayer engagement.</w:t>
      </w:r>
    </w:p>
    <w:p w:rsidR="00A12558" w:rsidRPr="00A12558" w:rsidRDefault="00A12558" w:rsidP="00A12558">
      <w:pPr>
        <w:spacing w:after="480" w:line="360" w:lineRule="auto"/>
        <w:ind w:firstLine="720"/>
        <w:jc w:val="both"/>
        <w:rPr>
          <w:rFonts w:ascii="Times New Roman" w:eastAsia="Times New Roman" w:hAnsi="Times New Roman" w:cs="Times New Roman"/>
          <w:sz w:val="24"/>
          <w:szCs w:val="24"/>
        </w:rPr>
      </w:pPr>
    </w:p>
    <w:p w:rsidR="00A12558" w:rsidRPr="00A12558" w:rsidRDefault="00A12558" w:rsidP="00A12558">
      <w:pPr>
        <w:spacing w:before="100" w:beforeAutospacing="1" w:after="480" w:line="360" w:lineRule="auto"/>
        <w:jc w:val="both"/>
        <w:rPr>
          <w:rFonts w:ascii="Times New Roman" w:eastAsia="Times New Roman" w:hAnsi="Times New Roman" w:cs="Times New Roman"/>
          <w:sz w:val="24"/>
          <w:szCs w:val="24"/>
        </w:rPr>
      </w:pPr>
      <w:r w:rsidRPr="00F11F9A">
        <w:rPr>
          <w:rFonts w:ascii="Times New Roman" w:eastAsia="Times New Roman" w:hAnsi="Times New Roman" w:cs="Times New Roman"/>
          <w:bCs/>
          <w:sz w:val="24"/>
          <w:szCs w:val="24"/>
        </w:rPr>
        <w:t>3. What techniques are used by taxpayers to commit fraud?</w:t>
      </w:r>
    </w:p>
    <w:p w:rsidR="00A12558" w:rsidRPr="00A12558" w:rsidRDefault="00A12558" w:rsidP="00A12558">
      <w:pPr>
        <w:spacing w:before="100" w:beforeAutospacing="1" w:after="480" w:line="360" w:lineRule="auto"/>
        <w:ind w:firstLine="720"/>
        <w:jc w:val="both"/>
        <w:rPr>
          <w:rFonts w:ascii="Times New Roman" w:eastAsia="Times New Roman" w:hAnsi="Times New Roman" w:cs="Times New Roman"/>
          <w:sz w:val="24"/>
          <w:szCs w:val="24"/>
        </w:rPr>
      </w:pPr>
      <w:r w:rsidRPr="00A12558">
        <w:rPr>
          <w:rFonts w:ascii="Times New Roman" w:eastAsia="Times New Roman" w:hAnsi="Times New Roman" w:cs="Times New Roman"/>
          <w:sz w:val="24"/>
          <w:szCs w:val="24"/>
        </w:rPr>
        <w:t>Though this was not directly measured through structured survey items, indirect insights emerged from questions regarding challenges faced by tax officials. Specifically, the high response rates for "Resistance from Taxpayers" (mean = 0.60) and "Legal Constraints" (mean = 0.47) indicate that fraudulent taxpayers often exploit weak oversight mechanisms, outdated laws, and the general inefficiency of tax systems. Qualitative feedback also pointed to deliberate non-</w:t>
      </w:r>
      <w:r w:rsidRPr="00A12558">
        <w:rPr>
          <w:rFonts w:ascii="Times New Roman" w:eastAsia="Times New Roman" w:hAnsi="Times New Roman" w:cs="Times New Roman"/>
          <w:sz w:val="24"/>
          <w:szCs w:val="24"/>
        </w:rPr>
        <w:lastRenderedPageBreak/>
        <w:t>cooperation and manipulation of tax records as common fraud techniques. These findings highlight the need for better detection tools and stronger enforcement to close loopholes exploited by dishonest taxpayers.</w:t>
      </w:r>
    </w:p>
    <w:p w:rsidR="00A12558" w:rsidRPr="00A12558" w:rsidRDefault="00A12558" w:rsidP="00A12558">
      <w:pPr>
        <w:spacing w:after="480" w:line="360" w:lineRule="auto"/>
        <w:ind w:firstLine="720"/>
        <w:jc w:val="both"/>
        <w:rPr>
          <w:rFonts w:ascii="Times New Roman" w:eastAsia="Times New Roman" w:hAnsi="Times New Roman" w:cs="Times New Roman"/>
          <w:sz w:val="24"/>
          <w:szCs w:val="24"/>
        </w:rPr>
      </w:pPr>
    </w:p>
    <w:p w:rsidR="00A12558" w:rsidRPr="00A12558" w:rsidRDefault="00A12558" w:rsidP="00A12558">
      <w:pPr>
        <w:spacing w:before="100" w:beforeAutospacing="1" w:after="480" w:line="360" w:lineRule="auto"/>
        <w:jc w:val="both"/>
        <w:rPr>
          <w:rFonts w:ascii="Times New Roman" w:eastAsia="Times New Roman" w:hAnsi="Times New Roman" w:cs="Times New Roman"/>
          <w:sz w:val="24"/>
          <w:szCs w:val="24"/>
        </w:rPr>
      </w:pPr>
      <w:r w:rsidRPr="00F11F9A">
        <w:rPr>
          <w:rFonts w:ascii="Times New Roman" w:eastAsia="Times New Roman" w:hAnsi="Times New Roman" w:cs="Times New Roman"/>
          <w:bCs/>
          <w:sz w:val="24"/>
          <w:szCs w:val="24"/>
        </w:rPr>
        <w:t>4. What are the weaknesses in addressing tax fraud by tax authorities?</w:t>
      </w:r>
    </w:p>
    <w:p w:rsidR="00A12558" w:rsidRPr="00A12558" w:rsidRDefault="00A12558" w:rsidP="00A12558">
      <w:pPr>
        <w:spacing w:before="100" w:beforeAutospacing="1" w:after="480" w:line="360" w:lineRule="auto"/>
        <w:ind w:firstLine="720"/>
        <w:jc w:val="both"/>
        <w:rPr>
          <w:rFonts w:ascii="Times New Roman" w:eastAsia="Times New Roman" w:hAnsi="Times New Roman" w:cs="Times New Roman"/>
          <w:sz w:val="24"/>
          <w:szCs w:val="24"/>
        </w:rPr>
      </w:pPr>
      <w:r w:rsidRPr="00A12558">
        <w:rPr>
          <w:rFonts w:ascii="Times New Roman" w:eastAsia="Times New Roman" w:hAnsi="Times New Roman" w:cs="Times New Roman"/>
          <w:sz w:val="24"/>
          <w:szCs w:val="24"/>
        </w:rPr>
        <w:t>The findings strongly indicate that tax authorities in Kano State face multiple structural and operational weaknesses. Chief among these are insufficient resources (mean = 0.67), lack of training (mean = 0.67), and inadequate technology (mean = 0.37). These issues are further compounded by legal and institutional limitations, which prevent effective enforcement of tax laws. The absence of real-time data, lack of skilled personnel, and slow adoption of digital systems were cited in qualitative responses as barriers to effective fraud detection. These weaknesses ultimately compromise the ability of tax officials to carry out audits, investigation</w:t>
      </w:r>
      <w:r>
        <w:rPr>
          <w:rFonts w:ascii="Times New Roman" w:eastAsia="Times New Roman" w:hAnsi="Times New Roman" w:cs="Times New Roman"/>
          <w:sz w:val="24"/>
          <w:szCs w:val="24"/>
        </w:rPr>
        <w:t>s, and prosecutions effectively</w:t>
      </w:r>
    </w:p>
    <w:p w:rsidR="00A12558" w:rsidRPr="00A12558" w:rsidRDefault="00A12558" w:rsidP="00A12558">
      <w:pPr>
        <w:spacing w:before="100" w:beforeAutospacing="1" w:after="480" w:line="360" w:lineRule="auto"/>
        <w:jc w:val="both"/>
        <w:rPr>
          <w:rFonts w:ascii="Times New Roman" w:eastAsia="Times New Roman" w:hAnsi="Times New Roman" w:cs="Times New Roman"/>
          <w:sz w:val="24"/>
          <w:szCs w:val="24"/>
        </w:rPr>
      </w:pPr>
      <w:bookmarkStart w:id="0" w:name="_GoBack"/>
      <w:r w:rsidRPr="00F11F9A">
        <w:rPr>
          <w:rFonts w:ascii="Times New Roman" w:eastAsia="Times New Roman" w:hAnsi="Times New Roman" w:cs="Times New Roman"/>
          <w:bCs/>
          <w:sz w:val="24"/>
          <w:szCs w:val="24"/>
        </w:rPr>
        <w:t>5. What is the impact of tax fraud on revenue and the economy?</w:t>
      </w:r>
    </w:p>
    <w:bookmarkEnd w:id="0"/>
    <w:p w:rsidR="00A12558" w:rsidRPr="00A12558" w:rsidRDefault="00A12558" w:rsidP="00A12558">
      <w:pPr>
        <w:spacing w:before="100" w:beforeAutospacing="1" w:after="480" w:line="360" w:lineRule="auto"/>
        <w:ind w:firstLine="720"/>
        <w:jc w:val="both"/>
        <w:rPr>
          <w:rFonts w:ascii="Times New Roman" w:eastAsia="Times New Roman" w:hAnsi="Times New Roman" w:cs="Times New Roman"/>
          <w:sz w:val="24"/>
          <w:szCs w:val="24"/>
        </w:rPr>
      </w:pPr>
      <w:r w:rsidRPr="00A12558">
        <w:rPr>
          <w:rFonts w:ascii="Times New Roman" w:eastAsia="Times New Roman" w:hAnsi="Times New Roman" w:cs="Times New Roman"/>
          <w:sz w:val="24"/>
          <w:szCs w:val="24"/>
        </w:rPr>
        <w:t>Although not quantified directly in the study, the cumulative responses from both the survey and open-ended questions strongly suggest that tax fraud has a detrimental impact on national revenue and economic development. Many respondents pointed out that fraud leads to substantial revenue leakage, which in turn reduces government capacity to invest in critical public sectors such as healthcare, infrastructure, and education. Some emphasized that improving transparency and demonstrating the benefits of tax compliance could help in reversing this trend, as taxpayers may be more willing to comply if they perceive value in their contributions.</w:t>
      </w:r>
    </w:p>
    <w:p w:rsidR="00F816E9" w:rsidRPr="002100FC" w:rsidRDefault="00F816E9" w:rsidP="002100FC">
      <w:pPr>
        <w:spacing w:after="0" w:line="240" w:lineRule="auto"/>
        <w:rPr>
          <w:rFonts w:ascii="Times New Roman" w:eastAsia="Times New Roman" w:hAnsi="Times New Roman" w:cs="Times New Roman"/>
          <w:sz w:val="24"/>
          <w:szCs w:val="24"/>
        </w:rPr>
      </w:pPr>
    </w:p>
    <w:p w:rsidR="00CC2E34" w:rsidRDefault="00CC2E34"/>
    <w:sectPr w:rsidR="00CC2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0FC"/>
    <w:rsid w:val="002100FC"/>
    <w:rsid w:val="00602489"/>
    <w:rsid w:val="00645BFA"/>
    <w:rsid w:val="00A12558"/>
    <w:rsid w:val="00A9760B"/>
    <w:rsid w:val="00BB12AE"/>
    <w:rsid w:val="00CB0627"/>
    <w:rsid w:val="00CC2E34"/>
    <w:rsid w:val="00E115B0"/>
    <w:rsid w:val="00E73931"/>
    <w:rsid w:val="00F11F9A"/>
    <w:rsid w:val="00F81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00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00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100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0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00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100FC"/>
    <w:rPr>
      <w:rFonts w:ascii="Times New Roman" w:eastAsia="Times New Roman" w:hAnsi="Times New Roman" w:cs="Times New Roman"/>
      <w:b/>
      <w:bCs/>
      <w:sz w:val="24"/>
      <w:szCs w:val="24"/>
    </w:rPr>
  </w:style>
  <w:style w:type="character" w:styleId="Strong">
    <w:name w:val="Strong"/>
    <w:basedOn w:val="DefaultParagraphFont"/>
    <w:uiPriority w:val="22"/>
    <w:qFormat/>
    <w:rsid w:val="002100FC"/>
    <w:rPr>
      <w:b/>
      <w:bCs/>
    </w:rPr>
  </w:style>
  <w:style w:type="table" w:styleId="LightGrid">
    <w:name w:val="Light Grid"/>
    <w:basedOn w:val="TableNormal"/>
    <w:uiPriority w:val="62"/>
    <w:rsid w:val="002100F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List1">
    <w:name w:val="Medium List 1"/>
    <w:basedOn w:val="TableNormal"/>
    <w:uiPriority w:val="65"/>
    <w:rsid w:val="002100FC"/>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Grid-Accent1">
    <w:name w:val="Light Grid Accent 1"/>
    <w:basedOn w:val="TableNormal"/>
    <w:uiPriority w:val="62"/>
    <w:rsid w:val="00CB062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List1-Accent3">
    <w:name w:val="Medium List 1 Accent 3"/>
    <w:basedOn w:val="TableNormal"/>
    <w:uiPriority w:val="65"/>
    <w:rsid w:val="00CB0627"/>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rsid w:val="00CB062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Accent5">
    <w:name w:val="Medium Shading 1 Accent 5"/>
    <w:basedOn w:val="TableNormal"/>
    <w:uiPriority w:val="63"/>
    <w:rsid w:val="00E115B0"/>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1-Accent1">
    <w:name w:val="Medium List 1 Accent 1"/>
    <w:basedOn w:val="TableNormal"/>
    <w:uiPriority w:val="65"/>
    <w:rsid w:val="00E115B0"/>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5">
    <w:name w:val="Medium List 2 Accent 5"/>
    <w:basedOn w:val="TableNormal"/>
    <w:uiPriority w:val="66"/>
    <w:rsid w:val="00E115B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5">
    <w:name w:val="Medium List 1 Accent 5"/>
    <w:basedOn w:val="TableNormal"/>
    <w:uiPriority w:val="65"/>
    <w:rsid w:val="00E73931"/>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Shading-Accent5">
    <w:name w:val="Light Shading Accent 5"/>
    <w:basedOn w:val="TableNormal"/>
    <w:uiPriority w:val="60"/>
    <w:rsid w:val="00E7393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00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00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100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0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00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100FC"/>
    <w:rPr>
      <w:rFonts w:ascii="Times New Roman" w:eastAsia="Times New Roman" w:hAnsi="Times New Roman" w:cs="Times New Roman"/>
      <w:b/>
      <w:bCs/>
      <w:sz w:val="24"/>
      <w:szCs w:val="24"/>
    </w:rPr>
  </w:style>
  <w:style w:type="character" w:styleId="Strong">
    <w:name w:val="Strong"/>
    <w:basedOn w:val="DefaultParagraphFont"/>
    <w:uiPriority w:val="22"/>
    <w:qFormat/>
    <w:rsid w:val="002100FC"/>
    <w:rPr>
      <w:b/>
      <w:bCs/>
    </w:rPr>
  </w:style>
  <w:style w:type="table" w:styleId="LightGrid">
    <w:name w:val="Light Grid"/>
    <w:basedOn w:val="TableNormal"/>
    <w:uiPriority w:val="62"/>
    <w:rsid w:val="002100F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List1">
    <w:name w:val="Medium List 1"/>
    <w:basedOn w:val="TableNormal"/>
    <w:uiPriority w:val="65"/>
    <w:rsid w:val="002100FC"/>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Grid-Accent1">
    <w:name w:val="Light Grid Accent 1"/>
    <w:basedOn w:val="TableNormal"/>
    <w:uiPriority w:val="62"/>
    <w:rsid w:val="00CB062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List1-Accent3">
    <w:name w:val="Medium List 1 Accent 3"/>
    <w:basedOn w:val="TableNormal"/>
    <w:uiPriority w:val="65"/>
    <w:rsid w:val="00CB0627"/>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rsid w:val="00CB062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Accent5">
    <w:name w:val="Medium Shading 1 Accent 5"/>
    <w:basedOn w:val="TableNormal"/>
    <w:uiPriority w:val="63"/>
    <w:rsid w:val="00E115B0"/>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1-Accent1">
    <w:name w:val="Medium List 1 Accent 1"/>
    <w:basedOn w:val="TableNormal"/>
    <w:uiPriority w:val="65"/>
    <w:rsid w:val="00E115B0"/>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5">
    <w:name w:val="Medium List 2 Accent 5"/>
    <w:basedOn w:val="TableNormal"/>
    <w:uiPriority w:val="66"/>
    <w:rsid w:val="00E115B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5">
    <w:name w:val="Medium List 1 Accent 5"/>
    <w:basedOn w:val="TableNormal"/>
    <w:uiPriority w:val="65"/>
    <w:rsid w:val="00E73931"/>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Shading-Accent5">
    <w:name w:val="Light Shading Accent 5"/>
    <w:basedOn w:val="TableNormal"/>
    <w:uiPriority w:val="60"/>
    <w:rsid w:val="00E7393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406042">
      <w:bodyDiv w:val="1"/>
      <w:marLeft w:val="0"/>
      <w:marRight w:val="0"/>
      <w:marTop w:val="0"/>
      <w:marBottom w:val="0"/>
      <w:divBdr>
        <w:top w:val="none" w:sz="0" w:space="0" w:color="auto"/>
        <w:left w:val="none" w:sz="0" w:space="0" w:color="auto"/>
        <w:bottom w:val="none" w:sz="0" w:space="0" w:color="auto"/>
        <w:right w:val="none" w:sz="0" w:space="0" w:color="auto"/>
      </w:divBdr>
    </w:div>
    <w:div w:id="803935832">
      <w:bodyDiv w:val="1"/>
      <w:marLeft w:val="0"/>
      <w:marRight w:val="0"/>
      <w:marTop w:val="0"/>
      <w:marBottom w:val="0"/>
      <w:divBdr>
        <w:top w:val="none" w:sz="0" w:space="0" w:color="auto"/>
        <w:left w:val="none" w:sz="0" w:space="0" w:color="auto"/>
        <w:bottom w:val="none" w:sz="0" w:space="0" w:color="auto"/>
        <w:right w:val="none" w:sz="0" w:space="0" w:color="auto"/>
      </w:divBdr>
    </w:div>
    <w:div w:id="1832256602">
      <w:bodyDiv w:val="1"/>
      <w:marLeft w:val="0"/>
      <w:marRight w:val="0"/>
      <w:marTop w:val="0"/>
      <w:marBottom w:val="0"/>
      <w:divBdr>
        <w:top w:val="none" w:sz="0" w:space="0" w:color="auto"/>
        <w:left w:val="none" w:sz="0" w:space="0" w:color="auto"/>
        <w:bottom w:val="none" w:sz="0" w:space="0" w:color="auto"/>
        <w:right w:val="none" w:sz="0" w:space="0" w:color="auto"/>
      </w:divBdr>
      <w:divsChild>
        <w:div w:id="2043356619">
          <w:marLeft w:val="0"/>
          <w:marRight w:val="0"/>
          <w:marTop w:val="0"/>
          <w:marBottom w:val="0"/>
          <w:divBdr>
            <w:top w:val="none" w:sz="0" w:space="0" w:color="auto"/>
            <w:left w:val="none" w:sz="0" w:space="0" w:color="auto"/>
            <w:bottom w:val="none" w:sz="0" w:space="0" w:color="auto"/>
            <w:right w:val="none" w:sz="0" w:space="0" w:color="auto"/>
          </w:divBdr>
          <w:divsChild>
            <w:div w:id="1991982825">
              <w:marLeft w:val="0"/>
              <w:marRight w:val="0"/>
              <w:marTop w:val="0"/>
              <w:marBottom w:val="0"/>
              <w:divBdr>
                <w:top w:val="none" w:sz="0" w:space="0" w:color="auto"/>
                <w:left w:val="none" w:sz="0" w:space="0" w:color="auto"/>
                <w:bottom w:val="none" w:sz="0" w:space="0" w:color="auto"/>
                <w:right w:val="none" w:sz="0" w:space="0" w:color="auto"/>
              </w:divBdr>
            </w:div>
          </w:divsChild>
        </w:div>
        <w:div w:id="768428493">
          <w:marLeft w:val="0"/>
          <w:marRight w:val="0"/>
          <w:marTop w:val="0"/>
          <w:marBottom w:val="0"/>
          <w:divBdr>
            <w:top w:val="none" w:sz="0" w:space="0" w:color="auto"/>
            <w:left w:val="none" w:sz="0" w:space="0" w:color="auto"/>
            <w:bottom w:val="none" w:sz="0" w:space="0" w:color="auto"/>
            <w:right w:val="none" w:sz="0" w:space="0" w:color="auto"/>
          </w:divBdr>
          <w:divsChild>
            <w:div w:id="1862743001">
              <w:marLeft w:val="0"/>
              <w:marRight w:val="0"/>
              <w:marTop w:val="0"/>
              <w:marBottom w:val="0"/>
              <w:divBdr>
                <w:top w:val="none" w:sz="0" w:space="0" w:color="auto"/>
                <w:left w:val="none" w:sz="0" w:space="0" w:color="auto"/>
                <w:bottom w:val="none" w:sz="0" w:space="0" w:color="auto"/>
                <w:right w:val="none" w:sz="0" w:space="0" w:color="auto"/>
              </w:divBdr>
            </w:div>
          </w:divsChild>
        </w:div>
        <w:div w:id="273293457">
          <w:marLeft w:val="0"/>
          <w:marRight w:val="0"/>
          <w:marTop w:val="0"/>
          <w:marBottom w:val="0"/>
          <w:divBdr>
            <w:top w:val="none" w:sz="0" w:space="0" w:color="auto"/>
            <w:left w:val="none" w:sz="0" w:space="0" w:color="auto"/>
            <w:bottom w:val="none" w:sz="0" w:space="0" w:color="auto"/>
            <w:right w:val="none" w:sz="0" w:space="0" w:color="auto"/>
          </w:divBdr>
          <w:divsChild>
            <w:div w:id="1039089308">
              <w:marLeft w:val="0"/>
              <w:marRight w:val="0"/>
              <w:marTop w:val="0"/>
              <w:marBottom w:val="0"/>
              <w:divBdr>
                <w:top w:val="none" w:sz="0" w:space="0" w:color="auto"/>
                <w:left w:val="none" w:sz="0" w:space="0" w:color="auto"/>
                <w:bottom w:val="none" w:sz="0" w:space="0" w:color="auto"/>
                <w:right w:val="none" w:sz="0" w:space="0" w:color="auto"/>
              </w:divBdr>
            </w:div>
          </w:divsChild>
        </w:div>
        <w:div w:id="2020693137">
          <w:marLeft w:val="0"/>
          <w:marRight w:val="0"/>
          <w:marTop w:val="0"/>
          <w:marBottom w:val="0"/>
          <w:divBdr>
            <w:top w:val="none" w:sz="0" w:space="0" w:color="auto"/>
            <w:left w:val="none" w:sz="0" w:space="0" w:color="auto"/>
            <w:bottom w:val="none" w:sz="0" w:space="0" w:color="auto"/>
            <w:right w:val="none" w:sz="0" w:space="0" w:color="auto"/>
          </w:divBdr>
          <w:divsChild>
            <w:div w:id="8475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2924">
      <w:bodyDiv w:val="1"/>
      <w:marLeft w:val="0"/>
      <w:marRight w:val="0"/>
      <w:marTop w:val="0"/>
      <w:marBottom w:val="0"/>
      <w:divBdr>
        <w:top w:val="none" w:sz="0" w:space="0" w:color="auto"/>
        <w:left w:val="none" w:sz="0" w:space="0" w:color="auto"/>
        <w:bottom w:val="none" w:sz="0" w:space="0" w:color="auto"/>
        <w:right w:val="none" w:sz="0" w:space="0" w:color="auto"/>
      </w:divBdr>
    </w:div>
    <w:div w:id="211347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6</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2025-05-10T08:32:00Z</dcterms:created>
  <dcterms:modified xsi:type="dcterms:W3CDTF">2025-05-19T21:02:00Z</dcterms:modified>
</cp:coreProperties>
</file>