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1470E" w14:textId="6762BFDA" w:rsidR="00411F69" w:rsidRPr="008C7B95" w:rsidRDefault="008C7B95">
      <w:pPr>
        <w:rPr>
          <w:b/>
          <w:bCs/>
          <w:sz w:val="24"/>
          <w:szCs w:val="24"/>
          <w:lang w:val="en-US"/>
        </w:rPr>
      </w:pPr>
      <w:r w:rsidRPr="008C7B95">
        <w:rPr>
          <w:b/>
          <w:bCs/>
          <w:sz w:val="24"/>
          <w:szCs w:val="24"/>
          <w:lang w:val="en-US"/>
        </w:rPr>
        <w:t>Study Hub Points:</w:t>
      </w:r>
    </w:p>
    <w:p w14:paraId="1C096E84" w14:textId="77777777" w:rsidR="008C7B95" w:rsidRPr="008C7B95" w:rsidRDefault="008C7B95">
      <w:pPr>
        <w:rPr>
          <w:b/>
          <w:bCs/>
          <w:sz w:val="24"/>
          <w:szCs w:val="24"/>
          <w:u w:val="single"/>
          <w:lang w:val="en-US"/>
        </w:rPr>
      </w:pPr>
      <w:r w:rsidRPr="008C7B95">
        <w:rPr>
          <w:b/>
          <w:bCs/>
          <w:sz w:val="24"/>
          <w:szCs w:val="24"/>
          <w:u w:val="single"/>
          <w:lang w:val="en-US"/>
        </w:rPr>
        <w:t>IAS-16:</w:t>
      </w:r>
    </w:p>
    <w:p w14:paraId="638A2097" w14:textId="77777777" w:rsidR="00C9101C" w:rsidRDefault="008C7B95" w:rsidP="00C9101C">
      <w:pPr>
        <w:spacing w:after="0" w:line="240" w:lineRule="auto"/>
        <w:textAlignment w:val="baseline"/>
        <w:rPr>
          <w:rFonts w:ascii="Arial" w:eastAsia="Times New Roman" w:hAnsi="Arial" w:cs="Arial"/>
          <w:color w:val="000000"/>
          <w:bdr w:val="none" w:sz="0" w:space="0" w:color="auto" w:frame="1"/>
          <w:lang w:eastAsia="en-PK"/>
        </w:rPr>
      </w:pPr>
      <w:r w:rsidRPr="008C7B95">
        <w:rPr>
          <w:rFonts w:ascii="Arial" w:eastAsia="Times New Roman" w:hAnsi="Arial" w:cs="Arial"/>
          <w:color w:val="000000"/>
          <w:bdr w:val="none" w:sz="0" w:space="0" w:color="auto" w:frame="1"/>
          <w:lang w:eastAsia="en-PK"/>
        </w:rPr>
        <w:t>The maintenance contract is recognised in profit or loss over the period to which it relates.</w:t>
      </w:r>
    </w:p>
    <w:p w14:paraId="417B33D0" w14:textId="77777777" w:rsidR="00C9101C" w:rsidRDefault="00C9101C" w:rsidP="00C9101C">
      <w:pPr>
        <w:spacing w:after="0" w:line="240" w:lineRule="auto"/>
        <w:textAlignment w:val="baseline"/>
        <w:rPr>
          <w:rFonts w:ascii="Arial" w:eastAsia="Times New Roman" w:hAnsi="Arial" w:cs="Arial"/>
          <w:color w:val="000000"/>
          <w:bdr w:val="none" w:sz="0" w:space="0" w:color="auto" w:frame="1"/>
          <w:lang w:eastAsia="en-PK"/>
        </w:rPr>
      </w:pPr>
    </w:p>
    <w:p w14:paraId="70EAB373" w14:textId="76F32D9F" w:rsidR="00C9101C" w:rsidRPr="00C9101C" w:rsidRDefault="00C9101C" w:rsidP="00C9101C">
      <w:pPr>
        <w:spacing w:after="0" w:line="240" w:lineRule="auto"/>
        <w:textAlignment w:val="baseline"/>
        <w:rPr>
          <w:rFonts w:eastAsia="Times New Roman" w:cstheme="minorHAnsi"/>
          <w:b/>
          <w:bCs/>
          <w:sz w:val="24"/>
          <w:szCs w:val="24"/>
          <w:lang w:eastAsia="en-PK"/>
        </w:rPr>
      </w:pPr>
      <w:r w:rsidRPr="00C9101C">
        <w:rPr>
          <w:rFonts w:eastAsia="Times New Roman" w:cstheme="minorHAnsi"/>
          <w:b/>
          <w:bCs/>
          <w:sz w:val="24"/>
          <w:szCs w:val="24"/>
          <w:lang w:eastAsia="en-PK"/>
        </w:rPr>
        <w:t>Arguments for Non-depreciation</w:t>
      </w:r>
    </w:p>
    <w:p w14:paraId="2375A5E4" w14:textId="059B4113" w:rsidR="00C9101C" w:rsidRDefault="00C9101C" w:rsidP="00C9101C">
      <w:pPr>
        <w:shd w:val="clear" w:color="auto" w:fill="FFFFFF"/>
        <w:spacing w:after="0" w:line="240" w:lineRule="auto"/>
        <w:textAlignment w:val="baseline"/>
        <w:rPr>
          <w:rFonts w:eastAsia="Times New Roman" w:cstheme="minorHAnsi"/>
          <w:color w:val="000000"/>
          <w:sz w:val="24"/>
          <w:szCs w:val="24"/>
          <w:bdr w:val="none" w:sz="0" w:space="0" w:color="auto" w:frame="1"/>
          <w:lang w:val="en-US" w:eastAsia="en-PK"/>
        </w:rPr>
      </w:pPr>
      <w:r w:rsidRPr="00C9101C">
        <w:rPr>
          <w:rFonts w:eastAsia="Times New Roman" w:cstheme="minorHAnsi"/>
          <w:color w:val="000000"/>
          <w:sz w:val="24"/>
          <w:szCs w:val="24"/>
          <w:bdr w:val="none" w:sz="0" w:space="0" w:color="auto" w:frame="1"/>
          <w:lang w:eastAsia="en-PK"/>
        </w:rPr>
        <w:t>Assets are maintained to a very high standard. This maintenance cost is expensed in the statement of profit or loss in lieu of depreciation. To depreciate also would be “double counting” expense.</w:t>
      </w:r>
      <w:r>
        <w:rPr>
          <w:rFonts w:eastAsia="Times New Roman" w:cstheme="minorHAnsi"/>
          <w:color w:val="000000"/>
          <w:sz w:val="24"/>
          <w:szCs w:val="24"/>
          <w:bdr w:val="none" w:sz="0" w:space="0" w:color="auto" w:frame="1"/>
          <w:lang w:val="en-US" w:eastAsia="en-PK"/>
        </w:rPr>
        <w:t xml:space="preserve"> (</w:t>
      </w:r>
      <w:proofErr w:type="gramStart"/>
      <w:r>
        <w:rPr>
          <w:rFonts w:eastAsia="Times New Roman" w:cstheme="minorHAnsi"/>
          <w:color w:val="000000"/>
          <w:sz w:val="24"/>
          <w:szCs w:val="24"/>
          <w:bdr w:val="none" w:sz="0" w:space="0" w:color="auto" w:frame="1"/>
          <w:lang w:val="en-US" w:eastAsia="en-PK"/>
        </w:rPr>
        <w:t>e.g.</w:t>
      </w:r>
      <w:proofErr w:type="gramEnd"/>
      <w:r>
        <w:rPr>
          <w:rFonts w:eastAsia="Times New Roman" w:cstheme="minorHAnsi"/>
          <w:color w:val="000000"/>
          <w:sz w:val="24"/>
          <w:szCs w:val="24"/>
          <w:bdr w:val="none" w:sz="0" w:space="0" w:color="auto" w:frame="1"/>
          <w:lang w:val="en-US" w:eastAsia="en-PK"/>
        </w:rPr>
        <w:t xml:space="preserve"> hotels).</w:t>
      </w:r>
    </w:p>
    <w:p w14:paraId="301C1885" w14:textId="77777777" w:rsidR="00C9101C" w:rsidRPr="00C9101C" w:rsidRDefault="00C9101C" w:rsidP="00C9101C">
      <w:pPr>
        <w:shd w:val="clear" w:color="auto" w:fill="FFFFFF"/>
        <w:spacing w:after="0" w:line="240" w:lineRule="auto"/>
        <w:textAlignment w:val="baseline"/>
        <w:rPr>
          <w:rFonts w:eastAsia="Times New Roman" w:cstheme="minorHAnsi"/>
          <w:color w:val="CA0000"/>
          <w:sz w:val="24"/>
          <w:szCs w:val="24"/>
          <w:lang w:val="en-US" w:eastAsia="en-PK"/>
        </w:rPr>
      </w:pPr>
    </w:p>
    <w:p w14:paraId="7369DD3D" w14:textId="40E57D02" w:rsidR="00C9101C" w:rsidRDefault="00C9101C" w:rsidP="00C9101C">
      <w:pPr>
        <w:shd w:val="clear" w:color="auto" w:fill="FFFFFF"/>
        <w:spacing w:after="0" w:line="240" w:lineRule="auto"/>
        <w:textAlignment w:val="baseline"/>
        <w:rPr>
          <w:rFonts w:eastAsia="Times New Roman" w:cstheme="minorHAnsi"/>
          <w:color w:val="000000"/>
          <w:sz w:val="24"/>
          <w:szCs w:val="24"/>
          <w:bdr w:val="none" w:sz="0" w:space="0" w:color="auto" w:frame="1"/>
          <w:lang w:eastAsia="en-PK"/>
        </w:rPr>
      </w:pPr>
      <w:r w:rsidRPr="00C9101C">
        <w:rPr>
          <w:rFonts w:eastAsia="Times New Roman" w:cstheme="minorHAnsi"/>
          <w:color w:val="000000"/>
          <w:sz w:val="24"/>
          <w:szCs w:val="24"/>
          <w:bdr w:val="none" w:sz="0" w:space="0" w:color="auto" w:frame="1"/>
          <w:lang w:eastAsia="en-PK"/>
        </w:rPr>
        <w:t>The residual value is at least equal to the carrying amount (maybe due to maintenance).</w:t>
      </w:r>
    </w:p>
    <w:p w14:paraId="3EF995A3" w14:textId="77777777" w:rsidR="00C9101C" w:rsidRPr="00C9101C" w:rsidRDefault="00C9101C" w:rsidP="00C9101C">
      <w:pPr>
        <w:shd w:val="clear" w:color="auto" w:fill="FFFFFF"/>
        <w:spacing w:after="0" w:line="240" w:lineRule="auto"/>
        <w:textAlignment w:val="baseline"/>
        <w:rPr>
          <w:rFonts w:eastAsia="Times New Roman" w:cstheme="minorHAnsi"/>
          <w:color w:val="CA0000"/>
          <w:sz w:val="24"/>
          <w:szCs w:val="24"/>
          <w:lang w:eastAsia="en-PK"/>
        </w:rPr>
      </w:pPr>
    </w:p>
    <w:p w14:paraId="3F595CF4" w14:textId="07EE54E0" w:rsidR="00C9101C" w:rsidRDefault="00C9101C" w:rsidP="00C9101C">
      <w:pPr>
        <w:shd w:val="clear" w:color="auto" w:fill="FFFFFF"/>
        <w:spacing w:after="0" w:line="240" w:lineRule="auto"/>
        <w:textAlignment w:val="baseline"/>
        <w:rPr>
          <w:rFonts w:eastAsia="Times New Roman" w:cstheme="minorHAnsi"/>
          <w:color w:val="000000"/>
          <w:sz w:val="24"/>
          <w:szCs w:val="24"/>
          <w:bdr w:val="none" w:sz="0" w:space="0" w:color="auto" w:frame="1"/>
          <w:lang w:eastAsia="en-PK"/>
        </w:rPr>
      </w:pPr>
      <w:r w:rsidRPr="00C9101C">
        <w:rPr>
          <w:rFonts w:eastAsia="Times New Roman" w:cstheme="minorHAnsi"/>
          <w:color w:val="000000"/>
          <w:sz w:val="24"/>
          <w:szCs w:val="24"/>
          <w:bdr w:val="none" w:sz="0" w:space="0" w:color="auto" w:frame="1"/>
          <w:lang w:eastAsia="en-PK"/>
        </w:rPr>
        <w:t>Assets have a very long, useful life such that depreciation is not material.</w:t>
      </w:r>
    </w:p>
    <w:p w14:paraId="5D3AD3DD" w14:textId="77777777" w:rsidR="00C9101C" w:rsidRPr="00C9101C" w:rsidRDefault="00C9101C" w:rsidP="00C9101C">
      <w:pPr>
        <w:shd w:val="clear" w:color="auto" w:fill="FFFFFF"/>
        <w:spacing w:after="0" w:line="240" w:lineRule="auto"/>
        <w:textAlignment w:val="baseline"/>
        <w:rPr>
          <w:rFonts w:eastAsia="Times New Roman" w:cstheme="minorHAnsi"/>
          <w:color w:val="CA0000"/>
          <w:sz w:val="24"/>
          <w:szCs w:val="24"/>
          <w:lang w:eastAsia="en-PK"/>
        </w:rPr>
      </w:pPr>
    </w:p>
    <w:p w14:paraId="3E37CDE6" w14:textId="31578EA0" w:rsidR="008C7B95" w:rsidRDefault="00C9101C" w:rsidP="00BC7506">
      <w:pPr>
        <w:shd w:val="clear" w:color="auto" w:fill="FFFFFF"/>
        <w:spacing w:after="0" w:line="240" w:lineRule="auto"/>
        <w:textAlignment w:val="baseline"/>
        <w:rPr>
          <w:rFonts w:eastAsia="Times New Roman" w:cstheme="minorHAnsi"/>
          <w:color w:val="CA0000"/>
          <w:sz w:val="24"/>
          <w:szCs w:val="24"/>
          <w:lang w:eastAsia="en-PK"/>
        </w:rPr>
      </w:pPr>
      <w:r w:rsidRPr="00C9101C">
        <w:rPr>
          <w:rFonts w:eastAsia="Times New Roman" w:cstheme="minorHAnsi"/>
          <w:color w:val="000000"/>
          <w:sz w:val="24"/>
          <w:szCs w:val="24"/>
          <w:bdr w:val="none" w:sz="0" w:space="0" w:color="auto" w:frame="1"/>
          <w:lang w:eastAsia="en-PK"/>
        </w:rPr>
        <w:t>Asset is not currently in use.</w:t>
      </w:r>
    </w:p>
    <w:p w14:paraId="07076612" w14:textId="77777777" w:rsidR="00BC7506" w:rsidRPr="00BC7506" w:rsidRDefault="00BC7506" w:rsidP="00BC7506">
      <w:pPr>
        <w:shd w:val="clear" w:color="auto" w:fill="FFFFFF"/>
        <w:spacing w:after="0" w:line="240" w:lineRule="auto"/>
        <w:textAlignment w:val="baseline"/>
        <w:rPr>
          <w:rFonts w:eastAsia="Times New Roman" w:cstheme="minorHAnsi"/>
          <w:color w:val="CA0000"/>
          <w:sz w:val="24"/>
          <w:szCs w:val="24"/>
          <w:lang w:eastAsia="en-PK"/>
        </w:rPr>
      </w:pPr>
    </w:p>
    <w:p w14:paraId="256488AF" w14:textId="1F225840" w:rsidR="00C9101C" w:rsidRDefault="00C9101C">
      <w:pPr>
        <w:rPr>
          <w:rFonts w:cstheme="minorHAnsi"/>
          <w:color w:val="000000"/>
          <w:shd w:val="clear" w:color="auto" w:fill="FFFFFF"/>
          <w:lang w:val="en-US"/>
        </w:rPr>
      </w:pPr>
      <w:r w:rsidRPr="008E3759">
        <w:rPr>
          <w:rFonts w:cstheme="minorHAnsi"/>
          <w:color w:val="000000"/>
          <w:shd w:val="clear" w:color="auto" w:fill="FFFFFF"/>
        </w:rPr>
        <w:t>Most assets have a negligible residual value but some assets, such as buildings, may have a residual value that exceeds carrying amount; depreciation will then be zero until the residual value falls below the carrying amount</w:t>
      </w:r>
      <w:r w:rsidRPr="008E3759">
        <w:rPr>
          <w:rFonts w:cstheme="minorHAnsi"/>
          <w:color w:val="000000"/>
          <w:shd w:val="clear" w:color="auto" w:fill="FFFFFF"/>
          <w:lang w:val="en-US"/>
        </w:rPr>
        <w:t>.</w:t>
      </w:r>
    </w:p>
    <w:p w14:paraId="7A18E6AD" w14:textId="17D9CB99" w:rsidR="00DE747F" w:rsidRDefault="00DE747F" w:rsidP="00DE747F">
      <w:pPr>
        <w:rPr>
          <w:b/>
          <w:bCs/>
          <w:sz w:val="24"/>
          <w:szCs w:val="24"/>
          <w:u w:val="single"/>
          <w:lang w:val="en-US"/>
        </w:rPr>
      </w:pPr>
      <w:r w:rsidRPr="008C7B95">
        <w:rPr>
          <w:b/>
          <w:bCs/>
          <w:sz w:val="24"/>
          <w:szCs w:val="24"/>
          <w:u w:val="single"/>
          <w:lang w:val="en-US"/>
        </w:rPr>
        <w:t>IAS-</w:t>
      </w:r>
      <w:r>
        <w:rPr>
          <w:b/>
          <w:bCs/>
          <w:sz w:val="24"/>
          <w:szCs w:val="24"/>
          <w:u w:val="single"/>
          <w:lang w:val="en-US"/>
        </w:rPr>
        <w:t>36</w:t>
      </w:r>
      <w:r w:rsidRPr="008C7B95">
        <w:rPr>
          <w:b/>
          <w:bCs/>
          <w:sz w:val="24"/>
          <w:szCs w:val="24"/>
          <w:u w:val="single"/>
          <w:lang w:val="en-US"/>
        </w:rPr>
        <w:t>:</w:t>
      </w:r>
    </w:p>
    <w:p w14:paraId="19647B56" w14:textId="576AB104" w:rsidR="00DE747F" w:rsidRDefault="00DE747F" w:rsidP="00DE747F">
      <w:pPr>
        <w:rPr>
          <w:rFonts w:cstheme="minorHAnsi"/>
          <w:color w:val="000000"/>
          <w:shd w:val="clear" w:color="auto" w:fill="FFFFFF"/>
        </w:rPr>
      </w:pPr>
      <w:r w:rsidRPr="00DE747F">
        <w:rPr>
          <w:rFonts w:cstheme="minorHAnsi"/>
          <w:color w:val="000000"/>
          <w:shd w:val="clear" w:color="auto" w:fill="FFFFFF"/>
        </w:rPr>
        <w:t>You should be prepared to see IAS 36 examined in a scenario alongside at least one other IFRS Accounting Standard. Commonly, this may be IAS 16 </w:t>
      </w:r>
      <w:r w:rsidRPr="00DE747F">
        <w:rPr>
          <w:rStyle w:val="Emphasis"/>
          <w:rFonts w:cstheme="minorHAnsi"/>
          <w:color w:val="000000"/>
          <w:bdr w:val="none" w:sz="0" w:space="0" w:color="auto" w:frame="1"/>
          <w:shd w:val="clear" w:color="auto" w:fill="FFFFFF"/>
        </w:rPr>
        <w:t>Property, Plant and Equipment</w:t>
      </w:r>
      <w:r w:rsidRPr="00DE747F">
        <w:rPr>
          <w:rFonts w:cstheme="minorHAnsi"/>
          <w:color w:val="000000"/>
          <w:shd w:val="clear" w:color="auto" w:fill="FFFFFF"/>
        </w:rPr>
        <w:t>, IAS 38 </w:t>
      </w:r>
      <w:r w:rsidRPr="00DE747F">
        <w:rPr>
          <w:rStyle w:val="Emphasis"/>
          <w:rFonts w:cstheme="minorHAnsi"/>
          <w:color w:val="000000"/>
          <w:bdr w:val="none" w:sz="0" w:space="0" w:color="auto" w:frame="1"/>
          <w:shd w:val="clear" w:color="auto" w:fill="FFFFFF"/>
        </w:rPr>
        <w:t>Intangible Assets</w:t>
      </w:r>
      <w:r w:rsidRPr="00DE747F">
        <w:rPr>
          <w:rFonts w:cstheme="minorHAnsi"/>
          <w:color w:val="000000"/>
          <w:shd w:val="clear" w:color="auto" w:fill="FFFFFF"/>
        </w:rPr>
        <w:t>, IAS 40 </w:t>
      </w:r>
      <w:r w:rsidRPr="00DE747F">
        <w:rPr>
          <w:rStyle w:val="Emphasis"/>
          <w:rFonts w:cstheme="minorHAnsi"/>
          <w:color w:val="000000"/>
          <w:bdr w:val="none" w:sz="0" w:space="0" w:color="auto" w:frame="1"/>
          <w:shd w:val="clear" w:color="auto" w:fill="FFFFFF"/>
        </w:rPr>
        <w:t>Investment Property</w:t>
      </w:r>
      <w:r w:rsidRPr="00DE747F">
        <w:rPr>
          <w:rFonts w:cstheme="minorHAnsi"/>
          <w:color w:val="000000"/>
          <w:shd w:val="clear" w:color="auto" w:fill="FFFFFF"/>
        </w:rPr>
        <w:t>, IFRS 16 </w:t>
      </w:r>
      <w:r w:rsidRPr="00DE747F">
        <w:rPr>
          <w:rStyle w:val="Emphasis"/>
          <w:rFonts w:cstheme="minorHAnsi"/>
          <w:color w:val="000000"/>
          <w:bdr w:val="none" w:sz="0" w:space="0" w:color="auto" w:frame="1"/>
          <w:shd w:val="clear" w:color="auto" w:fill="FFFFFF"/>
        </w:rPr>
        <w:t>Leases</w:t>
      </w:r>
      <w:r w:rsidRPr="00DE747F">
        <w:rPr>
          <w:rFonts w:cstheme="minorHAnsi"/>
          <w:color w:val="000000"/>
          <w:shd w:val="clear" w:color="auto" w:fill="FFFFFF"/>
        </w:rPr>
        <w:t xml:space="preserve"> or within a consolidation scenario.</w:t>
      </w:r>
    </w:p>
    <w:p w14:paraId="3315D26D" w14:textId="1ADBD675" w:rsidR="00DE747F" w:rsidRDefault="008C1107" w:rsidP="00DE747F">
      <w:pPr>
        <w:rPr>
          <w:rFonts w:cstheme="minorHAnsi"/>
          <w:color w:val="000000"/>
          <w:shd w:val="clear" w:color="auto" w:fill="FFFFFF"/>
        </w:rPr>
      </w:pPr>
      <w:r w:rsidRPr="008C1107">
        <w:rPr>
          <w:rFonts w:cstheme="minorHAnsi"/>
          <w:color w:val="000000"/>
          <w:shd w:val="clear" w:color="auto" w:fill="FFFFFF"/>
        </w:rPr>
        <w:t>Where there is an indication that an asset may be impaired, this may indicate that the remaining useful life, the depreciation (amortisation) method or the residual value for the asset needs to be reviewed and adjusted, even if no impairment loss is recognised for the asset.</w:t>
      </w:r>
    </w:p>
    <w:p w14:paraId="7CBFDBD2" w14:textId="77777777" w:rsidR="00171D65" w:rsidRPr="00171D65" w:rsidRDefault="00171D65" w:rsidP="00171D65">
      <w:pPr>
        <w:pStyle w:val="NormalWeb"/>
        <w:shd w:val="clear" w:color="auto" w:fill="FFFFFF"/>
        <w:spacing w:before="0" w:beforeAutospacing="0" w:after="150" w:afterAutospacing="0"/>
        <w:textAlignment w:val="baseline"/>
        <w:rPr>
          <w:rFonts w:asciiTheme="minorHAnsi" w:hAnsiTheme="minorHAnsi" w:cstheme="minorHAnsi"/>
          <w:color w:val="000000"/>
          <w:sz w:val="22"/>
          <w:szCs w:val="22"/>
        </w:rPr>
      </w:pPr>
      <w:r w:rsidRPr="00171D65">
        <w:rPr>
          <w:rFonts w:asciiTheme="minorHAnsi" w:hAnsiTheme="minorHAnsi" w:cstheme="minorHAnsi"/>
          <w:color w:val="000000"/>
          <w:sz w:val="22"/>
          <w:szCs w:val="22"/>
        </w:rPr>
        <w:t>If there is no reason to believe that the asset's value in use materially exceeds its fair value less cost of disposal, the asset's recoverable amount is its fair value less costs of disposal.</w:t>
      </w:r>
    </w:p>
    <w:p w14:paraId="6760F5F5" w14:textId="77777777" w:rsidR="00171D65" w:rsidRPr="00171D65" w:rsidRDefault="00171D65" w:rsidP="00171D65">
      <w:pPr>
        <w:pStyle w:val="NormalWeb"/>
        <w:shd w:val="clear" w:color="auto" w:fill="FFFFFF"/>
        <w:spacing w:before="0" w:beforeAutospacing="0" w:after="150" w:afterAutospacing="0"/>
        <w:textAlignment w:val="baseline"/>
        <w:rPr>
          <w:rFonts w:asciiTheme="minorHAnsi" w:hAnsiTheme="minorHAnsi" w:cstheme="minorHAnsi"/>
          <w:color w:val="000000"/>
          <w:sz w:val="22"/>
          <w:szCs w:val="22"/>
        </w:rPr>
      </w:pPr>
      <w:r w:rsidRPr="00171D65">
        <w:rPr>
          <w:rFonts w:asciiTheme="minorHAnsi" w:hAnsiTheme="minorHAnsi" w:cstheme="minorHAnsi"/>
          <w:color w:val="000000"/>
          <w:sz w:val="22"/>
          <w:szCs w:val="22"/>
        </w:rPr>
        <w:t>When an asset is held for imminent disposal, value in use is essentially the sale proceeds as cash flows from continuing use are likely to be negligible.</w:t>
      </w:r>
    </w:p>
    <w:p w14:paraId="7EBF19D2" w14:textId="379B1379" w:rsidR="008C1107" w:rsidRDefault="00171D65" w:rsidP="00DE747F">
      <w:pPr>
        <w:rPr>
          <w:rFonts w:cstheme="minorHAnsi"/>
          <w:color w:val="000000"/>
          <w:shd w:val="clear" w:color="auto" w:fill="FFFFFF"/>
          <w:lang w:val="en-US"/>
        </w:rPr>
      </w:pPr>
      <w:r w:rsidRPr="00171D65">
        <w:rPr>
          <w:rFonts w:cstheme="minorHAnsi"/>
          <w:color w:val="000000"/>
          <w:shd w:val="clear" w:color="auto" w:fill="FFFFFF"/>
        </w:rPr>
        <w:t>The professional valuer's fee is not included in the calculation as it is not a directly attributable cost of selling the asset.</w:t>
      </w:r>
      <w:r w:rsidRPr="00171D65">
        <w:rPr>
          <w:rFonts w:cstheme="minorHAnsi"/>
          <w:color w:val="000000"/>
          <w:shd w:val="clear" w:color="auto" w:fill="FFFFFF"/>
          <w:lang w:val="en-US"/>
        </w:rPr>
        <w:t xml:space="preserve"> In FV-CTS calculation</w:t>
      </w:r>
    </w:p>
    <w:p w14:paraId="1191929E" w14:textId="77777777" w:rsidR="00171D65" w:rsidRPr="00171D65" w:rsidRDefault="00171D65" w:rsidP="00171D65">
      <w:pPr>
        <w:shd w:val="clear" w:color="auto" w:fill="FFFFFF"/>
        <w:spacing w:after="150" w:line="240" w:lineRule="auto"/>
        <w:textAlignment w:val="baseline"/>
        <w:rPr>
          <w:rFonts w:eastAsia="Times New Roman" w:cstheme="minorHAnsi"/>
          <w:color w:val="000000"/>
          <w:lang w:eastAsia="en-PK"/>
        </w:rPr>
      </w:pPr>
      <w:r w:rsidRPr="00171D65">
        <w:rPr>
          <w:rFonts w:eastAsia="Times New Roman" w:cstheme="minorHAnsi"/>
          <w:color w:val="000000"/>
          <w:lang w:eastAsia="en-PK"/>
        </w:rPr>
        <w:t>Fair value differs from value in use. For example, fair value would not reflect the following factors that are not generally available to market participants:</w:t>
      </w:r>
    </w:p>
    <w:p w14:paraId="18B273DE" w14:textId="77777777" w:rsidR="00171D65" w:rsidRPr="00171D65" w:rsidRDefault="00171D65" w:rsidP="00171D65">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additional value derived from the grouping of assets;</w:t>
      </w:r>
    </w:p>
    <w:p w14:paraId="1113D588" w14:textId="77777777" w:rsidR="00171D65" w:rsidRPr="00171D65" w:rsidRDefault="00171D65" w:rsidP="00171D65">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synergies between the asset being measured and other assets;</w:t>
      </w:r>
    </w:p>
    <w:p w14:paraId="40F379A1" w14:textId="77777777" w:rsidR="00171D65" w:rsidRPr="00171D65" w:rsidRDefault="00171D65" w:rsidP="00171D65">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legal rights or restrictions that are specific to the current owner of the asset; and</w:t>
      </w:r>
    </w:p>
    <w:p w14:paraId="5346DD7A" w14:textId="6C765960" w:rsidR="00171D65" w:rsidRDefault="00171D65" w:rsidP="00DE747F">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tax benefits or burdens that is specific to the current owner of the asset.</w:t>
      </w:r>
    </w:p>
    <w:p w14:paraId="134FA366" w14:textId="77777777" w:rsidR="00BC7506" w:rsidRPr="00BC7506" w:rsidRDefault="00BC7506" w:rsidP="00626991">
      <w:pPr>
        <w:shd w:val="clear" w:color="auto" w:fill="FFFFFF"/>
        <w:spacing w:after="0" w:line="240" w:lineRule="auto"/>
        <w:ind w:left="1080"/>
        <w:textAlignment w:val="baseline"/>
        <w:rPr>
          <w:rFonts w:eastAsia="Times New Roman" w:cstheme="minorHAnsi"/>
          <w:color w:val="CA0000"/>
          <w:lang w:eastAsia="en-PK"/>
        </w:rPr>
      </w:pPr>
    </w:p>
    <w:p w14:paraId="2D0D1D0F" w14:textId="77777777" w:rsidR="00BC7506" w:rsidRPr="00BC7506" w:rsidRDefault="00BC7506" w:rsidP="00BC7506">
      <w:pPr>
        <w:shd w:val="clear" w:color="auto" w:fill="FFFFFF"/>
        <w:spacing w:after="150" w:line="240" w:lineRule="auto"/>
        <w:textAlignment w:val="baseline"/>
        <w:rPr>
          <w:rFonts w:eastAsia="Times New Roman" w:cstheme="minorHAnsi"/>
          <w:color w:val="000000"/>
          <w:lang w:eastAsia="en-PK"/>
        </w:rPr>
      </w:pPr>
      <w:r w:rsidRPr="00BC7506">
        <w:rPr>
          <w:rFonts w:eastAsia="Times New Roman" w:cstheme="minorHAnsi"/>
          <w:color w:val="000000"/>
          <w:lang w:eastAsia="en-PK"/>
        </w:rPr>
        <w:t>The carrying amount of a CGU should be measured on a consistent basis with recoverable amount; both should include the same assets.</w:t>
      </w:r>
    </w:p>
    <w:p w14:paraId="6B209DF1" w14:textId="77777777" w:rsidR="00BC7506" w:rsidRPr="00BC7506" w:rsidRDefault="00BC7506" w:rsidP="00BC7506">
      <w:pPr>
        <w:shd w:val="clear" w:color="auto" w:fill="FFFFFF"/>
        <w:spacing w:after="150" w:line="240" w:lineRule="auto"/>
        <w:textAlignment w:val="baseline"/>
        <w:rPr>
          <w:rFonts w:eastAsia="Times New Roman" w:cstheme="minorHAnsi"/>
          <w:color w:val="000000"/>
          <w:lang w:eastAsia="en-PK"/>
        </w:rPr>
      </w:pPr>
      <w:r w:rsidRPr="00BC7506">
        <w:rPr>
          <w:rFonts w:eastAsia="Times New Roman" w:cstheme="minorHAnsi"/>
          <w:color w:val="000000"/>
          <w:lang w:eastAsia="en-PK"/>
        </w:rPr>
        <w:t>Benefits associated with certain assets may be reflected in the recoverable amount of a CGU when the asset itself is held at a group or company level and shared between several CGUs (</w:t>
      </w:r>
      <w:proofErr w:type="gramStart"/>
      <w:r w:rsidRPr="00BC7506">
        <w:rPr>
          <w:rFonts w:eastAsia="Times New Roman" w:cstheme="minorHAnsi"/>
          <w:color w:val="000000"/>
          <w:lang w:eastAsia="en-PK"/>
        </w:rPr>
        <w:t>e.g.</w:t>
      </w:r>
      <w:proofErr w:type="gramEnd"/>
      <w:r w:rsidRPr="00BC7506">
        <w:rPr>
          <w:rFonts w:eastAsia="Times New Roman" w:cstheme="minorHAnsi"/>
          <w:color w:val="000000"/>
          <w:lang w:eastAsia="en-PK"/>
        </w:rPr>
        <w:t xml:space="preserve"> a shared item of plant). In this case the carrying amount of the CGU must be adjusted to include an allocation of the shared asset for the purpose of impairment testing.</w:t>
      </w:r>
    </w:p>
    <w:p w14:paraId="547FED8E" w14:textId="26F97492" w:rsidR="008C1107" w:rsidRPr="00BC7506" w:rsidRDefault="00BC7506" w:rsidP="00DE747F">
      <w:pPr>
        <w:rPr>
          <w:rFonts w:cstheme="minorHAnsi"/>
          <w:color w:val="000000"/>
          <w:shd w:val="clear" w:color="auto" w:fill="FFFFFF"/>
        </w:rPr>
      </w:pPr>
      <w:r w:rsidRPr="00BC7506">
        <w:rPr>
          <w:rFonts w:cstheme="minorHAnsi"/>
          <w:color w:val="000000"/>
          <w:shd w:val="clear" w:color="auto" w:fill="FFFFFF"/>
        </w:rPr>
        <w:t>Liabilities are included in fair value less costs of disposal (and so in value in use and carrying amount) of a CGU where a prospective purchaser would be required to assume the liabilities.</w:t>
      </w:r>
    </w:p>
    <w:p w14:paraId="60F447DC" w14:textId="77777777" w:rsidR="00DE747F" w:rsidRPr="00DE747F" w:rsidRDefault="00DE747F" w:rsidP="00DE747F">
      <w:pPr>
        <w:rPr>
          <w:rFonts w:cstheme="minorHAnsi"/>
          <w:b/>
          <w:bCs/>
          <w:sz w:val="24"/>
          <w:szCs w:val="24"/>
          <w:u w:val="single"/>
          <w:lang w:val="en-US"/>
        </w:rPr>
      </w:pPr>
    </w:p>
    <w:p w14:paraId="4095AA2C"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lastRenderedPageBreak/>
        <w:t>An impairment loss is recognised as an expense in profit or loss immediately, unless the asset is carried at revalued amount under another IFRS Accounting Standard.</w:t>
      </w:r>
    </w:p>
    <w:p w14:paraId="48AE303A"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t>Any impairment loss of a revalued asset should be treated as a revaluation decrease under that other IFRS Accounting Standard.</w:t>
      </w:r>
    </w:p>
    <w:p w14:paraId="5D7CFD88"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t>An impairment loss of a revalued asset will usually mean:</w:t>
      </w:r>
    </w:p>
    <w:p w14:paraId="1F1729CB" w14:textId="77777777" w:rsidR="000F0BC2" w:rsidRPr="000F0BC2" w:rsidRDefault="000F0BC2" w:rsidP="000F0BC2">
      <w:pPr>
        <w:numPr>
          <w:ilvl w:val="0"/>
          <w:numId w:val="4"/>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A charge in OCI against the revaluation surplus (to the extent that the loss is covered by the surplus);</w:t>
      </w:r>
    </w:p>
    <w:p w14:paraId="0FA4D733" w14:textId="3B1A01E9" w:rsidR="000F0BC2" w:rsidRDefault="000F0BC2" w:rsidP="000F0BC2">
      <w:pPr>
        <w:numPr>
          <w:ilvl w:val="0"/>
          <w:numId w:val="4"/>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Any amount not so covered is then recognised as an operating expense in the statement of profit or loss.</w:t>
      </w:r>
    </w:p>
    <w:p w14:paraId="3485CF8B" w14:textId="0C77C76A" w:rsidR="000F0BC2" w:rsidRDefault="000F0BC2" w:rsidP="000F0BC2">
      <w:pPr>
        <w:shd w:val="clear" w:color="auto" w:fill="FFFFFF"/>
        <w:spacing w:after="0" w:line="240" w:lineRule="auto"/>
        <w:textAlignment w:val="baseline"/>
        <w:rPr>
          <w:rFonts w:eastAsia="Times New Roman" w:cstheme="minorHAnsi"/>
          <w:color w:val="CA0000"/>
          <w:lang w:eastAsia="en-PK"/>
        </w:rPr>
      </w:pPr>
    </w:p>
    <w:p w14:paraId="66DEF1BD"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t>In allocating an impairment loss the carrying amount of an asset should not be reduced below the highest of:</w:t>
      </w:r>
    </w:p>
    <w:p w14:paraId="11ECD633" w14:textId="77777777" w:rsidR="000F0BC2" w:rsidRPr="000F0BC2" w:rsidRDefault="000F0BC2" w:rsidP="000F0BC2">
      <w:pPr>
        <w:numPr>
          <w:ilvl w:val="0"/>
          <w:numId w:val="5"/>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its fair value less costs of disposal (if measurable);</w:t>
      </w:r>
    </w:p>
    <w:p w14:paraId="45E223A4" w14:textId="77777777" w:rsidR="000F0BC2" w:rsidRPr="000F0BC2" w:rsidRDefault="000F0BC2" w:rsidP="000F0BC2">
      <w:pPr>
        <w:numPr>
          <w:ilvl w:val="0"/>
          <w:numId w:val="5"/>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its value in use (if determinable); and</w:t>
      </w:r>
    </w:p>
    <w:p w14:paraId="0F7E1E80" w14:textId="77777777" w:rsidR="000F0BC2" w:rsidRPr="000F0BC2" w:rsidRDefault="000F0BC2" w:rsidP="000F0BC2">
      <w:pPr>
        <w:numPr>
          <w:ilvl w:val="0"/>
          <w:numId w:val="5"/>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zero.</w:t>
      </w:r>
    </w:p>
    <w:p w14:paraId="6A29DEA9" w14:textId="77777777" w:rsidR="000F0BC2" w:rsidRPr="000F0BC2" w:rsidRDefault="000F0BC2" w:rsidP="000F0BC2">
      <w:pPr>
        <w:shd w:val="clear" w:color="auto" w:fill="FFFFFF"/>
        <w:spacing w:after="0" w:line="240" w:lineRule="auto"/>
        <w:textAlignment w:val="baseline"/>
        <w:rPr>
          <w:rFonts w:eastAsia="Times New Roman" w:cstheme="minorHAnsi"/>
          <w:color w:val="CA0000"/>
          <w:lang w:eastAsia="en-PK"/>
        </w:rPr>
      </w:pPr>
    </w:p>
    <w:p w14:paraId="4DF51973" w14:textId="77777777" w:rsidR="001D1B64" w:rsidRDefault="001D1B64" w:rsidP="001D1B64">
      <w:pPr>
        <w:rPr>
          <w:rFonts w:cstheme="minorHAnsi"/>
          <w:color w:val="000000"/>
          <w:shd w:val="clear" w:color="auto" w:fill="FFFFFF"/>
        </w:rPr>
      </w:pPr>
      <w:r w:rsidRPr="001D1B64">
        <w:rPr>
          <w:rFonts w:cstheme="minorHAnsi"/>
          <w:color w:val="000000"/>
          <w:shd w:val="clear" w:color="auto" w:fill="FFFFFF"/>
        </w:rPr>
        <w:t>The amount of the impairment loss which would otherwise have been allocated to the asset should be allocated to the other assets of the unit on a pro rata basis.</w:t>
      </w:r>
    </w:p>
    <w:p w14:paraId="4B0AD623" w14:textId="1B274E57" w:rsidR="001D1B64" w:rsidRPr="00953F04" w:rsidRDefault="001D1B64" w:rsidP="001D1B64">
      <w:pPr>
        <w:rPr>
          <w:rFonts w:cstheme="minorHAnsi"/>
          <w:b/>
          <w:bCs/>
          <w:color w:val="000000"/>
          <w:shd w:val="clear" w:color="auto" w:fill="FFFFFF"/>
          <w:lang w:val="en-US"/>
        </w:rPr>
      </w:pPr>
      <w:r w:rsidRPr="00953F04">
        <w:rPr>
          <w:rFonts w:cstheme="minorHAnsi"/>
          <w:b/>
          <w:bCs/>
          <w:color w:val="CA0000"/>
        </w:rPr>
        <w:t>Activity 1 Impairment Loss – Part 1</w:t>
      </w:r>
    </w:p>
    <w:p w14:paraId="79C5E623" w14:textId="77777777" w:rsidR="001D1B64" w:rsidRPr="001D1B64" w:rsidRDefault="001D1B64" w:rsidP="001D1B64">
      <w:pPr>
        <w:pStyle w:val="NormalWeb"/>
        <w:spacing w:before="0" w:beforeAutospacing="0" w:after="15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At 1 January, Aldan Co paid $600,000 to gain control of an unincorporated business whose main activity consists of refuse collection. The acquired business has since been identified as a CGU of Aldan Co. It owns four refuse collection vehicles and a local government licence, without which it could not operate. At 1 January, the fair value of each lorry and of the licence was $100,000. On 1 February, one lorry crashed and is a write-off. Aldan Co has not yet included the acquired lorries in its insurance cover. Because of its reduced capacity, Aldan Co estimates the recoverable amount of the acquired business at $450,000.</w:t>
      </w:r>
    </w:p>
    <w:p w14:paraId="74B8E1C5" w14:textId="3D633212" w:rsidR="001D1B64" w:rsidRPr="001D1B64" w:rsidRDefault="001D1B64" w:rsidP="001D1B64">
      <w:pPr>
        <w:pStyle w:val="NormalWeb"/>
        <w:spacing w:before="0" w:beforeAutospacing="0" w:after="0" w:afterAutospacing="0"/>
        <w:textAlignment w:val="baseline"/>
        <w:rPr>
          <w:rFonts w:asciiTheme="minorHAnsi" w:hAnsiTheme="minorHAnsi" w:cstheme="minorHAnsi"/>
          <w:color w:val="000000"/>
          <w:sz w:val="22"/>
          <w:szCs w:val="22"/>
        </w:rPr>
      </w:pPr>
      <w:r w:rsidRPr="001D1B64">
        <w:rPr>
          <w:rStyle w:val="acca-red"/>
          <w:rFonts w:asciiTheme="minorHAnsi" w:eastAsiaTheme="majorEastAsia" w:hAnsiTheme="minorHAnsi" w:cstheme="minorHAnsi"/>
          <w:b/>
          <w:bCs/>
          <w:color w:val="000000"/>
          <w:sz w:val="22"/>
          <w:szCs w:val="22"/>
          <w:bdr w:val="none" w:sz="0" w:space="0" w:color="auto" w:frame="1"/>
        </w:rPr>
        <w:t>Required</w:t>
      </w:r>
    </w:p>
    <w:p w14:paraId="73BA464A" w14:textId="77777777" w:rsidR="001D1B64" w:rsidRPr="001D1B64" w:rsidRDefault="001D1B64" w:rsidP="001D1B64">
      <w:pPr>
        <w:pStyle w:val="NormalWeb"/>
        <w:spacing w:before="0" w:beforeAutospacing="0" w:after="0" w:afterAutospacing="0"/>
        <w:textAlignment w:val="baseline"/>
        <w:rPr>
          <w:rFonts w:asciiTheme="minorHAnsi" w:hAnsiTheme="minorHAnsi" w:cstheme="minorHAnsi"/>
          <w:color w:val="000000"/>
          <w:sz w:val="22"/>
          <w:szCs w:val="22"/>
        </w:rPr>
      </w:pPr>
      <w:r w:rsidRPr="001D1B64">
        <w:rPr>
          <w:rStyle w:val="Strong"/>
          <w:rFonts w:asciiTheme="minorHAnsi" w:hAnsiTheme="minorHAnsi" w:cstheme="minorHAnsi"/>
          <w:color w:val="000000"/>
          <w:sz w:val="22"/>
          <w:szCs w:val="22"/>
          <w:bdr w:val="none" w:sz="0" w:space="0" w:color="auto" w:frame="1"/>
        </w:rPr>
        <w:t>Discuss how Aldan should apply the requirements of IAS 36 to the business.</w:t>
      </w:r>
    </w:p>
    <w:p w14:paraId="4C276B4F" w14:textId="03585324" w:rsidR="001D1B64" w:rsidRPr="001D1B64" w:rsidRDefault="001D1B64" w:rsidP="001D1B64">
      <w:pPr>
        <w:pStyle w:val="NormalWeb"/>
        <w:spacing w:before="0" w:beforeAutospacing="0" w:after="0" w:afterAutospacing="0"/>
        <w:textAlignment w:val="baseline"/>
        <w:rPr>
          <w:rFonts w:asciiTheme="minorHAnsi" w:hAnsiTheme="minorHAnsi" w:cstheme="minorHAnsi"/>
          <w:color w:val="000000"/>
          <w:sz w:val="22"/>
          <w:szCs w:val="22"/>
        </w:rPr>
      </w:pPr>
    </w:p>
    <w:p w14:paraId="1F4C9B3B" w14:textId="77777777" w:rsidR="001D1B64" w:rsidRPr="001D1B64"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 xml:space="preserve">Aldan acquired the business on 1 January and should apply IFRS 3 Business Combinations to the acquisition. As a </w:t>
      </w:r>
      <w:proofErr w:type="gramStart"/>
      <w:r w:rsidRPr="001D1B64">
        <w:rPr>
          <w:rFonts w:asciiTheme="minorHAnsi" w:hAnsiTheme="minorHAnsi" w:cstheme="minorHAnsi"/>
          <w:color w:val="000000"/>
          <w:sz w:val="22"/>
          <w:szCs w:val="22"/>
        </w:rPr>
        <w:t>result</w:t>
      </w:r>
      <w:proofErr w:type="gramEnd"/>
      <w:r w:rsidRPr="001D1B64">
        <w:rPr>
          <w:rFonts w:asciiTheme="minorHAnsi" w:hAnsiTheme="minorHAnsi" w:cstheme="minorHAnsi"/>
          <w:color w:val="000000"/>
          <w:sz w:val="22"/>
          <w:szCs w:val="22"/>
        </w:rPr>
        <w:t xml:space="preserve"> the four lorries and the licence are each initially recognised in Aldan’s financial statements at their fair values of $100,000. The consideration of $600,000 exceeds the fair value of assets acquired of $500,000 by $100,000, and this amount is recognised by Aldan as goodwill.</w:t>
      </w:r>
    </w:p>
    <w:p w14:paraId="58EBDEA1" w14:textId="77777777" w:rsidR="001D1B64" w:rsidRPr="001D1B64"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 xml:space="preserve">The crash a month after the acquisition of the business is an indicator that one lorry is impaired. The lorry is a write off and its recoverable amount is nil. </w:t>
      </w:r>
      <w:proofErr w:type="gramStart"/>
      <w:r w:rsidRPr="001D1B64">
        <w:rPr>
          <w:rFonts w:asciiTheme="minorHAnsi" w:hAnsiTheme="minorHAnsi" w:cstheme="minorHAnsi"/>
          <w:color w:val="000000"/>
          <w:sz w:val="22"/>
          <w:szCs w:val="22"/>
        </w:rPr>
        <w:t>Therefore</w:t>
      </w:r>
      <w:proofErr w:type="gramEnd"/>
      <w:r w:rsidRPr="001D1B64">
        <w:rPr>
          <w:rFonts w:asciiTheme="minorHAnsi" w:hAnsiTheme="minorHAnsi" w:cstheme="minorHAnsi"/>
          <w:color w:val="000000"/>
          <w:sz w:val="22"/>
          <w:szCs w:val="22"/>
        </w:rPr>
        <w:t xml:space="preserve"> assuming that depreciation since acquisition is negligible, an impairment loss of $100,000 is recognised in profit or loss.</w:t>
      </w:r>
    </w:p>
    <w:tbl>
      <w:tblPr>
        <w:tblpPr w:leftFromText="180" w:rightFromText="180" w:vertAnchor="text" w:horzAnchor="margin" w:tblpXSpec="center" w:tblpY="2011"/>
        <w:tblW w:w="7493" w:type="dxa"/>
        <w:tblCellMar>
          <w:left w:w="0" w:type="dxa"/>
          <w:right w:w="0" w:type="dxa"/>
        </w:tblCellMar>
        <w:tblLook w:val="04A0" w:firstRow="1" w:lastRow="0" w:firstColumn="1" w:lastColumn="0" w:noHBand="0" w:noVBand="1"/>
      </w:tblPr>
      <w:tblGrid>
        <w:gridCol w:w="2105"/>
        <w:gridCol w:w="1498"/>
        <w:gridCol w:w="2278"/>
        <w:gridCol w:w="1612"/>
      </w:tblGrid>
      <w:tr w:rsidR="001D1B64" w:rsidRPr="001D1B64" w14:paraId="0AC142BC" w14:textId="77777777" w:rsidTr="001D1B64">
        <w:trPr>
          <w:trHeight w:val="342"/>
        </w:trPr>
        <w:tc>
          <w:tcPr>
            <w:tcW w:w="0" w:type="auto"/>
            <w:tcBorders>
              <w:top w:val="nil"/>
              <w:left w:val="nil"/>
              <w:bottom w:val="nil"/>
              <w:right w:val="nil"/>
            </w:tcBorders>
            <w:tcMar>
              <w:top w:w="0" w:type="dxa"/>
              <w:left w:w="120" w:type="dxa"/>
              <w:bottom w:w="0" w:type="dxa"/>
              <w:right w:w="120" w:type="dxa"/>
            </w:tcMar>
            <w:vAlign w:val="bottom"/>
            <w:hideMark/>
          </w:tcPr>
          <w:p w14:paraId="699FC1A3" w14:textId="77777777" w:rsidR="001D1B64" w:rsidRPr="001D1B64" w:rsidRDefault="001D1B64" w:rsidP="001D1B64">
            <w:pPr>
              <w:rPr>
                <w:rFonts w:ascii="Arial" w:hAnsi="Arial" w:cs="Arial"/>
                <w:color w:val="000000"/>
              </w:rPr>
            </w:pPr>
            <w:r w:rsidRPr="001D1B64">
              <w:rPr>
                <w:rFonts w:ascii="Arial" w:hAnsi="Arial" w:cs="Arial"/>
                <w:color w:val="000000"/>
              </w:rPr>
              <w:t>$000</w:t>
            </w:r>
          </w:p>
        </w:tc>
        <w:tc>
          <w:tcPr>
            <w:tcW w:w="0" w:type="auto"/>
            <w:tcBorders>
              <w:top w:val="nil"/>
              <w:left w:val="nil"/>
              <w:bottom w:val="nil"/>
              <w:right w:val="nil"/>
            </w:tcBorders>
            <w:tcMar>
              <w:top w:w="0" w:type="dxa"/>
              <w:left w:w="120" w:type="dxa"/>
              <w:bottom w:w="60" w:type="dxa"/>
              <w:right w:w="120" w:type="dxa"/>
            </w:tcMar>
            <w:vAlign w:val="bottom"/>
            <w:hideMark/>
          </w:tcPr>
          <w:p w14:paraId="30D46B06" w14:textId="77777777" w:rsidR="001D1B64" w:rsidRPr="001D1B64" w:rsidRDefault="001D1B64" w:rsidP="001D1B64">
            <w:pPr>
              <w:jc w:val="right"/>
              <w:rPr>
                <w:rFonts w:ascii="Arial" w:hAnsi="Arial" w:cs="Arial"/>
                <w:color w:val="000000"/>
              </w:rPr>
            </w:pPr>
            <w:r w:rsidRPr="001D1B64">
              <w:rPr>
                <w:rStyle w:val="Strong"/>
                <w:rFonts w:ascii="Arial" w:hAnsi="Arial" w:cs="Arial"/>
                <w:color w:val="000000"/>
                <w:bdr w:val="none" w:sz="0" w:space="0" w:color="auto" w:frame="1"/>
              </w:rPr>
              <w:t>1 January</w:t>
            </w:r>
          </w:p>
        </w:tc>
        <w:tc>
          <w:tcPr>
            <w:tcW w:w="0" w:type="auto"/>
            <w:tcBorders>
              <w:top w:val="nil"/>
              <w:left w:val="nil"/>
              <w:bottom w:val="nil"/>
              <w:right w:val="nil"/>
            </w:tcBorders>
            <w:tcMar>
              <w:top w:w="0" w:type="dxa"/>
              <w:left w:w="120" w:type="dxa"/>
              <w:bottom w:w="60" w:type="dxa"/>
              <w:right w:w="120" w:type="dxa"/>
            </w:tcMar>
            <w:vAlign w:val="bottom"/>
            <w:hideMark/>
          </w:tcPr>
          <w:p w14:paraId="601A92BB" w14:textId="77777777" w:rsidR="001D1B64" w:rsidRPr="001D1B64" w:rsidRDefault="001D1B64" w:rsidP="001D1B64">
            <w:pPr>
              <w:jc w:val="right"/>
              <w:rPr>
                <w:rFonts w:ascii="Arial" w:hAnsi="Arial" w:cs="Arial"/>
                <w:color w:val="000000"/>
              </w:rPr>
            </w:pPr>
            <w:r w:rsidRPr="001D1B64">
              <w:rPr>
                <w:rStyle w:val="Strong"/>
                <w:rFonts w:ascii="Arial" w:hAnsi="Arial" w:cs="Arial"/>
                <w:color w:val="000000"/>
                <w:bdr w:val="none" w:sz="0" w:space="0" w:color="auto" w:frame="1"/>
              </w:rPr>
              <w:t>Impairment loss</w:t>
            </w:r>
          </w:p>
        </w:tc>
        <w:tc>
          <w:tcPr>
            <w:tcW w:w="0" w:type="auto"/>
            <w:tcBorders>
              <w:top w:val="nil"/>
              <w:left w:val="nil"/>
              <w:bottom w:val="nil"/>
              <w:right w:val="nil"/>
            </w:tcBorders>
            <w:tcMar>
              <w:top w:w="0" w:type="dxa"/>
              <w:left w:w="120" w:type="dxa"/>
              <w:bottom w:w="60" w:type="dxa"/>
              <w:right w:w="120" w:type="dxa"/>
            </w:tcMar>
            <w:vAlign w:val="bottom"/>
            <w:hideMark/>
          </w:tcPr>
          <w:p w14:paraId="767BE9B2" w14:textId="77777777" w:rsidR="001D1B64" w:rsidRPr="001D1B64" w:rsidRDefault="001D1B64" w:rsidP="001D1B64">
            <w:pPr>
              <w:jc w:val="right"/>
              <w:rPr>
                <w:rFonts w:ascii="Arial" w:hAnsi="Arial" w:cs="Arial"/>
                <w:color w:val="000000"/>
              </w:rPr>
            </w:pPr>
            <w:r w:rsidRPr="001D1B64">
              <w:rPr>
                <w:rStyle w:val="Strong"/>
                <w:rFonts w:ascii="Arial" w:hAnsi="Arial" w:cs="Arial"/>
                <w:color w:val="000000"/>
                <w:bdr w:val="none" w:sz="0" w:space="0" w:color="auto" w:frame="1"/>
              </w:rPr>
              <w:t>1 February</w:t>
            </w:r>
          </w:p>
        </w:tc>
      </w:tr>
      <w:tr w:rsidR="001D1B64" w:rsidRPr="001D1B64" w14:paraId="3347D3CC" w14:textId="77777777" w:rsidTr="001D1B64">
        <w:trPr>
          <w:trHeight w:val="355"/>
        </w:trPr>
        <w:tc>
          <w:tcPr>
            <w:tcW w:w="0" w:type="auto"/>
            <w:tcBorders>
              <w:top w:val="nil"/>
              <w:left w:val="nil"/>
              <w:bottom w:val="nil"/>
              <w:right w:val="nil"/>
            </w:tcBorders>
            <w:tcMar>
              <w:top w:w="0" w:type="dxa"/>
              <w:left w:w="120" w:type="dxa"/>
              <w:bottom w:w="0" w:type="dxa"/>
              <w:right w:w="120" w:type="dxa"/>
            </w:tcMar>
            <w:vAlign w:val="bottom"/>
            <w:hideMark/>
          </w:tcPr>
          <w:p w14:paraId="3329DD85" w14:textId="77777777" w:rsidR="001D1B64" w:rsidRPr="001D1B64" w:rsidRDefault="001D1B64" w:rsidP="001D1B64">
            <w:pPr>
              <w:rPr>
                <w:rFonts w:ascii="Arial" w:hAnsi="Arial" w:cs="Arial"/>
                <w:color w:val="000000"/>
              </w:rPr>
            </w:pPr>
            <w:r w:rsidRPr="001D1B64">
              <w:rPr>
                <w:rFonts w:ascii="Arial" w:hAnsi="Arial" w:cs="Arial"/>
                <w:color w:val="000000"/>
              </w:rPr>
              <w:t>Goodwill</w:t>
            </w:r>
          </w:p>
        </w:tc>
        <w:tc>
          <w:tcPr>
            <w:tcW w:w="0" w:type="auto"/>
            <w:tcBorders>
              <w:top w:val="nil"/>
              <w:left w:val="nil"/>
              <w:bottom w:val="nil"/>
              <w:right w:val="nil"/>
            </w:tcBorders>
            <w:tcMar>
              <w:top w:w="0" w:type="dxa"/>
              <w:left w:w="120" w:type="dxa"/>
              <w:bottom w:w="60" w:type="dxa"/>
              <w:right w:w="120" w:type="dxa"/>
            </w:tcMar>
            <w:vAlign w:val="bottom"/>
            <w:hideMark/>
          </w:tcPr>
          <w:p w14:paraId="68240C22" w14:textId="77777777" w:rsidR="001D1B64" w:rsidRPr="001D1B64" w:rsidRDefault="001D1B64" w:rsidP="001D1B64">
            <w:pPr>
              <w:jc w:val="right"/>
              <w:rPr>
                <w:rFonts w:ascii="Arial" w:hAnsi="Arial" w:cs="Arial"/>
                <w:color w:val="000000"/>
              </w:rPr>
            </w:pPr>
            <w:r w:rsidRPr="001D1B64">
              <w:rPr>
                <w:rFonts w:ascii="Arial" w:hAnsi="Arial" w:cs="Arial"/>
                <w:color w:val="000000"/>
              </w:rPr>
              <w:t>100</w:t>
            </w:r>
          </w:p>
        </w:tc>
        <w:tc>
          <w:tcPr>
            <w:tcW w:w="0" w:type="auto"/>
            <w:tcBorders>
              <w:top w:val="nil"/>
              <w:left w:val="nil"/>
              <w:bottom w:val="nil"/>
              <w:right w:val="nil"/>
            </w:tcBorders>
            <w:tcMar>
              <w:top w:w="0" w:type="dxa"/>
              <w:left w:w="120" w:type="dxa"/>
              <w:bottom w:w="60" w:type="dxa"/>
              <w:right w:w="120" w:type="dxa"/>
            </w:tcMar>
            <w:vAlign w:val="bottom"/>
            <w:hideMark/>
          </w:tcPr>
          <w:p w14:paraId="49F265DE" w14:textId="77777777" w:rsidR="001D1B64" w:rsidRPr="001D1B64" w:rsidRDefault="001D1B64" w:rsidP="001D1B64">
            <w:pPr>
              <w:jc w:val="right"/>
              <w:rPr>
                <w:rFonts w:ascii="Arial" w:hAnsi="Arial" w:cs="Arial"/>
                <w:color w:val="000000"/>
              </w:rPr>
            </w:pPr>
            <w:r w:rsidRPr="001D1B64">
              <w:rPr>
                <w:rFonts w:ascii="Arial" w:hAnsi="Arial" w:cs="Arial"/>
                <w:color w:val="000000"/>
              </w:rPr>
              <w:t>(50)</w:t>
            </w:r>
          </w:p>
        </w:tc>
        <w:tc>
          <w:tcPr>
            <w:tcW w:w="0" w:type="auto"/>
            <w:tcBorders>
              <w:top w:val="nil"/>
              <w:left w:val="nil"/>
              <w:bottom w:val="nil"/>
              <w:right w:val="nil"/>
            </w:tcBorders>
            <w:tcMar>
              <w:top w:w="0" w:type="dxa"/>
              <w:left w:w="120" w:type="dxa"/>
              <w:bottom w:w="60" w:type="dxa"/>
              <w:right w:w="120" w:type="dxa"/>
            </w:tcMar>
            <w:vAlign w:val="bottom"/>
            <w:hideMark/>
          </w:tcPr>
          <w:p w14:paraId="733AD69A" w14:textId="77777777" w:rsidR="001D1B64" w:rsidRPr="001D1B64" w:rsidRDefault="001D1B64" w:rsidP="001D1B64">
            <w:pPr>
              <w:jc w:val="right"/>
              <w:rPr>
                <w:rFonts w:ascii="Arial" w:hAnsi="Arial" w:cs="Arial"/>
                <w:color w:val="000000"/>
              </w:rPr>
            </w:pPr>
            <w:r w:rsidRPr="001D1B64">
              <w:rPr>
                <w:rFonts w:ascii="Arial" w:hAnsi="Arial" w:cs="Arial"/>
                <w:color w:val="000000"/>
              </w:rPr>
              <w:t>50</w:t>
            </w:r>
          </w:p>
        </w:tc>
      </w:tr>
      <w:tr w:rsidR="001D1B64" w:rsidRPr="001D1B64" w14:paraId="506C017F" w14:textId="77777777" w:rsidTr="001D1B64">
        <w:trPr>
          <w:trHeight w:val="342"/>
        </w:trPr>
        <w:tc>
          <w:tcPr>
            <w:tcW w:w="0" w:type="auto"/>
            <w:tcBorders>
              <w:top w:val="nil"/>
              <w:left w:val="nil"/>
              <w:bottom w:val="nil"/>
              <w:right w:val="nil"/>
            </w:tcBorders>
            <w:tcMar>
              <w:top w:w="0" w:type="dxa"/>
              <w:left w:w="120" w:type="dxa"/>
              <w:bottom w:w="0" w:type="dxa"/>
              <w:right w:w="120" w:type="dxa"/>
            </w:tcMar>
            <w:vAlign w:val="bottom"/>
            <w:hideMark/>
          </w:tcPr>
          <w:p w14:paraId="65950AB4" w14:textId="77777777" w:rsidR="001D1B64" w:rsidRPr="001D1B64" w:rsidRDefault="001D1B64" w:rsidP="001D1B64">
            <w:pPr>
              <w:rPr>
                <w:rFonts w:ascii="Arial" w:hAnsi="Arial" w:cs="Arial"/>
                <w:color w:val="000000"/>
              </w:rPr>
            </w:pPr>
            <w:r w:rsidRPr="001D1B64">
              <w:rPr>
                <w:rFonts w:ascii="Arial" w:hAnsi="Arial" w:cs="Arial"/>
                <w:color w:val="000000"/>
              </w:rPr>
              <w:t>Intangible asset</w:t>
            </w:r>
          </w:p>
        </w:tc>
        <w:tc>
          <w:tcPr>
            <w:tcW w:w="0" w:type="auto"/>
            <w:tcBorders>
              <w:top w:val="nil"/>
              <w:left w:val="nil"/>
              <w:bottom w:val="nil"/>
              <w:right w:val="nil"/>
            </w:tcBorders>
            <w:tcMar>
              <w:top w:w="0" w:type="dxa"/>
              <w:left w:w="120" w:type="dxa"/>
              <w:bottom w:w="60" w:type="dxa"/>
              <w:right w:w="120" w:type="dxa"/>
            </w:tcMar>
            <w:vAlign w:val="bottom"/>
            <w:hideMark/>
          </w:tcPr>
          <w:p w14:paraId="21C8942D" w14:textId="77777777" w:rsidR="001D1B64" w:rsidRPr="001D1B64" w:rsidRDefault="001D1B64" w:rsidP="001D1B64">
            <w:pPr>
              <w:jc w:val="right"/>
              <w:rPr>
                <w:rFonts w:ascii="Arial" w:hAnsi="Arial" w:cs="Arial"/>
                <w:color w:val="000000"/>
              </w:rPr>
            </w:pPr>
            <w:r w:rsidRPr="001D1B64">
              <w:rPr>
                <w:rFonts w:ascii="Arial" w:hAnsi="Arial" w:cs="Arial"/>
                <w:color w:val="000000"/>
              </w:rPr>
              <w:t>100</w:t>
            </w:r>
          </w:p>
        </w:tc>
        <w:tc>
          <w:tcPr>
            <w:tcW w:w="0" w:type="auto"/>
            <w:tcBorders>
              <w:top w:val="nil"/>
              <w:left w:val="nil"/>
              <w:bottom w:val="nil"/>
              <w:right w:val="nil"/>
            </w:tcBorders>
            <w:tcMar>
              <w:top w:w="0" w:type="dxa"/>
              <w:left w:w="120" w:type="dxa"/>
              <w:bottom w:w="60" w:type="dxa"/>
              <w:right w:w="120" w:type="dxa"/>
            </w:tcMar>
            <w:vAlign w:val="bottom"/>
            <w:hideMark/>
          </w:tcPr>
          <w:p w14:paraId="26E954B2" w14:textId="77777777" w:rsidR="001D1B64" w:rsidRPr="001D1B64" w:rsidRDefault="001D1B64" w:rsidP="001D1B64">
            <w:pPr>
              <w:jc w:val="right"/>
              <w:rPr>
                <w:rFonts w:ascii="Arial" w:hAnsi="Arial" w:cs="Arial"/>
                <w:color w:val="000000"/>
              </w:rPr>
            </w:pPr>
            <w:r w:rsidRPr="001D1B64">
              <w:rPr>
                <w:rFonts w:ascii="Arial" w:hAnsi="Arial" w:cs="Arial"/>
                <w:color w:val="000000"/>
              </w:rPr>
              <w:t>–</w:t>
            </w:r>
          </w:p>
        </w:tc>
        <w:tc>
          <w:tcPr>
            <w:tcW w:w="0" w:type="auto"/>
            <w:tcBorders>
              <w:top w:val="nil"/>
              <w:left w:val="nil"/>
              <w:bottom w:val="nil"/>
              <w:right w:val="nil"/>
            </w:tcBorders>
            <w:tcMar>
              <w:top w:w="0" w:type="dxa"/>
              <w:left w:w="120" w:type="dxa"/>
              <w:bottom w:w="60" w:type="dxa"/>
              <w:right w:w="120" w:type="dxa"/>
            </w:tcMar>
            <w:vAlign w:val="bottom"/>
            <w:hideMark/>
          </w:tcPr>
          <w:p w14:paraId="6062FC0A" w14:textId="77777777" w:rsidR="001D1B64" w:rsidRPr="001D1B64" w:rsidRDefault="001D1B64" w:rsidP="001D1B64">
            <w:pPr>
              <w:jc w:val="right"/>
              <w:rPr>
                <w:rFonts w:ascii="Arial" w:hAnsi="Arial" w:cs="Arial"/>
                <w:color w:val="000000"/>
              </w:rPr>
            </w:pPr>
            <w:r w:rsidRPr="001D1B64">
              <w:rPr>
                <w:rFonts w:ascii="Arial" w:hAnsi="Arial" w:cs="Arial"/>
                <w:color w:val="000000"/>
              </w:rPr>
              <w:t>100</w:t>
            </w:r>
          </w:p>
        </w:tc>
      </w:tr>
      <w:tr w:rsidR="001D1B64" w:rsidRPr="001D1B64" w14:paraId="04680109" w14:textId="77777777" w:rsidTr="001D1B64">
        <w:trPr>
          <w:trHeight w:val="355"/>
        </w:trPr>
        <w:tc>
          <w:tcPr>
            <w:tcW w:w="0" w:type="auto"/>
            <w:tcBorders>
              <w:top w:val="nil"/>
              <w:left w:val="nil"/>
              <w:bottom w:val="nil"/>
              <w:right w:val="nil"/>
            </w:tcBorders>
            <w:tcMar>
              <w:top w:w="0" w:type="dxa"/>
              <w:left w:w="120" w:type="dxa"/>
              <w:bottom w:w="0" w:type="dxa"/>
              <w:right w:w="120" w:type="dxa"/>
            </w:tcMar>
            <w:vAlign w:val="bottom"/>
            <w:hideMark/>
          </w:tcPr>
          <w:p w14:paraId="5A823442" w14:textId="77777777" w:rsidR="001D1B64" w:rsidRPr="001D1B64" w:rsidRDefault="001D1B64" w:rsidP="001D1B64">
            <w:pPr>
              <w:rPr>
                <w:rFonts w:ascii="Arial" w:hAnsi="Arial" w:cs="Arial"/>
                <w:color w:val="000000"/>
              </w:rPr>
            </w:pPr>
            <w:r w:rsidRPr="001D1B64">
              <w:rPr>
                <w:rFonts w:ascii="Arial" w:hAnsi="Arial" w:cs="Arial"/>
                <w:color w:val="000000"/>
              </w:rPr>
              <w:t>Lorries</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501BC0FC" w14:textId="77777777" w:rsidR="001D1B64" w:rsidRPr="001D1B64" w:rsidRDefault="001D1B64" w:rsidP="001D1B64">
            <w:pPr>
              <w:jc w:val="right"/>
              <w:rPr>
                <w:rFonts w:ascii="Arial" w:hAnsi="Arial" w:cs="Arial"/>
                <w:color w:val="000000"/>
              </w:rPr>
            </w:pPr>
            <w:r w:rsidRPr="001D1B64">
              <w:rPr>
                <w:rFonts w:ascii="Arial" w:hAnsi="Arial" w:cs="Arial"/>
                <w:color w:val="000000"/>
              </w:rPr>
              <w:t>300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53C76ACC" w14:textId="77777777" w:rsidR="001D1B64" w:rsidRPr="001D1B64" w:rsidRDefault="001D1B64" w:rsidP="001D1B64">
            <w:pPr>
              <w:jc w:val="right"/>
              <w:rPr>
                <w:rFonts w:ascii="Arial" w:hAnsi="Arial" w:cs="Arial"/>
                <w:color w:val="000000"/>
              </w:rPr>
            </w:pP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2458F97D" w14:textId="77777777" w:rsidR="001D1B64" w:rsidRPr="001D1B64" w:rsidRDefault="001D1B64" w:rsidP="001D1B64">
            <w:pPr>
              <w:jc w:val="right"/>
              <w:rPr>
                <w:rFonts w:ascii="Arial" w:hAnsi="Arial" w:cs="Arial"/>
                <w:color w:val="000000"/>
              </w:rPr>
            </w:pPr>
            <w:r w:rsidRPr="001D1B64">
              <w:rPr>
                <w:rFonts w:ascii="Arial" w:hAnsi="Arial" w:cs="Arial"/>
                <w:color w:val="000000"/>
              </w:rPr>
              <w:t>300</w:t>
            </w:r>
          </w:p>
        </w:tc>
      </w:tr>
      <w:tr w:rsidR="001D1B64" w:rsidRPr="001D1B64" w14:paraId="47924CC3" w14:textId="77777777" w:rsidTr="001D1B64">
        <w:trPr>
          <w:trHeight w:val="355"/>
        </w:trPr>
        <w:tc>
          <w:tcPr>
            <w:tcW w:w="0" w:type="auto"/>
            <w:tcBorders>
              <w:top w:val="nil"/>
              <w:left w:val="nil"/>
              <w:bottom w:val="nil"/>
              <w:right w:val="nil"/>
            </w:tcBorders>
            <w:tcMar>
              <w:top w:w="0" w:type="dxa"/>
              <w:left w:w="120" w:type="dxa"/>
              <w:bottom w:w="0" w:type="dxa"/>
              <w:right w:w="120" w:type="dxa"/>
            </w:tcMar>
            <w:vAlign w:val="bottom"/>
            <w:hideMark/>
          </w:tcPr>
          <w:p w14:paraId="24FC7AD5" w14:textId="77777777" w:rsidR="001D1B64" w:rsidRPr="001D1B64" w:rsidRDefault="001D1B64" w:rsidP="001D1B64">
            <w:pPr>
              <w:jc w:val="right"/>
              <w:rPr>
                <w:rFonts w:ascii="Arial" w:hAnsi="Arial" w:cs="Arial"/>
                <w:color w:val="000000"/>
              </w:rPr>
            </w:pP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0500F894" w14:textId="77777777" w:rsidR="001D1B64" w:rsidRPr="001D1B64" w:rsidRDefault="001D1B64" w:rsidP="001D1B64">
            <w:pPr>
              <w:jc w:val="right"/>
              <w:rPr>
                <w:rFonts w:ascii="Arial" w:hAnsi="Arial" w:cs="Arial"/>
                <w:color w:val="000000"/>
              </w:rPr>
            </w:pPr>
            <w:r w:rsidRPr="001D1B64">
              <w:rPr>
                <w:rFonts w:ascii="Arial" w:hAnsi="Arial" w:cs="Arial"/>
                <w:color w:val="000000"/>
              </w:rPr>
              <w:t>500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114CE5EA" w14:textId="77777777" w:rsidR="001D1B64" w:rsidRPr="001D1B64" w:rsidRDefault="001D1B64" w:rsidP="001D1B64">
            <w:pPr>
              <w:jc w:val="right"/>
              <w:rPr>
                <w:rFonts w:ascii="Arial" w:hAnsi="Arial" w:cs="Arial"/>
                <w:color w:val="000000"/>
              </w:rPr>
            </w:pPr>
            <w:r w:rsidRPr="001D1B64">
              <w:rPr>
                <w:rFonts w:ascii="Arial" w:hAnsi="Arial" w:cs="Arial"/>
                <w:color w:val="000000"/>
              </w:rPr>
              <w:t>(50)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4E1CF290" w14:textId="77777777" w:rsidR="001D1B64" w:rsidRPr="001D1B64" w:rsidRDefault="001D1B64" w:rsidP="001D1B64">
            <w:pPr>
              <w:jc w:val="right"/>
              <w:rPr>
                <w:rFonts w:ascii="Arial" w:hAnsi="Arial" w:cs="Arial"/>
                <w:color w:val="000000"/>
              </w:rPr>
            </w:pPr>
            <w:r w:rsidRPr="001D1B64">
              <w:rPr>
                <w:rFonts w:ascii="Arial" w:hAnsi="Arial" w:cs="Arial"/>
                <w:color w:val="000000"/>
              </w:rPr>
              <w:t>450</w:t>
            </w:r>
          </w:p>
        </w:tc>
      </w:tr>
    </w:tbl>
    <w:p w14:paraId="6BC8A92B" w14:textId="77777777" w:rsidR="001D1B64" w:rsidRPr="001D1B64"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 xml:space="preserve">The reduced capacity of the acquired business is an indicator of impairment of the CGU as a whole and therefore a further impairment test is conducted for the business. The carrying amount after writing off one lorry is $500,000 ($300,000 lorries plus $100,000 licence plus $100,000 goodwill) and the recoverable amount is $450,000. </w:t>
      </w:r>
      <w:proofErr w:type="gramStart"/>
      <w:r w:rsidRPr="001D1B64">
        <w:rPr>
          <w:rFonts w:asciiTheme="minorHAnsi" w:hAnsiTheme="minorHAnsi" w:cstheme="minorHAnsi"/>
          <w:color w:val="000000"/>
          <w:sz w:val="22"/>
          <w:szCs w:val="22"/>
        </w:rPr>
        <w:t>Therefore</w:t>
      </w:r>
      <w:proofErr w:type="gramEnd"/>
      <w:r w:rsidRPr="001D1B64">
        <w:rPr>
          <w:rFonts w:asciiTheme="minorHAnsi" w:hAnsiTheme="minorHAnsi" w:cstheme="minorHAnsi"/>
          <w:color w:val="000000"/>
          <w:sz w:val="22"/>
          <w:szCs w:val="22"/>
        </w:rPr>
        <w:t xml:space="preserve"> there is a further loss of $50,000. This is allocated in the first place to goodwill. Goodwill absorbs the full loss and none is allocated to the lorries and licence:</w:t>
      </w:r>
    </w:p>
    <w:p w14:paraId="686D1135" w14:textId="43271080" w:rsidR="001D1B64" w:rsidRDefault="001D1B64">
      <w:pPr>
        <w:rPr>
          <w:rFonts w:cstheme="minorHAnsi"/>
          <w:color w:val="000000"/>
          <w:shd w:val="clear" w:color="auto" w:fill="FFFFFF"/>
          <w:lang w:val="en-US"/>
        </w:rPr>
      </w:pPr>
    </w:p>
    <w:p w14:paraId="281A5A7D" w14:textId="450A489B" w:rsidR="007B392E" w:rsidRDefault="007B392E" w:rsidP="007B392E"/>
    <w:p w14:paraId="36903554" w14:textId="555ABB3F" w:rsidR="007B392E" w:rsidRDefault="007B392E" w:rsidP="007B392E"/>
    <w:p w14:paraId="14CE30AA" w14:textId="452D95E4" w:rsidR="007B392E" w:rsidRDefault="007B392E" w:rsidP="007B392E"/>
    <w:p w14:paraId="00DC2526" w14:textId="1889C3B3" w:rsidR="007B392E" w:rsidRDefault="007B392E" w:rsidP="007B392E"/>
    <w:p w14:paraId="782579E6" w14:textId="50C26A05" w:rsidR="007B392E" w:rsidRDefault="007B392E" w:rsidP="007B392E"/>
    <w:p w14:paraId="4D6A34FB" w14:textId="7E7F61FD" w:rsidR="007B392E" w:rsidRDefault="007B392E" w:rsidP="007B392E"/>
    <w:p w14:paraId="643FA6AA" w14:textId="77777777" w:rsidR="00953F04" w:rsidRDefault="00953F04" w:rsidP="001D1B64">
      <w:pPr>
        <w:pStyle w:val="NormalWeb"/>
        <w:spacing w:before="0" w:beforeAutospacing="0" w:after="150" w:afterAutospacing="0"/>
        <w:textAlignment w:val="baseline"/>
        <w:rPr>
          <w:rFonts w:asciiTheme="minorHAnsi" w:hAnsiTheme="minorHAnsi" w:cstheme="minorHAnsi"/>
          <w:b/>
          <w:bCs/>
          <w:color w:val="CA0000"/>
          <w:sz w:val="22"/>
          <w:szCs w:val="22"/>
          <w:shd w:val="clear" w:color="auto" w:fill="FFFFFF"/>
        </w:rPr>
      </w:pPr>
    </w:p>
    <w:p w14:paraId="4E74B585" w14:textId="42FFA3E7" w:rsidR="007B392E" w:rsidRPr="007B392E" w:rsidRDefault="007B392E" w:rsidP="001D1B64">
      <w:pPr>
        <w:pStyle w:val="NormalWeb"/>
        <w:spacing w:before="0" w:beforeAutospacing="0" w:after="150" w:afterAutospacing="0"/>
        <w:textAlignment w:val="baseline"/>
        <w:rPr>
          <w:rFonts w:asciiTheme="minorHAnsi" w:hAnsiTheme="minorHAnsi" w:cstheme="minorHAnsi"/>
          <w:color w:val="000000"/>
          <w:sz w:val="22"/>
          <w:szCs w:val="22"/>
        </w:rPr>
      </w:pPr>
      <w:r w:rsidRPr="007B392E">
        <w:rPr>
          <w:rFonts w:asciiTheme="minorHAnsi" w:hAnsiTheme="minorHAnsi" w:cstheme="minorHAnsi"/>
          <w:b/>
          <w:bCs/>
          <w:color w:val="CA0000"/>
          <w:sz w:val="22"/>
          <w:szCs w:val="22"/>
          <w:shd w:val="clear" w:color="auto" w:fill="FFFFFF"/>
        </w:rPr>
        <w:lastRenderedPageBreak/>
        <w:t>Activity 2 Impairment Loss – Part 2</w:t>
      </w:r>
    </w:p>
    <w:p w14:paraId="1EAFBEE4" w14:textId="4514EA7E" w:rsidR="001D1B64" w:rsidRPr="007B392E" w:rsidRDefault="001D1B64" w:rsidP="001D1B64">
      <w:pPr>
        <w:pStyle w:val="NormalWeb"/>
        <w:spacing w:before="0" w:beforeAutospacing="0" w:after="15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At 22 May, the government increased interest rates. Aldan Co re-determined the recoverable amount of the acquired business CGU as $360,000. The fair value less costs of disposal of the licence had decreased to $95,000 (as a result of a market reaction to the increased interest rates). The demand for lorries was hit hard by the increase in rates, and the selling prices were adversely affected. You should ignore depreciation and amortisation in relation to the lorries and licence.</w:t>
      </w:r>
    </w:p>
    <w:p w14:paraId="0E19781C" w14:textId="6C1F377D" w:rsidR="001D1B64" w:rsidRPr="007B392E" w:rsidRDefault="001D1B64" w:rsidP="007B392E">
      <w:pPr>
        <w:pStyle w:val="NormalWeb"/>
        <w:spacing w:before="0" w:beforeAutospacing="0" w:after="0" w:afterAutospacing="0"/>
        <w:textAlignment w:val="baseline"/>
        <w:rPr>
          <w:rFonts w:asciiTheme="minorHAnsi" w:hAnsiTheme="minorHAnsi" w:cstheme="minorHAnsi"/>
          <w:color w:val="000000"/>
          <w:sz w:val="22"/>
          <w:szCs w:val="22"/>
        </w:rPr>
      </w:pPr>
      <w:r w:rsidRPr="007B392E">
        <w:rPr>
          <w:rStyle w:val="acca-red"/>
          <w:rFonts w:asciiTheme="minorHAnsi" w:eastAsiaTheme="majorEastAsia" w:hAnsiTheme="minorHAnsi" w:cstheme="minorHAnsi"/>
          <w:b/>
          <w:bCs/>
          <w:color w:val="000000"/>
          <w:sz w:val="22"/>
          <w:szCs w:val="22"/>
          <w:bdr w:val="none" w:sz="0" w:space="0" w:color="auto" w:frame="1"/>
        </w:rPr>
        <w:t>Required</w:t>
      </w:r>
    </w:p>
    <w:p w14:paraId="0221825F" w14:textId="57AC91D2" w:rsidR="001D1B64" w:rsidRPr="007B392E" w:rsidRDefault="001D1B64" w:rsidP="001D1B64">
      <w:pPr>
        <w:pStyle w:val="NormalWeb"/>
        <w:spacing w:before="0" w:beforeAutospacing="0" w:after="0" w:afterAutospacing="0"/>
        <w:textAlignment w:val="baseline"/>
        <w:rPr>
          <w:rStyle w:val="Strong"/>
          <w:rFonts w:asciiTheme="minorHAnsi" w:hAnsiTheme="minorHAnsi" w:cstheme="minorHAnsi"/>
          <w:color w:val="000000"/>
          <w:sz w:val="22"/>
          <w:szCs w:val="22"/>
          <w:bdr w:val="none" w:sz="0" w:space="0" w:color="auto" w:frame="1"/>
        </w:rPr>
      </w:pPr>
      <w:r w:rsidRPr="007B392E">
        <w:rPr>
          <w:rStyle w:val="Strong"/>
          <w:rFonts w:asciiTheme="minorHAnsi" w:hAnsiTheme="minorHAnsi" w:cstheme="minorHAnsi"/>
          <w:color w:val="000000"/>
          <w:sz w:val="22"/>
          <w:szCs w:val="22"/>
          <w:bdr w:val="none" w:sz="0" w:space="0" w:color="auto" w:frame="1"/>
        </w:rPr>
        <w:t>Discuss how Aldan should apply the requirements of IAS 36 to the CGU in May.</w:t>
      </w:r>
    </w:p>
    <w:p w14:paraId="1262FBAF" w14:textId="77777777" w:rsidR="007B392E" w:rsidRPr="007B392E" w:rsidRDefault="007B392E" w:rsidP="001D1B64">
      <w:pPr>
        <w:pStyle w:val="NormalWeb"/>
        <w:spacing w:before="0" w:beforeAutospacing="0" w:after="0" w:afterAutospacing="0"/>
        <w:textAlignment w:val="baseline"/>
        <w:rPr>
          <w:rFonts w:asciiTheme="minorHAnsi" w:hAnsiTheme="minorHAnsi" w:cstheme="minorHAnsi"/>
          <w:color w:val="000000"/>
          <w:sz w:val="22"/>
          <w:szCs w:val="22"/>
        </w:rPr>
      </w:pPr>
    </w:p>
    <w:p w14:paraId="5C11D153" w14:textId="04A0A9BB" w:rsidR="001D1B64" w:rsidRPr="007B392E"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An increase in interest rates is an external indicator of impairment and a trigger for a further impairment review of the CGU that is the acquired business.</w:t>
      </w:r>
    </w:p>
    <w:p w14:paraId="3298339F" w14:textId="77777777" w:rsidR="001D1B64" w:rsidRPr="007B392E"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The carrying amount of the CGU is $450,000 and the recoverable amount $360,000, meaning there is an impairment loss of $90,000. This is first allocated to the remaining goodwill ($50,000). Thereafter it is allocated between the licence and the lorries in proportion to their relative carrying amounts.</w:t>
      </w:r>
    </w:p>
    <w:p w14:paraId="604FDF10" w14:textId="5F403681" w:rsidR="007B392E" w:rsidRPr="007B392E"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This would result in an allocation of $10,000 to the licence, which would be written down to $90,000. This is less than the fair value less costs of disposal of the licence of $95,000 and therefore the loss allocated to the licence is limited to $5,000. The remainder of the loss is allocated to the lorries:</w:t>
      </w:r>
    </w:p>
    <w:tbl>
      <w:tblPr>
        <w:tblpPr w:leftFromText="180" w:rightFromText="180" w:vertAnchor="page" w:horzAnchor="margin" w:tblpXSpec="center" w:tblpY="6549"/>
        <w:tblW w:w="7277" w:type="dxa"/>
        <w:tblCellMar>
          <w:left w:w="0" w:type="dxa"/>
          <w:right w:w="0" w:type="dxa"/>
        </w:tblCellMar>
        <w:tblLook w:val="04A0" w:firstRow="1" w:lastRow="0" w:firstColumn="1" w:lastColumn="0" w:noHBand="0" w:noVBand="1"/>
      </w:tblPr>
      <w:tblGrid>
        <w:gridCol w:w="2177"/>
        <w:gridCol w:w="1612"/>
        <w:gridCol w:w="2274"/>
        <w:gridCol w:w="1214"/>
      </w:tblGrid>
      <w:tr w:rsidR="007B392E" w:rsidRPr="007B392E" w14:paraId="5196C495" w14:textId="77777777" w:rsidTr="007B392E">
        <w:trPr>
          <w:trHeight w:val="421"/>
        </w:trPr>
        <w:tc>
          <w:tcPr>
            <w:tcW w:w="0" w:type="auto"/>
            <w:tcBorders>
              <w:top w:val="nil"/>
              <w:left w:val="nil"/>
              <w:bottom w:val="nil"/>
              <w:right w:val="nil"/>
            </w:tcBorders>
            <w:tcMar>
              <w:top w:w="0" w:type="dxa"/>
              <w:left w:w="120" w:type="dxa"/>
              <w:bottom w:w="0" w:type="dxa"/>
              <w:right w:w="120" w:type="dxa"/>
            </w:tcMar>
            <w:vAlign w:val="bottom"/>
            <w:hideMark/>
          </w:tcPr>
          <w:p w14:paraId="2326A6F4" w14:textId="77777777" w:rsidR="007B392E" w:rsidRPr="007B392E" w:rsidRDefault="007B392E" w:rsidP="007B392E">
            <w:pPr>
              <w:rPr>
                <w:rFonts w:cstheme="minorHAnsi"/>
                <w:color w:val="000000"/>
              </w:rPr>
            </w:pPr>
            <w:r w:rsidRPr="007B392E">
              <w:rPr>
                <w:rFonts w:cstheme="minorHAnsi"/>
                <w:color w:val="000000"/>
              </w:rPr>
              <w:t>$000</w:t>
            </w:r>
          </w:p>
        </w:tc>
        <w:tc>
          <w:tcPr>
            <w:tcW w:w="0" w:type="auto"/>
            <w:tcBorders>
              <w:top w:val="nil"/>
              <w:left w:val="nil"/>
              <w:bottom w:val="nil"/>
              <w:right w:val="nil"/>
            </w:tcBorders>
            <w:tcMar>
              <w:top w:w="0" w:type="dxa"/>
              <w:left w:w="120" w:type="dxa"/>
              <w:bottom w:w="60" w:type="dxa"/>
              <w:right w:w="120" w:type="dxa"/>
            </w:tcMar>
            <w:vAlign w:val="bottom"/>
            <w:hideMark/>
          </w:tcPr>
          <w:p w14:paraId="1CDF9770" w14:textId="77777777" w:rsidR="007B392E" w:rsidRPr="007B392E" w:rsidRDefault="007B392E" w:rsidP="007B392E">
            <w:pPr>
              <w:jc w:val="right"/>
              <w:rPr>
                <w:rFonts w:cstheme="minorHAnsi"/>
                <w:color w:val="000000"/>
              </w:rPr>
            </w:pPr>
            <w:r w:rsidRPr="007B392E">
              <w:rPr>
                <w:rStyle w:val="Strong"/>
                <w:rFonts w:cstheme="minorHAnsi"/>
                <w:color w:val="000000"/>
                <w:bdr w:val="none" w:sz="0" w:space="0" w:color="auto" w:frame="1"/>
              </w:rPr>
              <w:t>1 February</w:t>
            </w:r>
          </w:p>
        </w:tc>
        <w:tc>
          <w:tcPr>
            <w:tcW w:w="0" w:type="auto"/>
            <w:tcBorders>
              <w:top w:val="nil"/>
              <w:left w:val="nil"/>
              <w:bottom w:val="nil"/>
              <w:right w:val="nil"/>
            </w:tcBorders>
            <w:tcMar>
              <w:top w:w="0" w:type="dxa"/>
              <w:left w:w="120" w:type="dxa"/>
              <w:bottom w:w="60" w:type="dxa"/>
              <w:right w:w="120" w:type="dxa"/>
            </w:tcMar>
            <w:vAlign w:val="bottom"/>
            <w:hideMark/>
          </w:tcPr>
          <w:p w14:paraId="48C17163" w14:textId="77777777" w:rsidR="007B392E" w:rsidRPr="007B392E" w:rsidRDefault="007B392E" w:rsidP="007B392E">
            <w:pPr>
              <w:jc w:val="right"/>
              <w:rPr>
                <w:rFonts w:cstheme="minorHAnsi"/>
                <w:color w:val="000000"/>
              </w:rPr>
            </w:pPr>
            <w:r w:rsidRPr="007B392E">
              <w:rPr>
                <w:rStyle w:val="Strong"/>
                <w:rFonts w:cstheme="minorHAnsi"/>
                <w:color w:val="000000"/>
                <w:bdr w:val="none" w:sz="0" w:space="0" w:color="auto" w:frame="1"/>
              </w:rPr>
              <w:t>Impairment loss</w:t>
            </w:r>
          </w:p>
        </w:tc>
        <w:tc>
          <w:tcPr>
            <w:tcW w:w="0" w:type="auto"/>
            <w:tcBorders>
              <w:top w:val="nil"/>
              <w:left w:val="nil"/>
              <w:bottom w:val="nil"/>
              <w:right w:val="nil"/>
            </w:tcBorders>
            <w:tcMar>
              <w:top w:w="0" w:type="dxa"/>
              <w:left w:w="120" w:type="dxa"/>
              <w:bottom w:w="60" w:type="dxa"/>
              <w:right w:w="120" w:type="dxa"/>
            </w:tcMar>
            <w:vAlign w:val="bottom"/>
            <w:hideMark/>
          </w:tcPr>
          <w:p w14:paraId="4027CAAA" w14:textId="77777777" w:rsidR="007B392E" w:rsidRPr="007B392E" w:rsidRDefault="007B392E" w:rsidP="007B392E">
            <w:pPr>
              <w:jc w:val="right"/>
              <w:rPr>
                <w:rFonts w:cstheme="minorHAnsi"/>
                <w:color w:val="000000"/>
              </w:rPr>
            </w:pPr>
            <w:r w:rsidRPr="007B392E">
              <w:rPr>
                <w:rStyle w:val="Strong"/>
                <w:rFonts w:cstheme="minorHAnsi"/>
                <w:color w:val="000000"/>
                <w:bdr w:val="none" w:sz="0" w:space="0" w:color="auto" w:frame="1"/>
              </w:rPr>
              <w:t>22 May</w:t>
            </w:r>
          </w:p>
        </w:tc>
      </w:tr>
      <w:tr w:rsidR="007B392E" w:rsidRPr="007B392E" w14:paraId="6A20B4EF" w14:textId="77777777" w:rsidTr="007B392E">
        <w:trPr>
          <w:trHeight w:val="437"/>
        </w:trPr>
        <w:tc>
          <w:tcPr>
            <w:tcW w:w="0" w:type="auto"/>
            <w:tcBorders>
              <w:top w:val="nil"/>
              <w:left w:val="nil"/>
              <w:bottom w:val="nil"/>
              <w:right w:val="nil"/>
            </w:tcBorders>
            <w:tcMar>
              <w:top w:w="0" w:type="dxa"/>
              <w:left w:w="120" w:type="dxa"/>
              <w:bottom w:w="0" w:type="dxa"/>
              <w:right w:w="120" w:type="dxa"/>
            </w:tcMar>
            <w:vAlign w:val="bottom"/>
            <w:hideMark/>
          </w:tcPr>
          <w:p w14:paraId="20006664" w14:textId="77777777" w:rsidR="007B392E" w:rsidRPr="007B392E" w:rsidRDefault="007B392E" w:rsidP="007B392E">
            <w:pPr>
              <w:rPr>
                <w:rFonts w:cstheme="minorHAnsi"/>
                <w:color w:val="000000"/>
              </w:rPr>
            </w:pPr>
            <w:r w:rsidRPr="007B392E">
              <w:rPr>
                <w:rFonts w:cstheme="minorHAnsi"/>
                <w:color w:val="000000"/>
              </w:rPr>
              <w:t>Goodwill</w:t>
            </w:r>
          </w:p>
        </w:tc>
        <w:tc>
          <w:tcPr>
            <w:tcW w:w="0" w:type="auto"/>
            <w:tcBorders>
              <w:top w:val="nil"/>
              <w:left w:val="nil"/>
              <w:bottom w:val="nil"/>
              <w:right w:val="nil"/>
            </w:tcBorders>
            <w:tcMar>
              <w:top w:w="0" w:type="dxa"/>
              <w:left w:w="120" w:type="dxa"/>
              <w:bottom w:w="60" w:type="dxa"/>
              <w:right w:w="120" w:type="dxa"/>
            </w:tcMar>
            <w:vAlign w:val="bottom"/>
            <w:hideMark/>
          </w:tcPr>
          <w:p w14:paraId="4A64D123" w14:textId="77777777" w:rsidR="007B392E" w:rsidRPr="007B392E" w:rsidRDefault="007B392E" w:rsidP="007B392E">
            <w:pPr>
              <w:jc w:val="right"/>
              <w:rPr>
                <w:rFonts w:cstheme="minorHAnsi"/>
                <w:color w:val="000000"/>
              </w:rPr>
            </w:pPr>
            <w:r w:rsidRPr="007B392E">
              <w:rPr>
                <w:rFonts w:cstheme="minorHAnsi"/>
                <w:color w:val="000000"/>
              </w:rPr>
              <w:t>50</w:t>
            </w:r>
          </w:p>
        </w:tc>
        <w:tc>
          <w:tcPr>
            <w:tcW w:w="0" w:type="auto"/>
            <w:tcBorders>
              <w:top w:val="nil"/>
              <w:left w:val="nil"/>
              <w:bottom w:val="nil"/>
              <w:right w:val="nil"/>
            </w:tcBorders>
            <w:tcMar>
              <w:top w:w="0" w:type="dxa"/>
              <w:left w:w="120" w:type="dxa"/>
              <w:bottom w:w="60" w:type="dxa"/>
              <w:right w:w="120" w:type="dxa"/>
            </w:tcMar>
            <w:vAlign w:val="bottom"/>
            <w:hideMark/>
          </w:tcPr>
          <w:p w14:paraId="18B7F825" w14:textId="77777777" w:rsidR="007B392E" w:rsidRPr="007B392E" w:rsidRDefault="007B392E" w:rsidP="007B392E">
            <w:pPr>
              <w:jc w:val="right"/>
              <w:rPr>
                <w:rFonts w:cstheme="minorHAnsi"/>
                <w:color w:val="000000"/>
              </w:rPr>
            </w:pPr>
            <w:r w:rsidRPr="007B392E">
              <w:rPr>
                <w:rFonts w:cstheme="minorHAnsi"/>
                <w:color w:val="000000"/>
              </w:rPr>
              <w:t>(50)</w:t>
            </w:r>
          </w:p>
        </w:tc>
        <w:tc>
          <w:tcPr>
            <w:tcW w:w="0" w:type="auto"/>
            <w:tcBorders>
              <w:top w:val="nil"/>
              <w:left w:val="nil"/>
              <w:bottom w:val="nil"/>
              <w:right w:val="nil"/>
            </w:tcBorders>
            <w:tcMar>
              <w:top w:w="0" w:type="dxa"/>
              <w:left w:w="120" w:type="dxa"/>
              <w:bottom w:w="60" w:type="dxa"/>
              <w:right w:w="120" w:type="dxa"/>
            </w:tcMar>
            <w:vAlign w:val="bottom"/>
            <w:hideMark/>
          </w:tcPr>
          <w:p w14:paraId="64B76168" w14:textId="77777777" w:rsidR="007B392E" w:rsidRPr="007B392E" w:rsidRDefault="007B392E" w:rsidP="007B392E">
            <w:pPr>
              <w:jc w:val="right"/>
              <w:rPr>
                <w:rFonts w:cstheme="minorHAnsi"/>
                <w:color w:val="000000"/>
              </w:rPr>
            </w:pPr>
            <w:r w:rsidRPr="007B392E">
              <w:rPr>
                <w:rFonts w:cstheme="minorHAnsi"/>
                <w:color w:val="000000"/>
              </w:rPr>
              <w:t>–</w:t>
            </w:r>
          </w:p>
        </w:tc>
      </w:tr>
      <w:tr w:rsidR="007B392E" w:rsidRPr="007B392E" w14:paraId="33CC6AB1" w14:textId="77777777" w:rsidTr="007B392E">
        <w:trPr>
          <w:trHeight w:val="421"/>
        </w:trPr>
        <w:tc>
          <w:tcPr>
            <w:tcW w:w="0" w:type="auto"/>
            <w:tcBorders>
              <w:top w:val="nil"/>
              <w:left w:val="nil"/>
              <w:bottom w:val="nil"/>
              <w:right w:val="nil"/>
            </w:tcBorders>
            <w:tcMar>
              <w:top w:w="0" w:type="dxa"/>
              <w:left w:w="120" w:type="dxa"/>
              <w:bottom w:w="0" w:type="dxa"/>
              <w:right w:w="120" w:type="dxa"/>
            </w:tcMar>
            <w:vAlign w:val="bottom"/>
            <w:hideMark/>
          </w:tcPr>
          <w:p w14:paraId="03CA3315" w14:textId="77777777" w:rsidR="007B392E" w:rsidRPr="007B392E" w:rsidRDefault="007B392E" w:rsidP="007B392E">
            <w:pPr>
              <w:rPr>
                <w:rFonts w:cstheme="minorHAnsi"/>
                <w:color w:val="000000"/>
              </w:rPr>
            </w:pPr>
            <w:r w:rsidRPr="007B392E">
              <w:rPr>
                <w:rFonts w:cstheme="minorHAnsi"/>
                <w:color w:val="000000"/>
              </w:rPr>
              <w:t>Intangible asset</w:t>
            </w:r>
          </w:p>
        </w:tc>
        <w:tc>
          <w:tcPr>
            <w:tcW w:w="0" w:type="auto"/>
            <w:tcBorders>
              <w:top w:val="nil"/>
              <w:left w:val="nil"/>
              <w:bottom w:val="nil"/>
              <w:right w:val="nil"/>
            </w:tcBorders>
            <w:tcMar>
              <w:top w:w="0" w:type="dxa"/>
              <w:left w:w="120" w:type="dxa"/>
              <w:bottom w:w="60" w:type="dxa"/>
              <w:right w:w="120" w:type="dxa"/>
            </w:tcMar>
            <w:vAlign w:val="bottom"/>
            <w:hideMark/>
          </w:tcPr>
          <w:p w14:paraId="7F166293" w14:textId="77777777" w:rsidR="007B392E" w:rsidRPr="007B392E" w:rsidRDefault="007B392E" w:rsidP="007B392E">
            <w:pPr>
              <w:jc w:val="right"/>
              <w:rPr>
                <w:rFonts w:cstheme="minorHAnsi"/>
                <w:color w:val="000000"/>
              </w:rPr>
            </w:pPr>
            <w:r w:rsidRPr="007B392E">
              <w:rPr>
                <w:rFonts w:cstheme="minorHAnsi"/>
                <w:color w:val="000000"/>
              </w:rPr>
              <w:t>100</w:t>
            </w:r>
          </w:p>
        </w:tc>
        <w:tc>
          <w:tcPr>
            <w:tcW w:w="0" w:type="auto"/>
            <w:tcBorders>
              <w:top w:val="nil"/>
              <w:left w:val="nil"/>
              <w:bottom w:val="nil"/>
              <w:right w:val="nil"/>
            </w:tcBorders>
            <w:tcMar>
              <w:top w:w="0" w:type="dxa"/>
              <w:left w:w="120" w:type="dxa"/>
              <w:bottom w:w="60" w:type="dxa"/>
              <w:right w:w="120" w:type="dxa"/>
            </w:tcMar>
            <w:vAlign w:val="bottom"/>
            <w:hideMark/>
          </w:tcPr>
          <w:p w14:paraId="18D09937" w14:textId="77777777" w:rsidR="007B392E" w:rsidRPr="007B392E" w:rsidRDefault="007B392E" w:rsidP="007B392E">
            <w:pPr>
              <w:jc w:val="right"/>
              <w:rPr>
                <w:rFonts w:cstheme="minorHAnsi"/>
                <w:color w:val="000000"/>
              </w:rPr>
            </w:pPr>
            <w:r w:rsidRPr="007B392E">
              <w:rPr>
                <w:rFonts w:cstheme="minorHAnsi"/>
                <w:color w:val="000000"/>
              </w:rPr>
              <w:t>(5)</w:t>
            </w:r>
          </w:p>
        </w:tc>
        <w:tc>
          <w:tcPr>
            <w:tcW w:w="0" w:type="auto"/>
            <w:tcBorders>
              <w:top w:val="nil"/>
              <w:left w:val="nil"/>
              <w:bottom w:val="nil"/>
              <w:right w:val="nil"/>
            </w:tcBorders>
            <w:tcMar>
              <w:top w:w="0" w:type="dxa"/>
              <w:left w:w="120" w:type="dxa"/>
              <w:bottom w:w="60" w:type="dxa"/>
              <w:right w:w="120" w:type="dxa"/>
            </w:tcMar>
            <w:vAlign w:val="bottom"/>
            <w:hideMark/>
          </w:tcPr>
          <w:p w14:paraId="1592978B" w14:textId="77777777" w:rsidR="007B392E" w:rsidRPr="007B392E" w:rsidRDefault="007B392E" w:rsidP="007B392E">
            <w:pPr>
              <w:jc w:val="right"/>
              <w:rPr>
                <w:rFonts w:cstheme="minorHAnsi"/>
                <w:color w:val="000000"/>
              </w:rPr>
            </w:pPr>
            <w:r w:rsidRPr="007B392E">
              <w:rPr>
                <w:rFonts w:cstheme="minorHAnsi"/>
                <w:color w:val="000000"/>
              </w:rPr>
              <w:t>95</w:t>
            </w:r>
          </w:p>
        </w:tc>
      </w:tr>
      <w:tr w:rsidR="007B392E" w:rsidRPr="007B392E" w14:paraId="09A83CC3" w14:textId="77777777" w:rsidTr="007B392E">
        <w:trPr>
          <w:trHeight w:val="437"/>
        </w:trPr>
        <w:tc>
          <w:tcPr>
            <w:tcW w:w="0" w:type="auto"/>
            <w:tcBorders>
              <w:top w:val="nil"/>
              <w:left w:val="nil"/>
              <w:bottom w:val="nil"/>
              <w:right w:val="nil"/>
            </w:tcBorders>
            <w:tcMar>
              <w:top w:w="0" w:type="dxa"/>
              <w:left w:w="120" w:type="dxa"/>
              <w:bottom w:w="0" w:type="dxa"/>
              <w:right w:w="120" w:type="dxa"/>
            </w:tcMar>
            <w:vAlign w:val="bottom"/>
            <w:hideMark/>
          </w:tcPr>
          <w:p w14:paraId="4425CECF" w14:textId="77777777" w:rsidR="007B392E" w:rsidRPr="007B392E" w:rsidRDefault="007B392E" w:rsidP="007B392E">
            <w:pPr>
              <w:rPr>
                <w:rFonts w:cstheme="minorHAnsi"/>
                <w:color w:val="000000"/>
              </w:rPr>
            </w:pPr>
            <w:r w:rsidRPr="007B392E">
              <w:rPr>
                <w:rFonts w:cstheme="minorHAnsi"/>
                <w:color w:val="000000"/>
              </w:rPr>
              <w:t>Lorries</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797BB21D" w14:textId="77777777" w:rsidR="007B392E" w:rsidRPr="007B392E" w:rsidRDefault="007B392E" w:rsidP="007B392E">
            <w:pPr>
              <w:jc w:val="right"/>
              <w:rPr>
                <w:rFonts w:cstheme="minorHAnsi"/>
                <w:color w:val="000000"/>
              </w:rPr>
            </w:pPr>
            <w:r w:rsidRPr="007B392E">
              <w:rPr>
                <w:rFonts w:cstheme="minorHAnsi"/>
                <w:color w:val="000000"/>
              </w:rPr>
              <w:t>300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196CF75A" w14:textId="77777777" w:rsidR="007B392E" w:rsidRPr="007B392E" w:rsidRDefault="007B392E" w:rsidP="007B392E">
            <w:pPr>
              <w:jc w:val="right"/>
              <w:rPr>
                <w:rFonts w:cstheme="minorHAnsi"/>
                <w:color w:val="000000"/>
              </w:rPr>
            </w:pPr>
            <w:r w:rsidRPr="007B392E">
              <w:rPr>
                <w:rFonts w:cstheme="minorHAnsi"/>
                <w:color w:val="000000"/>
              </w:rPr>
              <w:t>(35)</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0459F212" w14:textId="77777777" w:rsidR="007B392E" w:rsidRPr="007B392E" w:rsidRDefault="007B392E" w:rsidP="007B392E">
            <w:pPr>
              <w:jc w:val="right"/>
              <w:rPr>
                <w:rFonts w:cstheme="minorHAnsi"/>
                <w:color w:val="000000"/>
              </w:rPr>
            </w:pPr>
            <w:r w:rsidRPr="007B392E">
              <w:rPr>
                <w:rFonts w:cstheme="minorHAnsi"/>
                <w:color w:val="000000"/>
              </w:rPr>
              <w:t>265</w:t>
            </w:r>
          </w:p>
        </w:tc>
      </w:tr>
      <w:tr w:rsidR="007B392E" w:rsidRPr="007B392E" w14:paraId="20FFCDC1" w14:textId="77777777" w:rsidTr="007B392E">
        <w:trPr>
          <w:trHeight w:val="437"/>
        </w:trPr>
        <w:tc>
          <w:tcPr>
            <w:tcW w:w="0" w:type="auto"/>
            <w:tcBorders>
              <w:top w:val="nil"/>
              <w:left w:val="nil"/>
              <w:bottom w:val="nil"/>
              <w:right w:val="nil"/>
            </w:tcBorders>
            <w:tcMar>
              <w:top w:w="0" w:type="dxa"/>
              <w:left w:w="120" w:type="dxa"/>
              <w:bottom w:w="0" w:type="dxa"/>
              <w:right w:w="120" w:type="dxa"/>
            </w:tcMar>
            <w:vAlign w:val="bottom"/>
            <w:hideMark/>
          </w:tcPr>
          <w:p w14:paraId="162FBC5D" w14:textId="77777777" w:rsidR="007B392E" w:rsidRPr="007B392E" w:rsidRDefault="007B392E" w:rsidP="007B392E">
            <w:pPr>
              <w:jc w:val="right"/>
              <w:rPr>
                <w:rFonts w:cstheme="minorHAnsi"/>
                <w:color w:val="000000"/>
              </w:rPr>
            </w:pP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405A061D" w14:textId="77777777" w:rsidR="007B392E" w:rsidRPr="007B392E" w:rsidRDefault="007B392E" w:rsidP="007B392E">
            <w:pPr>
              <w:jc w:val="right"/>
              <w:rPr>
                <w:rFonts w:cstheme="minorHAnsi"/>
                <w:color w:val="000000"/>
              </w:rPr>
            </w:pPr>
            <w:r w:rsidRPr="007B392E">
              <w:rPr>
                <w:rFonts w:cstheme="minorHAnsi"/>
                <w:color w:val="000000"/>
              </w:rPr>
              <w:t>450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58A96791" w14:textId="77777777" w:rsidR="007B392E" w:rsidRPr="007B392E" w:rsidRDefault="007B392E" w:rsidP="007B392E">
            <w:pPr>
              <w:jc w:val="right"/>
              <w:rPr>
                <w:rFonts w:cstheme="minorHAnsi"/>
                <w:color w:val="000000"/>
              </w:rPr>
            </w:pPr>
            <w:r w:rsidRPr="007B392E">
              <w:rPr>
                <w:rFonts w:cstheme="minorHAnsi"/>
                <w:color w:val="000000"/>
              </w:rPr>
              <w:t>(90)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75F70821" w14:textId="77777777" w:rsidR="007B392E" w:rsidRPr="007B392E" w:rsidRDefault="007B392E" w:rsidP="007B392E">
            <w:pPr>
              <w:jc w:val="right"/>
              <w:rPr>
                <w:rFonts w:cstheme="minorHAnsi"/>
                <w:color w:val="000000"/>
              </w:rPr>
            </w:pPr>
            <w:r w:rsidRPr="007B392E">
              <w:rPr>
                <w:rFonts w:cstheme="minorHAnsi"/>
                <w:color w:val="000000"/>
              </w:rPr>
              <w:t>360</w:t>
            </w:r>
          </w:p>
        </w:tc>
      </w:tr>
    </w:tbl>
    <w:p w14:paraId="5DA6A0E8" w14:textId="1AAC4CEF" w:rsidR="001D1B64" w:rsidRDefault="001D1B64">
      <w:pPr>
        <w:rPr>
          <w:rFonts w:cstheme="minorHAnsi"/>
          <w:color w:val="000000"/>
          <w:shd w:val="clear" w:color="auto" w:fill="FFFFFF"/>
          <w:lang w:val="en-US"/>
        </w:rPr>
      </w:pPr>
    </w:p>
    <w:p w14:paraId="5F101B5A" w14:textId="07F6442F" w:rsidR="007B392E" w:rsidRDefault="007B392E">
      <w:pPr>
        <w:rPr>
          <w:rFonts w:cstheme="minorHAnsi"/>
          <w:color w:val="000000"/>
          <w:shd w:val="clear" w:color="auto" w:fill="FFFFFF"/>
          <w:lang w:val="en-US"/>
        </w:rPr>
      </w:pPr>
    </w:p>
    <w:p w14:paraId="0DA2758D" w14:textId="2C8457B9" w:rsidR="007B392E" w:rsidRDefault="007B392E">
      <w:pPr>
        <w:rPr>
          <w:rFonts w:cstheme="minorHAnsi"/>
          <w:color w:val="000000"/>
          <w:shd w:val="clear" w:color="auto" w:fill="FFFFFF"/>
          <w:lang w:val="en-US"/>
        </w:rPr>
      </w:pPr>
    </w:p>
    <w:p w14:paraId="6C262234" w14:textId="0DFB2878" w:rsidR="007B392E" w:rsidRDefault="007B392E">
      <w:pPr>
        <w:rPr>
          <w:rFonts w:cstheme="minorHAnsi"/>
          <w:color w:val="000000"/>
          <w:shd w:val="clear" w:color="auto" w:fill="FFFFFF"/>
          <w:lang w:val="en-US"/>
        </w:rPr>
      </w:pPr>
    </w:p>
    <w:p w14:paraId="774C3591" w14:textId="41B001CC" w:rsidR="007B392E" w:rsidRDefault="007B392E">
      <w:pPr>
        <w:rPr>
          <w:rFonts w:cstheme="minorHAnsi"/>
          <w:color w:val="000000"/>
          <w:shd w:val="clear" w:color="auto" w:fill="FFFFFF"/>
          <w:lang w:val="en-US"/>
        </w:rPr>
      </w:pPr>
    </w:p>
    <w:p w14:paraId="1841CE59" w14:textId="2F95DAA4" w:rsidR="007B392E" w:rsidRDefault="007B392E">
      <w:pPr>
        <w:rPr>
          <w:rFonts w:cstheme="minorHAnsi"/>
          <w:color w:val="000000"/>
          <w:shd w:val="clear" w:color="auto" w:fill="FFFFFF"/>
          <w:lang w:val="en-US"/>
        </w:rPr>
      </w:pPr>
    </w:p>
    <w:p w14:paraId="22F182CC" w14:textId="67DD197F" w:rsidR="007B392E" w:rsidRDefault="007B392E">
      <w:pPr>
        <w:rPr>
          <w:rFonts w:cstheme="minorHAnsi"/>
          <w:color w:val="000000"/>
          <w:shd w:val="clear" w:color="auto" w:fill="FFFFFF"/>
          <w:lang w:val="en-US"/>
        </w:rPr>
      </w:pPr>
    </w:p>
    <w:p w14:paraId="7A5871C5" w14:textId="77777777" w:rsidR="00DE3CC4" w:rsidRDefault="00DE3CC4">
      <w:pPr>
        <w:rPr>
          <w:rFonts w:cstheme="minorHAnsi"/>
          <w:color w:val="000000"/>
          <w:shd w:val="clear" w:color="auto" w:fill="FFFFFF"/>
          <w:lang w:val="en-US"/>
        </w:rPr>
      </w:pPr>
    </w:p>
    <w:tbl>
      <w:tblPr>
        <w:tblpPr w:leftFromText="180" w:rightFromText="180" w:vertAnchor="text" w:horzAnchor="margin" w:tblpXSpec="center" w:tblpY="-74"/>
        <w:tblW w:w="9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9711"/>
      </w:tblGrid>
      <w:tr w:rsidR="007B392E" w:rsidRPr="007B392E" w14:paraId="251AE7F1" w14:textId="77777777" w:rsidTr="007B392E">
        <w:trPr>
          <w:trHeight w:val="264"/>
          <w:tblHeader/>
        </w:trPr>
        <w:tc>
          <w:tcPr>
            <w:tcW w:w="0" w:type="auto"/>
            <w:shd w:val="clear" w:color="auto" w:fill="FFFFFF"/>
            <w:tcMar>
              <w:top w:w="120" w:type="dxa"/>
              <w:left w:w="120" w:type="dxa"/>
              <w:bottom w:w="120" w:type="dxa"/>
              <w:right w:w="120" w:type="dxa"/>
            </w:tcMar>
            <w:vAlign w:val="bottom"/>
            <w:hideMark/>
          </w:tcPr>
          <w:p w14:paraId="22F17B7B" w14:textId="77777777" w:rsidR="007B392E" w:rsidRPr="007B392E" w:rsidRDefault="007B392E" w:rsidP="007B392E">
            <w:pPr>
              <w:spacing w:after="0" w:line="240" w:lineRule="auto"/>
              <w:rPr>
                <w:rFonts w:eastAsia="Times New Roman" w:cstheme="minorHAnsi"/>
                <w:b/>
                <w:bCs/>
                <w:color w:val="000000"/>
                <w:lang w:eastAsia="en-PK"/>
              </w:rPr>
            </w:pPr>
            <w:r w:rsidRPr="007B392E">
              <w:rPr>
                <w:rFonts w:eastAsia="Times New Roman" w:cstheme="minorHAnsi"/>
                <w:b/>
                <w:bCs/>
                <w:color w:val="000000"/>
                <w:bdr w:val="none" w:sz="0" w:space="0" w:color="auto" w:frame="1"/>
                <w:lang w:eastAsia="en-PK"/>
              </w:rPr>
              <w:t>Example 7 No Impairment Loss</w:t>
            </w:r>
          </w:p>
        </w:tc>
      </w:tr>
      <w:tr w:rsidR="007B392E" w:rsidRPr="007B392E" w14:paraId="18CB01BA" w14:textId="77777777" w:rsidTr="007B392E">
        <w:trPr>
          <w:trHeight w:val="4750"/>
        </w:trPr>
        <w:tc>
          <w:tcPr>
            <w:tcW w:w="0" w:type="auto"/>
            <w:shd w:val="clear" w:color="auto" w:fill="FFFFFF"/>
            <w:tcMar>
              <w:top w:w="120" w:type="dxa"/>
              <w:left w:w="120" w:type="dxa"/>
              <w:bottom w:w="120" w:type="dxa"/>
              <w:right w:w="120" w:type="dxa"/>
            </w:tcMar>
            <w:vAlign w:val="bottom"/>
            <w:hideMark/>
          </w:tcPr>
          <w:p w14:paraId="1440BC41" w14:textId="77777777" w:rsidR="007B392E" w:rsidRPr="007B392E" w:rsidRDefault="007B392E" w:rsidP="007B392E">
            <w:pPr>
              <w:spacing w:after="0" w:line="240" w:lineRule="auto"/>
              <w:rPr>
                <w:rFonts w:eastAsia="Times New Roman" w:cstheme="minorHAnsi"/>
                <w:color w:val="000000"/>
                <w:lang w:eastAsia="en-PK"/>
              </w:rPr>
            </w:pPr>
            <w:r w:rsidRPr="007B392E">
              <w:rPr>
                <w:rFonts w:eastAsia="Times New Roman" w:cstheme="minorHAnsi"/>
                <w:color w:val="000000"/>
                <w:lang w:eastAsia="en-PK"/>
              </w:rPr>
              <w:t xml:space="preserve">Two machines in a production line (the CGU) have suffered physical damage, but are still able to work albeit at reduced capacities. The fair value less costs of disposal of both machines are below their carrying amount. As the machines do not generate independent cash flows and management intends to keep the machines in operation, their value in use cannot be estimated. They are considered to be part of the CGU, the production line. Assessment of the recoverable amount of the production line as a </w:t>
            </w:r>
            <w:proofErr w:type="gramStart"/>
            <w:r w:rsidRPr="007B392E">
              <w:rPr>
                <w:rFonts w:eastAsia="Times New Roman" w:cstheme="minorHAnsi"/>
                <w:color w:val="000000"/>
                <w:lang w:eastAsia="en-PK"/>
              </w:rPr>
              <w:t>whole shows</w:t>
            </w:r>
            <w:proofErr w:type="gramEnd"/>
            <w:r w:rsidRPr="007B392E">
              <w:rPr>
                <w:rFonts w:eastAsia="Times New Roman" w:cstheme="minorHAnsi"/>
                <w:color w:val="000000"/>
                <w:lang w:eastAsia="en-PK"/>
              </w:rPr>
              <w:t xml:space="preserve"> that there has been no impairment of the CGU</w:t>
            </w:r>
          </w:p>
          <w:p w14:paraId="1282C9D4" w14:textId="77777777" w:rsidR="007B392E" w:rsidRPr="007B392E" w:rsidRDefault="007B392E" w:rsidP="007B392E">
            <w:pPr>
              <w:spacing w:after="0" w:line="240" w:lineRule="auto"/>
              <w:textAlignment w:val="baseline"/>
              <w:rPr>
                <w:rFonts w:eastAsia="Times New Roman" w:cstheme="minorHAnsi"/>
                <w:color w:val="000000"/>
                <w:lang w:eastAsia="en-PK"/>
              </w:rPr>
            </w:pPr>
            <w:r w:rsidRPr="007B392E">
              <w:rPr>
                <w:rFonts w:eastAsia="Times New Roman" w:cstheme="minorHAnsi"/>
                <w:b/>
                <w:bCs/>
                <w:color w:val="000000"/>
                <w:bdr w:val="none" w:sz="0" w:space="0" w:color="auto" w:frame="1"/>
                <w:lang w:eastAsia="en-PK"/>
              </w:rPr>
              <w:t>Required</w:t>
            </w:r>
          </w:p>
          <w:p w14:paraId="3E85970B" w14:textId="77777777" w:rsidR="007B392E" w:rsidRPr="007B392E" w:rsidRDefault="0080514D" w:rsidP="007B392E">
            <w:pPr>
              <w:spacing w:before="75" w:after="150" w:line="240" w:lineRule="auto"/>
              <w:rPr>
                <w:rFonts w:eastAsia="Times New Roman" w:cstheme="minorHAnsi"/>
                <w:color w:val="000000"/>
                <w:lang w:eastAsia="en-PK"/>
              </w:rPr>
            </w:pPr>
            <w:r>
              <w:rPr>
                <w:rFonts w:eastAsia="Times New Roman" w:cstheme="minorHAnsi"/>
                <w:color w:val="000000"/>
                <w:lang w:eastAsia="en-PK"/>
              </w:rPr>
              <w:pict w14:anchorId="6E1B289A">
                <v:rect id="_x0000_i1025" style="width:112.45pt;height:0" o:hrpct="0" o:hralign="center" o:hrstd="t" o:hrnoshade="t" o:hr="t" fillcolor="black" stroked="f"/>
              </w:pict>
            </w:r>
          </w:p>
          <w:p w14:paraId="26005059" w14:textId="77777777" w:rsidR="007B392E" w:rsidRPr="007B392E" w:rsidRDefault="007B392E" w:rsidP="007B392E">
            <w:pPr>
              <w:spacing w:after="0" w:line="240" w:lineRule="auto"/>
              <w:textAlignment w:val="baseline"/>
              <w:rPr>
                <w:rFonts w:eastAsia="Times New Roman" w:cstheme="minorHAnsi"/>
                <w:color w:val="000000"/>
                <w:lang w:eastAsia="en-PK"/>
              </w:rPr>
            </w:pPr>
            <w:r w:rsidRPr="007B392E">
              <w:rPr>
                <w:rFonts w:eastAsia="Times New Roman" w:cstheme="minorHAnsi"/>
                <w:b/>
                <w:bCs/>
                <w:color w:val="000000"/>
                <w:bdr w:val="none" w:sz="0" w:space="0" w:color="auto" w:frame="1"/>
                <w:lang w:eastAsia="en-PK"/>
              </w:rPr>
              <w:t>Discuss appropriate accounting treatment for the machines.</w:t>
            </w:r>
          </w:p>
          <w:p w14:paraId="75172784" w14:textId="77777777" w:rsidR="007B392E" w:rsidRPr="007B392E" w:rsidRDefault="007B392E" w:rsidP="007B392E">
            <w:pPr>
              <w:spacing w:after="0" w:line="240" w:lineRule="auto"/>
              <w:textAlignment w:val="baseline"/>
              <w:rPr>
                <w:rFonts w:eastAsia="Times New Roman" w:cstheme="minorHAnsi"/>
                <w:color w:val="000000"/>
                <w:lang w:eastAsia="en-PK"/>
              </w:rPr>
            </w:pPr>
            <w:r w:rsidRPr="007B392E">
              <w:rPr>
                <w:rFonts w:eastAsia="Times New Roman" w:cstheme="minorHAnsi"/>
                <w:b/>
                <w:bCs/>
                <w:color w:val="000000"/>
                <w:bdr w:val="none" w:sz="0" w:space="0" w:color="auto" w:frame="1"/>
                <w:lang w:eastAsia="en-PK"/>
              </w:rPr>
              <w:t>Solution:</w:t>
            </w:r>
          </w:p>
          <w:p w14:paraId="1453F435"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 xml:space="preserve">Assessment of the recoverable amount of the production line as a </w:t>
            </w:r>
            <w:proofErr w:type="gramStart"/>
            <w:r w:rsidRPr="007B392E">
              <w:rPr>
                <w:rFonts w:eastAsia="Times New Roman" w:cstheme="minorHAnsi"/>
                <w:color w:val="000000"/>
                <w:bdr w:val="none" w:sz="0" w:space="0" w:color="auto" w:frame="1"/>
                <w:lang w:eastAsia="en-PK"/>
              </w:rPr>
              <w:t>whole shows</w:t>
            </w:r>
            <w:proofErr w:type="gramEnd"/>
            <w:r w:rsidRPr="007B392E">
              <w:rPr>
                <w:rFonts w:eastAsia="Times New Roman" w:cstheme="minorHAnsi"/>
                <w:color w:val="000000"/>
                <w:bdr w:val="none" w:sz="0" w:space="0" w:color="auto" w:frame="1"/>
                <w:lang w:eastAsia="en-PK"/>
              </w:rPr>
              <w:t xml:space="preserve"> that there has been no impairment of the CGU. Therefore, no impairment losses are recognised for the machines.</w:t>
            </w:r>
          </w:p>
          <w:p w14:paraId="73CC5577"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However, because of the damage to the machines, the estimated useful life and residual values of the machines may need to be reassessed.</w:t>
            </w:r>
          </w:p>
          <w:p w14:paraId="00F7A9A0"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If, because of the damage, management decides to replace the machines and sell them in the near future, their value in use can be estimated as the present value of expected sale proceeds less costs of disposal. Where this is less than their carrying amount, an impairment loss should be recognised for the individual machines.</w:t>
            </w:r>
          </w:p>
          <w:p w14:paraId="3833081D"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No impairment will be recognised for the production line because the machines have not been replaced.</w:t>
            </w:r>
          </w:p>
        </w:tc>
      </w:tr>
    </w:tbl>
    <w:p w14:paraId="22FFB4A8" w14:textId="46C2433C" w:rsidR="007B392E" w:rsidRDefault="007B392E">
      <w:pPr>
        <w:rPr>
          <w:rFonts w:cstheme="minorHAnsi"/>
          <w:color w:val="000000"/>
          <w:shd w:val="clear" w:color="auto" w:fill="FFFFFF"/>
          <w:lang w:val="en-US"/>
        </w:rPr>
      </w:pPr>
    </w:p>
    <w:tbl>
      <w:tblPr>
        <w:tblpPr w:leftFromText="180" w:rightFromText="180" w:horzAnchor="margin" w:tblpXSpec="center" w:tblpY="-285"/>
        <w:tblW w:w="109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0935"/>
      </w:tblGrid>
      <w:tr w:rsidR="008F74E9" w:rsidRPr="008F74E9" w14:paraId="0D4F748E" w14:textId="77777777" w:rsidTr="008F74E9">
        <w:trPr>
          <w:trHeight w:val="272"/>
          <w:tblHeader/>
        </w:trPr>
        <w:tc>
          <w:tcPr>
            <w:tcW w:w="0" w:type="auto"/>
            <w:shd w:val="clear" w:color="auto" w:fill="FFFFFF"/>
            <w:tcMar>
              <w:top w:w="120" w:type="dxa"/>
              <w:left w:w="120" w:type="dxa"/>
              <w:bottom w:w="120" w:type="dxa"/>
              <w:right w:w="120" w:type="dxa"/>
            </w:tcMar>
            <w:vAlign w:val="bottom"/>
            <w:hideMark/>
          </w:tcPr>
          <w:p w14:paraId="64E70248" w14:textId="77777777" w:rsidR="008F74E9" w:rsidRPr="008F74E9" w:rsidRDefault="008F74E9" w:rsidP="008F74E9">
            <w:pPr>
              <w:spacing w:after="0" w:line="240" w:lineRule="auto"/>
              <w:rPr>
                <w:rFonts w:eastAsia="Times New Roman" w:cstheme="minorHAnsi"/>
                <w:b/>
                <w:bCs/>
                <w:color w:val="000000"/>
                <w:lang w:eastAsia="en-PK"/>
              </w:rPr>
            </w:pPr>
            <w:r w:rsidRPr="008F74E9">
              <w:rPr>
                <w:rFonts w:eastAsia="Times New Roman" w:cstheme="minorHAnsi"/>
                <w:b/>
                <w:bCs/>
                <w:color w:val="000000"/>
                <w:bdr w:val="none" w:sz="0" w:space="0" w:color="auto" w:frame="1"/>
                <w:lang w:eastAsia="en-PK"/>
              </w:rPr>
              <w:lastRenderedPageBreak/>
              <w:t>Example 9 Impairment of Assets</w:t>
            </w:r>
          </w:p>
        </w:tc>
      </w:tr>
      <w:tr w:rsidR="008F74E9" w:rsidRPr="008F74E9" w14:paraId="20B49D85" w14:textId="77777777" w:rsidTr="008F74E9">
        <w:trPr>
          <w:trHeight w:val="14565"/>
        </w:trPr>
        <w:tc>
          <w:tcPr>
            <w:tcW w:w="0" w:type="auto"/>
            <w:shd w:val="clear" w:color="auto" w:fill="FFFFFF"/>
            <w:tcMar>
              <w:top w:w="120" w:type="dxa"/>
              <w:left w:w="120" w:type="dxa"/>
              <w:bottom w:w="120" w:type="dxa"/>
              <w:right w:w="120" w:type="dxa"/>
            </w:tcMar>
            <w:vAlign w:val="bottom"/>
            <w:hideMark/>
          </w:tcPr>
          <w:p w14:paraId="3C372163" w14:textId="77777777" w:rsidR="008F74E9" w:rsidRPr="008F74E9" w:rsidRDefault="008F74E9" w:rsidP="008F74E9">
            <w:pPr>
              <w:spacing w:after="15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On 1 February 20X8, a famous footballer striker, Spartacus, transferred permanently from Rutland AFC to Freeport United under a five-year contract. Freeport United paid Rutland United a $32 million transfer fee for Spartacus’ registration certificate and also paid a $25 million signing-on fee to Spartacus himself and a $3 million fee to Spartacus’ agent. Freeport has an enforceable right to retain Spartacus’ services for the entire term of the contract. Spartacus started playing for Freeport’s first team immediately.</w:t>
            </w:r>
          </w:p>
          <w:p w14:paraId="2A08967A" w14:textId="77777777" w:rsidR="008F74E9" w:rsidRPr="008F74E9" w:rsidRDefault="008F74E9" w:rsidP="008F74E9">
            <w:pPr>
              <w:spacing w:after="15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During 20X8, Freeport United played badly and dropped to the bottom of their league. At 31 December 20X8 it was identified that Spartacus in particular had demonstrated poor match performance since the transfer, and scored only one goal for Rutland in 36 league matches. Despite this, Spartacus continues to train and play regularly with the first team.</w:t>
            </w:r>
          </w:p>
          <w:p w14:paraId="53F30D33" w14:textId="6F75DD8A"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b/>
                <w:bCs/>
                <w:color w:val="000000"/>
                <w:bdr w:val="none" w:sz="0" w:space="0" w:color="auto" w:frame="1"/>
                <w:lang w:eastAsia="en-PK"/>
              </w:rPr>
              <w:t>Required</w:t>
            </w:r>
          </w:p>
          <w:p w14:paraId="2E4E2F33" w14:textId="77777777"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b/>
                <w:bCs/>
                <w:color w:val="000000"/>
                <w:bdr w:val="none" w:sz="0" w:space="0" w:color="auto" w:frame="1"/>
                <w:lang w:eastAsia="en-PK"/>
              </w:rPr>
              <w:t>Discuss how Spartacus should be accounted for in the financial statements of Freeport United in the year ended 31 December.</w:t>
            </w:r>
          </w:p>
          <w:p w14:paraId="087590EC" w14:textId="77777777"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b/>
                <w:bCs/>
                <w:color w:val="000000"/>
                <w:bdr w:val="none" w:sz="0" w:space="0" w:color="auto" w:frame="1"/>
                <w:lang w:eastAsia="en-PK"/>
              </w:rPr>
              <w:t>How to approach the question:</w:t>
            </w:r>
          </w:p>
          <w:p w14:paraId="21455599" w14:textId="77777777" w:rsidR="008F74E9" w:rsidRPr="008F74E9" w:rsidRDefault="008F74E9" w:rsidP="008F74E9">
            <w:pPr>
              <w:numPr>
                <w:ilvl w:val="0"/>
                <w:numId w:val="7"/>
              </w:numPr>
              <w:spacing w:after="0" w:line="240" w:lineRule="auto"/>
              <w:ind w:left="1080"/>
              <w:textAlignment w:val="baseline"/>
              <w:rPr>
                <w:rFonts w:eastAsia="Times New Roman" w:cstheme="minorHAnsi"/>
                <w:color w:val="000000"/>
                <w:lang w:eastAsia="en-PK"/>
              </w:rPr>
            </w:pPr>
            <w:r w:rsidRPr="008F74E9">
              <w:rPr>
                <w:rFonts w:eastAsia="Times New Roman" w:cstheme="minorHAnsi"/>
                <w:color w:val="000000"/>
                <w:bdr w:val="none" w:sz="0" w:space="0" w:color="auto" w:frame="1"/>
                <w:lang w:eastAsia="en-PK"/>
              </w:rPr>
              <w:t>Brainstorm which standards are relevant or could be relevant to each issue</w:t>
            </w:r>
          </w:p>
          <w:p w14:paraId="7BF19A55"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eastAsia="en-PK"/>
              </w:rPr>
            </w:pPr>
            <w:r w:rsidRPr="008F74E9">
              <w:rPr>
                <w:rFonts w:eastAsia="Times New Roman" w:cstheme="minorHAnsi"/>
                <w:color w:val="000000"/>
                <w:bdr w:val="none" w:sz="0" w:space="0" w:color="auto" w:frame="1"/>
                <w:lang w:eastAsia="en-PK"/>
              </w:rPr>
              <w:t>Transfer fee paid to seller to acquire player – IAS 38</w:t>
            </w:r>
          </w:p>
          <w:p w14:paraId="7EBAA137"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eastAsia="en-PK"/>
              </w:rPr>
            </w:pPr>
            <w:r w:rsidRPr="008F74E9">
              <w:rPr>
                <w:rFonts w:eastAsia="Times New Roman" w:cstheme="minorHAnsi"/>
                <w:color w:val="000000"/>
                <w:bdr w:val="none" w:sz="0" w:space="0" w:color="auto" w:frame="1"/>
                <w:lang w:eastAsia="en-PK"/>
              </w:rPr>
              <w:t>Signing-on fee paid to player (upfront payment for services) – IAS 19 </w:t>
            </w:r>
            <w:r w:rsidRPr="008F74E9">
              <w:rPr>
                <w:rFonts w:eastAsia="Times New Roman" w:cstheme="minorHAnsi"/>
                <w:i/>
                <w:iCs/>
                <w:color w:val="000000"/>
                <w:bdr w:val="none" w:sz="0" w:space="0" w:color="auto" w:frame="1"/>
                <w:lang w:eastAsia="en-PK"/>
              </w:rPr>
              <w:t>Employee Benefits</w:t>
            </w:r>
          </w:p>
          <w:p w14:paraId="58C7C260"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eastAsia="en-PK"/>
              </w:rPr>
            </w:pPr>
            <w:r w:rsidRPr="008F74E9">
              <w:rPr>
                <w:rFonts w:eastAsia="Times New Roman" w:cstheme="minorHAnsi"/>
                <w:color w:val="000000"/>
                <w:bdr w:val="none" w:sz="0" w:space="0" w:color="auto" w:frame="1"/>
                <w:lang w:eastAsia="en-PK"/>
              </w:rPr>
              <w:t>Fee paid to agent (directly attributable cost of acquiring intangible asset) – IAS 38</w:t>
            </w:r>
          </w:p>
          <w:p w14:paraId="0278BF69"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eastAsia="en-PK"/>
              </w:rPr>
            </w:pPr>
            <w:r w:rsidRPr="008F74E9">
              <w:rPr>
                <w:rFonts w:eastAsia="Times New Roman" w:cstheme="minorHAnsi"/>
                <w:color w:val="000000"/>
                <w:bdr w:val="none" w:sz="0" w:space="0" w:color="auto" w:frame="1"/>
                <w:lang w:eastAsia="en-PK"/>
              </w:rPr>
              <w:t>Poor performance of player since acquisition – IAS 36</w:t>
            </w:r>
          </w:p>
          <w:p w14:paraId="6D53CD26" w14:textId="77777777" w:rsidR="008F74E9" w:rsidRPr="008F74E9" w:rsidRDefault="008F74E9" w:rsidP="008F74E9">
            <w:pPr>
              <w:numPr>
                <w:ilvl w:val="0"/>
                <w:numId w:val="8"/>
              </w:numPr>
              <w:spacing w:after="0" w:line="240" w:lineRule="auto"/>
              <w:ind w:left="1080"/>
              <w:textAlignment w:val="baseline"/>
              <w:rPr>
                <w:rFonts w:eastAsia="Times New Roman" w:cstheme="minorHAnsi"/>
                <w:color w:val="000000"/>
                <w:lang w:eastAsia="en-PK"/>
              </w:rPr>
            </w:pPr>
            <w:r w:rsidRPr="008F74E9">
              <w:rPr>
                <w:rFonts w:eastAsia="Times New Roman" w:cstheme="minorHAnsi"/>
                <w:color w:val="000000"/>
                <w:bdr w:val="none" w:sz="0" w:space="0" w:color="auto" w:frame="1"/>
                <w:lang w:eastAsia="en-PK"/>
              </w:rPr>
              <w:t>Consider how they are applied</w:t>
            </w:r>
          </w:p>
          <w:p w14:paraId="42F218E0"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eastAsia="en-PK"/>
              </w:rPr>
            </w:pPr>
            <w:r w:rsidRPr="008F74E9">
              <w:rPr>
                <w:rFonts w:eastAsia="Times New Roman" w:cstheme="minorHAnsi"/>
                <w:color w:val="000000"/>
                <w:bdr w:val="none" w:sz="0" w:space="0" w:color="auto" w:frame="1"/>
                <w:lang w:eastAsia="en-PK"/>
              </w:rPr>
              <w:t>Explanation of each issue in turn</w:t>
            </w:r>
          </w:p>
          <w:p w14:paraId="5CB133B2"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eastAsia="en-PK"/>
              </w:rPr>
            </w:pPr>
            <w:r w:rsidRPr="008F74E9">
              <w:rPr>
                <w:rFonts w:eastAsia="Times New Roman" w:cstheme="minorHAnsi"/>
                <w:color w:val="000000"/>
                <w:bdr w:val="none" w:sz="0" w:space="0" w:color="auto" w:frame="1"/>
                <w:lang w:eastAsia="en-PK"/>
              </w:rPr>
              <w:t>Provide supporting calculations where possible.</w:t>
            </w:r>
          </w:p>
          <w:p w14:paraId="15192A34" w14:textId="77777777" w:rsidR="008F74E9" w:rsidRPr="008F74E9" w:rsidRDefault="008F74E9" w:rsidP="008F74E9">
            <w:pPr>
              <w:numPr>
                <w:ilvl w:val="0"/>
                <w:numId w:val="8"/>
              </w:numPr>
              <w:spacing w:after="0" w:line="240" w:lineRule="auto"/>
              <w:ind w:left="1080"/>
              <w:textAlignment w:val="baseline"/>
              <w:rPr>
                <w:rFonts w:eastAsia="Times New Roman" w:cstheme="minorHAnsi"/>
                <w:color w:val="000000"/>
                <w:lang w:eastAsia="en-PK"/>
              </w:rPr>
            </w:pPr>
            <w:r w:rsidRPr="008F74E9">
              <w:rPr>
                <w:rFonts w:eastAsia="Times New Roman" w:cstheme="minorHAnsi"/>
                <w:color w:val="000000"/>
                <w:bdr w:val="none" w:sz="0" w:space="0" w:color="auto" w:frame="1"/>
                <w:lang w:eastAsia="en-PK"/>
              </w:rPr>
              <w:t>Write a solution, dealing with each issue in turn. State the requirements of the standard and apply them to the scenario.</w:t>
            </w:r>
          </w:p>
          <w:p w14:paraId="0174CE02" w14:textId="77777777"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b/>
                <w:bCs/>
                <w:color w:val="000000"/>
                <w:bdr w:val="none" w:sz="0" w:space="0" w:color="auto" w:frame="1"/>
                <w:lang w:eastAsia="en-PK"/>
              </w:rPr>
              <w:t>Solution:</w:t>
            </w:r>
          </w:p>
          <w:p w14:paraId="790FD048" w14:textId="77777777" w:rsidR="008F74E9" w:rsidRPr="008F74E9" w:rsidRDefault="008F74E9" w:rsidP="008F74E9">
            <w:pPr>
              <w:spacing w:after="15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Freeport United made three payments on the transfer of Spartacus to its club: a transfer fee to his former club, a signing-on fee to Spartacus himself and a fee to Spartacus’ agent.</w:t>
            </w:r>
          </w:p>
          <w:p w14:paraId="6EB644C7" w14:textId="77777777"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Spartacus’ registration rights meet the definition of an intangible asset in IAS 38 </w:t>
            </w:r>
            <w:r w:rsidRPr="008F74E9">
              <w:rPr>
                <w:rFonts w:eastAsia="Times New Roman" w:cstheme="minorHAnsi"/>
                <w:i/>
                <w:iCs/>
                <w:color w:val="000000"/>
                <w:bdr w:val="none" w:sz="0" w:space="0" w:color="auto" w:frame="1"/>
                <w:lang w:eastAsia="en-PK"/>
              </w:rPr>
              <w:t>Intangible Assets</w:t>
            </w:r>
            <w:r w:rsidRPr="008F74E9">
              <w:rPr>
                <w:rFonts w:eastAsia="Times New Roman" w:cstheme="minorHAnsi"/>
                <w:color w:val="000000"/>
                <w:lang w:eastAsia="en-PK"/>
              </w:rPr>
              <w:t>, being an identifiable non-monetary asset without physical substance. The rights are identifiable because they are both separable (</w:t>
            </w:r>
            <w:proofErr w:type="gramStart"/>
            <w:r w:rsidRPr="008F74E9">
              <w:rPr>
                <w:rFonts w:eastAsia="Times New Roman" w:cstheme="minorHAnsi"/>
                <w:color w:val="000000"/>
                <w:lang w:eastAsia="en-PK"/>
              </w:rPr>
              <w:t>i.e.</w:t>
            </w:r>
            <w:proofErr w:type="gramEnd"/>
            <w:r w:rsidRPr="008F74E9">
              <w:rPr>
                <w:rFonts w:eastAsia="Times New Roman" w:cstheme="minorHAnsi"/>
                <w:color w:val="000000"/>
                <w:lang w:eastAsia="en-PK"/>
              </w:rPr>
              <w:t xml:space="preserve"> the registration is capable of separate sale) and arise from contractual rights. They create an asset because they are within the control of Freeport United and will result in probable economic benefits, and they lack physical substance.</w:t>
            </w:r>
          </w:p>
          <w:p w14:paraId="61797DF4" w14:textId="77777777" w:rsidR="008F74E9" w:rsidRPr="008F74E9" w:rsidRDefault="008F74E9" w:rsidP="008F74E9">
            <w:pPr>
              <w:spacing w:after="150" w:line="240" w:lineRule="auto"/>
              <w:textAlignment w:val="baseline"/>
              <w:rPr>
                <w:rFonts w:eastAsia="Times New Roman" w:cstheme="minorHAnsi"/>
                <w:color w:val="000000"/>
                <w:lang w:eastAsia="en-PK"/>
              </w:rPr>
            </w:pPr>
            <w:proofErr w:type="gramStart"/>
            <w:r w:rsidRPr="008F74E9">
              <w:rPr>
                <w:rFonts w:eastAsia="Times New Roman" w:cstheme="minorHAnsi"/>
                <w:color w:val="000000"/>
                <w:lang w:eastAsia="en-PK"/>
              </w:rPr>
              <w:t>Therefore</w:t>
            </w:r>
            <w:proofErr w:type="gramEnd"/>
            <w:r w:rsidRPr="008F74E9">
              <w:rPr>
                <w:rFonts w:eastAsia="Times New Roman" w:cstheme="minorHAnsi"/>
                <w:color w:val="000000"/>
                <w:lang w:eastAsia="en-PK"/>
              </w:rPr>
              <w:t xml:space="preserve"> an intangible asset is recognised when control of Spartacus passes from Rutland to Freeport. This is measured at the costs that are directly attributable to the purchase of the registration rights. This includes the transfer fee of $32 million and the $3 million fee paid to Spartacus’ agent. The intangible asset is therefore initially measured at $35 million.</w:t>
            </w:r>
          </w:p>
          <w:p w14:paraId="0CE1D6A1" w14:textId="77777777"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The registration rights should then be amortised on a straight-line basis over the period that the rights relate to, in this case 5 years. This gives rise to an amortisation expense of $6.42 million </w:t>
            </w:r>
            <w:r w:rsidRPr="008F74E9">
              <w:rPr>
                <w:rFonts w:eastAsia="Times New Roman" w:cstheme="minorHAnsi"/>
                <w:color w:val="000000"/>
                <w:bdr w:val="none" w:sz="0" w:space="0" w:color="auto" w:frame="1"/>
                <w:lang w:eastAsia="en-PK"/>
              </w:rPr>
              <w:t>​​</w:t>
            </w:r>
            <w:r w:rsidRPr="008F74E9">
              <w:rPr>
                <w:rFonts w:eastAsia="Times New Roman" w:cstheme="minorHAnsi"/>
                <w:color w:val="000000"/>
                <w:lang w:eastAsia="en-PK"/>
              </w:rPr>
              <w:t>, assuming that control of Spartacus passed on 1 February 20X8.</w:t>
            </w:r>
          </w:p>
          <w:p w14:paraId="4EF3A1EC" w14:textId="77777777" w:rsidR="008F74E9" w:rsidRPr="008F74E9" w:rsidRDefault="008F74E9" w:rsidP="008F74E9">
            <w:pPr>
              <w:spacing w:after="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 xml:space="preserve">The signing on fees </w:t>
            </w:r>
            <w:proofErr w:type="gramStart"/>
            <w:r w:rsidRPr="008F74E9">
              <w:rPr>
                <w:rFonts w:eastAsia="Times New Roman" w:cstheme="minorHAnsi"/>
                <w:color w:val="000000"/>
                <w:lang w:eastAsia="en-PK"/>
              </w:rPr>
              <w:t>are</w:t>
            </w:r>
            <w:proofErr w:type="gramEnd"/>
            <w:r w:rsidRPr="008F74E9">
              <w:rPr>
                <w:rFonts w:eastAsia="Times New Roman" w:cstheme="minorHAnsi"/>
                <w:color w:val="000000"/>
                <w:lang w:eastAsia="en-PK"/>
              </w:rPr>
              <w:t xml:space="preserve"> payable to Spartacus himself in exchange for his future services. The fees are therefore accounted for as an employee benefit in accordance with IAS 19 </w:t>
            </w:r>
            <w:r w:rsidRPr="008F74E9">
              <w:rPr>
                <w:rFonts w:eastAsia="Times New Roman" w:cstheme="minorHAnsi"/>
                <w:i/>
                <w:iCs/>
                <w:color w:val="000000"/>
                <w:bdr w:val="none" w:sz="0" w:space="0" w:color="auto" w:frame="1"/>
                <w:lang w:eastAsia="en-PK"/>
              </w:rPr>
              <w:t>Employee Benefits</w:t>
            </w:r>
            <w:r w:rsidRPr="008F74E9">
              <w:rPr>
                <w:rFonts w:eastAsia="Times New Roman" w:cstheme="minorHAnsi"/>
                <w:color w:val="000000"/>
                <w:lang w:eastAsia="en-PK"/>
              </w:rPr>
              <w:t xml:space="preserve">. The fact that Freeport has an enforceable right to receive the player’s services for the </w:t>
            </w:r>
            <w:proofErr w:type="gramStart"/>
            <w:r w:rsidRPr="008F74E9">
              <w:rPr>
                <w:rFonts w:eastAsia="Times New Roman" w:cstheme="minorHAnsi"/>
                <w:color w:val="000000"/>
                <w:lang w:eastAsia="en-PK"/>
              </w:rPr>
              <w:t>5 year</w:t>
            </w:r>
            <w:proofErr w:type="gramEnd"/>
            <w:r w:rsidRPr="008F74E9">
              <w:rPr>
                <w:rFonts w:eastAsia="Times New Roman" w:cstheme="minorHAnsi"/>
                <w:color w:val="000000"/>
                <w:lang w:eastAsia="en-PK"/>
              </w:rPr>
              <w:t xml:space="preserve"> contact term means that the $25 million should be recognised as an expense spread over this term. When the fee is initially paid, a prepayment is recognised; this is subsequently released to profit or loss on a straight-line basis. In the year ended 31 December 20X8 an employee expense of $4.58 million </w:t>
            </w:r>
            <w:r w:rsidRPr="008F74E9">
              <w:rPr>
                <w:rFonts w:eastAsia="Times New Roman" w:cstheme="minorHAnsi"/>
                <w:color w:val="000000"/>
                <w:bdr w:val="none" w:sz="0" w:space="0" w:color="auto" w:frame="1"/>
                <w:lang w:eastAsia="en-PK"/>
              </w:rPr>
              <w:t>​​</w:t>
            </w:r>
            <w:r w:rsidRPr="008F74E9">
              <w:rPr>
                <w:rFonts w:eastAsia="Times New Roman" w:cstheme="minorHAnsi"/>
                <w:color w:val="000000"/>
                <w:lang w:eastAsia="en-PK"/>
              </w:rPr>
              <w:t> is recognised.</w:t>
            </w:r>
          </w:p>
          <w:p w14:paraId="7397C6DA" w14:textId="77777777" w:rsidR="008F74E9" w:rsidRPr="008F74E9" w:rsidRDefault="008F74E9" w:rsidP="008F74E9">
            <w:pPr>
              <w:spacing w:after="150" w:line="240" w:lineRule="auto"/>
              <w:textAlignment w:val="baseline"/>
              <w:rPr>
                <w:rFonts w:eastAsia="Times New Roman" w:cstheme="minorHAnsi"/>
                <w:color w:val="000000"/>
                <w:lang w:eastAsia="en-PK"/>
              </w:rPr>
            </w:pPr>
            <w:r w:rsidRPr="008F74E9">
              <w:rPr>
                <w:rFonts w:eastAsia="Times New Roman" w:cstheme="minorHAnsi"/>
                <w:color w:val="000000"/>
                <w:lang w:eastAsia="en-PK"/>
              </w:rPr>
              <w:t xml:space="preserve">As long as he is available to play in the first team Spartacus’ poor performance is not an indicator of impairment of his registration rights. A football player does not generate cash inflows that are largely independent of the remainder of the team and therefore, unless a player has significant injury and cannot play, they are not assessed for impairment individually. A football player generates cash inflows together with the remainder of their team (in this case Freeport’s first team) and therefore the team is a CGU that is assessed for impairment when indicators exist. Freeport United first team has had a bad season and has dropped to the bottom of its league. This may be an indicator of the impairment of the team since it is likely to lead to reduced ticket sales, shirt sales and potentially lost sponsorship. The recoverable amount of the team should therefore be determined at 31 December 20X8 and compared with </w:t>
            </w:r>
            <w:proofErr w:type="gramStart"/>
            <w:r w:rsidRPr="008F74E9">
              <w:rPr>
                <w:rFonts w:eastAsia="Times New Roman" w:cstheme="minorHAnsi"/>
                <w:color w:val="000000"/>
                <w:lang w:eastAsia="en-PK"/>
              </w:rPr>
              <w:t>its</w:t>
            </w:r>
            <w:proofErr w:type="gramEnd"/>
            <w:r w:rsidRPr="008F74E9">
              <w:rPr>
                <w:rFonts w:eastAsia="Times New Roman" w:cstheme="minorHAnsi"/>
                <w:color w:val="000000"/>
                <w:lang w:eastAsia="en-PK"/>
              </w:rPr>
              <w:t xml:space="preserve"> carrying amount, which includes the registration rights of players.</w:t>
            </w:r>
          </w:p>
        </w:tc>
      </w:tr>
    </w:tbl>
    <w:p w14:paraId="259A2319" w14:textId="16C9AA7D" w:rsidR="007B392E" w:rsidRDefault="007B392E">
      <w:pPr>
        <w:rPr>
          <w:rFonts w:cstheme="minorHAnsi"/>
          <w:color w:val="000000"/>
          <w:shd w:val="clear" w:color="auto" w:fill="FFFFFF"/>
          <w:lang w:val="en-US"/>
        </w:rPr>
      </w:pPr>
    </w:p>
    <w:tbl>
      <w:tblPr>
        <w:tblpPr w:leftFromText="180" w:rightFromText="180" w:vertAnchor="page" w:horzAnchor="margin" w:tblpY="2086"/>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9479"/>
      </w:tblGrid>
      <w:tr w:rsidR="00177CEC" w:rsidRPr="00177CEC" w14:paraId="0EDFC34E" w14:textId="77777777" w:rsidTr="00177CEC">
        <w:trPr>
          <w:trHeight w:val="272"/>
          <w:tblHeader/>
        </w:trPr>
        <w:tc>
          <w:tcPr>
            <w:tcW w:w="0" w:type="auto"/>
            <w:shd w:val="clear" w:color="auto" w:fill="FFFFFF"/>
            <w:tcMar>
              <w:top w:w="120" w:type="dxa"/>
              <w:left w:w="120" w:type="dxa"/>
              <w:bottom w:w="120" w:type="dxa"/>
              <w:right w:w="120" w:type="dxa"/>
            </w:tcMar>
            <w:vAlign w:val="bottom"/>
            <w:hideMark/>
          </w:tcPr>
          <w:p w14:paraId="796766CD" w14:textId="77777777" w:rsidR="00177CEC" w:rsidRPr="00177CEC" w:rsidRDefault="00177CEC" w:rsidP="00177CEC">
            <w:pPr>
              <w:spacing w:after="0" w:line="240" w:lineRule="auto"/>
              <w:rPr>
                <w:rFonts w:eastAsia="Times New Roman" w:cstheme="minorHAnsi"/>
                <w:b/>
                <w:bCs/>
                <w:color w:val="000000"/>
                <w:lang w:eastAsia="en-PK"/>
              </w:rPr>
            </w:pPr>
            <w:r w:rsidRPr="00177CEC">
              <w:rPr>
                <w:rFonts w:eastAsia="Times New Roman" w:cstheme="minorHAnsi"/>
                <w:b/>
                <w:bCs/>
                <w:color w:val="000000"/>
                <w:lang w:eastAsia="en-PK"/>
              </w:rPr>
              <w:lastRenderedPageBreak/>
              <w:t>Exhibit 1 Carillion</w:t>
            </w:r>
          </w:p>
        </w:tc>
      </w:tr>
      <w:tr w:rsidR="00177CEC" w:rsidRPr="00177CEC" w14:paraId="616827E4" w14:textId="77777777" w:rsidTr="00177CEC">
        <w:trPr>
          <w:trHeight w:val="4802"/>
        </w:trPr>
        <w:tc>
          <w:tcPr>
            <w:tcW w:w="0" w:type="auto"/>
            <w:shd w:val="clear" w:color="auto" w:fill="FFFFFF"/>
            <w:tcMar>
              <w:top w:w="120" w:type="dxa"/>
              <w:left w:w="120" w:type="dxa"/>
              <w:bottom w:w="120" w:type="dxa"/>
              <w:right w:w="120" w:type="dxa"/>
            </w:tcMar>
            <w:vAlign w:val="bottom"/>
            <w:hideMark/>
          </w:tcPr>
          <w:p w14:paraId="3954527D" w14:textId="77777777" w:rsidR="00177CEC" w:rsidRPr="00177CEC" w:rsidRDefault="00177CEC" w:rsidP="00177CEC">
            <w:pPr>
              <w:spacing w:after="150" w:line="240" w:lineRule="auto"/>
              <w:textAlignment w:val="baseline"/>
              <w:rPr>
                <w:rFonts w:eastAsia="Times New Roman" w:cstheme="minorHAnsi"/>
                <w:color w:val="000000"/>
                <w:lang w:eastAsia="en-PK"/>
              </w:rPr>
            </w:pPr>
            <w:r w:rsidRPr="00177CEC">
              <w:rPr>
                <w:rFonts w:eastAsia="Times New Roman" w:cstheme="minorHAnsi"/>
                <w:color w:val="000000"/>
                <w:lang w:eastAsia="en-PK"/>
              </w:rPr>
              <w:t>In January 2018 Carillion, one of the UK government’s biggest contractors and the second largest construction company in the UK filed for liquidation. At the date of its liquidation the company had goodwill in its statement of financial position of £1.57 billion. This represented 35% of the company’s total assets.</w:t>
            </w:r>
          </w:p>
          <w:p w14:paraId="72ED665D" w14:textId="77777777" w:rsidR="00177CEC" w:rsidRPr="00177CEC" w:rsidRDefault="00177CEC" w:rsidP="00177CEC">
            <w:pPr>
              <w:spacing w:after="150" w:line="240" w:lineRule="auto"/>
              <w:textAlignment w:val="baseline"/>
              <w:rPr>
                <w:rFonts w:eastAsia="Times New Roman" w:cstheme="minorHAnsi"/>
                <w:color w:val="000000"/>
                <w:lang w:eastAsia="en-PK"/>
              </w:rPr>
            </w:pPr>
            <w:r w:rsidRPr="00177CEC">
              <w:rPr>
                <w:rFonts w:eastAsia="Times New Roman" w:cstheme="minorHAnsi"/>
                <w:color w:val="000000"/>
                <w:lang w:eastAsia="en-PK"/>
              </w:rPr>
              <w:t>The goodwill had been calculated correctly when it arose over a number of years, and the Carillion financial statements immediately prior to the company’s collapse indicated that an annual impairment review of CGUs including the goodwill had been performed but management had decided that no impairment to goodwill was necessary.</w:t>
            </w:r>
          </w:p>
          <w:p w14:paraId="187CFFA3" w14:textId="77777777" w:rsidR="00177CEC" w:rsidRPr="00177CEC" w:rsidRDefault="00177CEC" w:rsidP="00177CEC">
            <w:pPr>
              <w:spacing w:after="150" w:line="240" w:lineRule="auto"/>
              <w:textAlignment w:val="baseline"/>
              <w:rPr>
                <w:rFonts w:eastAsia="Times New Roman" w:cstheme="minorHAnsi"/>
                <w:color w:val="000000"/>
                <w:lang w:eastAsia="en-PK"/>
              </w:rPr>
            </w:pPr>
            <w:r w:rsidRPr="00177CEC">
              <w:rPr>
                <w:rFonts w:eastAsia="Times New Roman" w:cstheme="minorHAnsi"/>
                <w:color w:val="000000"/>
                <w:lang w:eastAsia="en-PK"/>
              </w:rPr>
              <w:t>This raises the question of how an insolvent entity can have £1.57 billion goodwill. The answer to this is that it did not, but management had, over the years, avoided writing down goodwill – there was no impairment loss on goodwill in the 5 years prior to 2017, despite clear circumstantial evidence that it had fallen in value.</w:t>
            </w:r>
          </w:p>
          <w:p w14:paraId="0E67E1D1" w14:textId="77777777" w:rsidR="00177CEC" w:rsidRPr="00177CEC" w:rsidRDefault="00177CEC" w:rsidP="00177CEC">
            <w:pPr>
              <w:spacing w:after="150" w:line="240" w:lineRule="auto"/>
              <w:textAlignment w:val="baseline"/>
              <w:rPr>
                <w:rFonts w:eastAsia="Times New Roman" w:cstheme="minorHAnsi"/>
                <w:color w:val="000000"/>
                <w:lang w:eastAsia="en-PK"/>
              </w:rPr>
            </w:pPr>
            <w:r w:rsidRPr="00177CEC">
              <w:rPr>
                <w:rFonts w:eastAsia="Times New Roman" w:cstheme="minorHAnsi"/>
                <w:color w:val="000000"/>
                <w:lang w:eastAsia="en-PK"/>
              </w:rPr>
              <w:t>This outcome can be achieved through exploiting the flexibility of the impairment test, the identification of CGUs that produce the desired results. and the use of over-optimistic cash flows in a value in use calculation - these are relatively easy to engineer given the entity-specific nature of these cash flows. The process depends heavily on the willingness of auditors to challenge numbers devised by management.</w:t>
            </w:r>
          </w:p>
          <w:p w14:paraId="424EBAFC" w14:textId="77777777" w:rsidR="00177CEC" w:rsidRPr="00177CEC" w:rsidRDefault="00177CEC" w:rsidP="00177CEC">
            <w:pPr>
              <w:spacing w:after="150" w:line="240" w:lineRule="auto"/>
              <w:textAlignment w:val="baseline"/>
              <w:rPr>
                <w:rFonts w:eastAsia="Times New Roman" w:cstheme="minorHAnsi"/>
                <w:color w:val="000000"/>
                <w:lang w:eastAsia="en-PK"/>
              </w:rPr>
            </w:pPr>
            <w:r w:rsidRPr="00177CEC">
              <w:rPr>
                <w:rFonts w:eastAsia="Times New Roman" w:cstheme="minorHAnsi"/>
                <w:color w:val="000000"/>
                <w:lang w:eastAsia="en-PK"/>
              </w:rPr>
              <w:t>As a result of Carillion’s failure to write down goodwill, profits remained healthy and directors continued to pay dividends – £77 million in 2016 – and large management bonuses.</w:t>
            </w:r>
          </w:p>
        </w:tc>
      </w:tr>
    </w:tbl>
    <w:p w14:paraId="2D48BAB9" w14:textId="77777777" w:rsidR="00177CEC" w:rsidRPr="00177CEC" w:rsidRDefault="00177CEC" w:rsidP="00177CEC">
      <w:pPr>
        <w:shd w:val="clear" w:color="auto" w:fill="FFFFFF"/>
        <w:spacing w:after="150" w:line="240" w:lineRule="auto"/>
        <w:textAlignment w:val="baseline"/>
        <w:rPr>
          <w:rFonts w:eastAsia="Times New Roman" w:cstheme="minorHAnsi"/>
          <w:color w:val="000000"/>
          <w:lang w:eastAsia="en-PK"/>
        </w:rPr>
      </w:pPr>
      <w:r w:rsidRPr="00177CEC">
        <w:rPr>
          <w:rFonts w:eastAsia="Times New Roman" w:cstheme="minorHAnsi"/>
          <w:color w:val="000000"/>
          <w:lang w:eastAsia="en-PK"/>
        </w:rPr>
        <w:t>As a result of the subjective nature of this area of accounting, there have been a number of accounting scandals in which the key issue, or one of many issues, has been failure to recognise impairment losses. The following illustration explains one recent case.</w:t>
      </w:r>
    </w:p>
    <w:p w14:paraId="519E3694" w14:textId="759EDAB6" w:rsidR="00177CEC" w:rsidRDefault="00177CEC">
      <w:pPr>
        <w:rPr>
          <w:rFonts w:cstheme="minorHAnsi"/>
          <w:color w:val="000000"/>
          <w:shd w:val="clear" w:color="auto" w:fill="FFFFFF"/>
          <w:lang w:val="en-US"/>
        </w:rPr>
      </w:pPr>
    </w:p>
    <w:p w14:paraId="6A396C2E" w14:textId="37F8087D" w:rsidR="005A647D" w:rsidRDefault="005A647D">
      <w:pPr>
        <w:rPr>
          <w:rFonts w:cstheme="minorHAnsi"/>
          <w:color w:val="000000"/>
          <w:shd w:val="clear" w:color="auto" w:fill="FFFFFF"/>
          <w:lang w:val="en-US"/>
        </w:rPr>
      </w:pPr>
    </w:p>
    <w:p w14:paraId="20B1A007" w14:textId="77777777" w:rsidR="005A647D" w:rsidRDefault="005A647D" w:rsidP="005A647D">
      <w:pPr>
        <w:rPr>
          <w:b/>
          <w:bCs/>
          <w:sz w:val="24"/>
          <w:szCs w:val="24"/>
          <w:u w:val="single"/>
          <w:lang w:val="en-US"/>
        </w:rPr>
      </w:pPr>
    </w:p>
    <w:p w14:paraId="2AF19129" w14:textId="77777777" w:rsidR="005A647D" w:rsidRDefault="005A647D" w:rsidP="005A647D">
      <w:pPr>
        <w:rPr>
          <w:b/>
          <w:bCs/>
          <w:sz w:val="24"/>
          <w:szCs w:val="24"/>
          <w:u w:val="single"/>
          <w:lang w:val="en-US"/>
        </w:rPr>
      </w:pPr>
    </w:p>
    <w:p w14:paraId="7C7ED663" w14:textId="77777777" w:rsidR="005A647D" w:rsidRDefault="005A647D" w:rsidP="005A647D">
      <w:pPr>
        <w:rPr>
          <w:b/>
          <w:bCs/>
          <w:sz w:val="24"/>
          <w:szCs w:val="24"/>
          <w:u w:val="single"/>
          <w:lang w:val="en-US"/>
        </w:rPr>
      </w:pPr>
    </w:p>
    <w:p w14:paraId="21B65C52" w14:textId="77777777" w:rsidR="005A647D" w:rsidRDefault="005A647D" w:rsidP="005A647D">
      <w:pPr>
        <w:rPr>
          <w:b/>
          <w:bCs/>
          <w:sz w:val="24"/>
          <w:szCs w:val="24"/>
          <w:u w:val="single"/>
          <w:lang w:val="en-US"/>
        </w:rPr>
      </w:pPr>
    </w:p>
    <w:p w14:paraId="6A1D617B" w14:textId="77777777" w:rsidR="005A647D" w:rsidRDefault="005A647D" w:rsidP="005A647D">
      <w:pPr>
        <w:rPr>
          <w:b/>
          <w:bCs/>
          <w:sz w:val="24"/>
          <w:szCs w:val="24"/>
          <w:u w:val="single"/>
          <w:lang w:val="en-US"/>
        </w:rPr>
      </w:pPr>
    </w:p>
    <w:p w14:paraId="7DD31535" w14:textId="77777777" w:rsidR="005A647D" w:rsidRDefault="005A647D" w:rsidP="005A647D">
      <w:pPr>
        <w:rPr>
          <w:b/>
          <w:bCs/>
          <w:sz w:val="24"/>
          <w:szCs w:val="24"/>
          <w:u w:val="single"/>
          <w:lang w:val="en-US"/>
        </w:rPr>
      </w:pPr>
    </w:p>
    <w:p w14:paraId="579A3CD2" w14:textId="77777777" w:rsidR="005A647D" w:rsidRDefault="005A647D" w:rsidP="005A647D">
      <w:pPr>
        <w:rPr>
          <w:b/>
          <w:bCs/>
          <w:sz w:val="24"/>
          <w:szCs w:val="24"/>
          <w:u w:val="single"/>
          <w:lang w:val="en-US"/>
        </w:rPr>
      </w:pPr>
    </w:p>
    <w:p w14:paraId="7C12633F" w14:textId="77777777" w:rsidR="005A647D" w:rsidRDefault="005A647D" w:rsidP="005A647D">
      <w:pPr>
        <w:rPr>
          <w:b/>
          <w:bCs/>
          <w:sz w:val="24"/>
          <w:szCs w:val="24"/>
          <w:u w:val="single"/>
          <w:lang w:val="en-US"/>
        </w:rPr>
      </w:pPr>
    </w:p>
    <w:p w14:paraId="21FFA69E" w14:textId="77777777" w:rsidR="005A647D" w:rsidRDefault="005A647D" w:rsidP="005A647D">
      <w:pPr>
        <w:rPr>
          <w:b/>
          <w:bCs/>
          <w:sz w:val="24"/>
          <w:szCs w:val="24"/>
          <w:u w:val="single"/>
          <w:lang w:val="en-US"/>
        </w:rPr>
      </w:pPr>
    </w:p>
    <w:p w14:paraId="2B22888D" w14:textId="77777777" w:rsidR="005A647D" w:rsidRDefault="005A647D" w:rsidP="005A647D">
      <w:pPr>
        <w:rPr>
          <w:b/>
          <w:bCs/>
          <w:sz w:val="24"/>
          <w:szCs w:val="24"/>
          <w:u w:val="single"/>
          <w:lang w:val="en-US"/>
        </w:rPr>
      </w:pPr>
    </w:p>
    <w:p w14:paraId="547C2203" w14:textId="77777777" w:rsidR="005A647D" w:rsidRDefault="005A647D" w:rsidP="005A647D">
      <w:pPr>
        <w:rPr>
          <w:b/>
          <w:bCs/>
          <w:sz w:val="24"/>
          <w:szCs w:val="24"/>
          <w:u w:val="single"/>
          <w:lang w:val="en-US"/>
        </w:rPr>
      </w:pPr>
    </w:p>
    <w:p w14:paraId="42115C4C" w14:textId="77777777" w:rsidR="005A647D" w:rsidRDefault="005A647D" w:rsidP="005A647D">
      <w:pPr>
        <w:rPr>
          <w:b/>
          <w:bCs/>
          <w:sz w:val="24"/>
          <w:szCs w:val="24"/>
          <w:u w:val="single"/>
          <w:lang w:val="en-US"/>
        </w:rPr>
      </w:pPr>
    </w:p>
    <w:p w14:paraId="5D9EF3F1" w14:textId="77777777" w:rsidR="005A647D" w:rsidRDefault="005A647D" w:rsidP="005A647D">
      <w:pPr>
        <w:rPr>
          <w:b/>
          <w:bCs/>
          <w:sz w:val="24"/>
          <w:szCs w:val="24"/>
          <w:u w:val="single"/>
          <w:lang w:val="en-US"/>
        </w:rPr>
      </w:pPr>
    </w:p>
    <w:p w14:paraId="6D6C3E54" w14:textId="745D57CD" w:rsidR="005A647D" w:rsidRDefault="005A647D" w:rsidP="005A647D">
      <w:pPr>
        <w:rPr>
          <w:b/>
          <w:bCs/>
          <w:sz w:val="24"/>
          <w:szCs w:val="24"/>
          <w:u w:val="single"/>
          <w:lang w:val="en-US"/>
        </w:rPr>
      </w:pPr>
    </w:p>
    <w:p w14:paraId="3BFE3EEC" w14:textId="77777777" w:rsidR="00953F04" w:rsidRDefault="00953F04" w:rsidP="005A647D">
      <w:pPr>
        <w:rPr>
          <w:b/>
          <w:bCs/>
          <w:sz w:val="24"/>
          <w:szCs w:val="24"/>
          <w:u w:val="single"/>
          <w:lang w:val="en-US"/>
        </w:rPr>
      </w:pPr>
    </w:p>
    <w:p w14:paraId="26B12045" w14:textId="77777777" w:rsidR="005A647D" w:rsidRDefault="005A647D" w:rsidP="005A647D">
      <w:pPr>
        <w:rPr>
          <w:b/>
          <w:bCs/>
          <w:sz w:val="24"/>
          <w:szCs w:val="24"/>
          <w:u w:val="single"/>
          <w:lang w:val="en-US"/>
        </w:rPr>
      </w:pPr>
      <w:r w:rsidRPr="008C7B95">
        <w:rPr>
          <w:b/>
          <w:bCs/>
          <w:sz w:val="24"/>
          <w:szCs w:val="24"/>
          <w:u w:val="single"/>
          <w:lang w:val="en-US"/>
        </w:rPr>
        <w:lastRenderedPageBreak/>
        <w:t>IAS-</w:t>
      </w:r>
      <w:r>
        <w:rPr>
          <w:b/>
          <w:bCs/>
          <w:sz w:val="24"/>
          <w:szCs w:val="24"/>
          <w:u w:val="single"/>
          <w:lang w:val="en-US"/>
        </w:rPr>
        <w:t>23</w:t>
      </w:r>
      <w:r w:rsidRPr="008C7B95">
        <w:rPr>
          <w:b/>
          <w:bCs/>
          <w:sz w:val="24"/>
          <w:szCs w:val="24"/>
          <w:u w:val="single"/>
          <w:lang w:val="en-US"/>
        </w:rPr>
        <w:t>:</w:t>
      </w:r>
    </w:p>
    <w:p w14:paraId="0C615321" w14:textId="69208971" w:rsidR="005A647D" w:rsidRPr="00F43AE2" w:rsidRDefault="005A647D" w:rsidP="005A647D">
      <w:pPr>
        <w:rPr>
          <w:rFonts w:cstheme="minorHAnsi"/>
          <w:b/>
          <w:bCs/>
          <w:u w:val="single"/>
          <w:lang w:val="en-US"/>
        </w:rPr>
      </w:pPr>
      <w:r w:rsidRPr="00F43AE2">
        <w:rPr>
          <w:rFonts w:cstheme="minorHAnsi"/>
          <w:b/>
          <w:bCs/>
          <w:color w:val="CA0000"/>
        </w:rPr>
        <w:t>Activity 5 Borrowing Costs</w:t>
      </w:r>
    </w:p>
    <w:p w14:paraId="0CBEDC21" w14:textId="77777777" w:rsidR="005A647D" w:rsidRPr="005A647D" w:rsidRDefault="005A647D" w:rsidP="005A647D">
      <w:pPr>
        <w:pStyle w:val="NormalWeb"/>
        <w:spacing w:before="0" w:beforeAutospacing="0" w:after="15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During the year ended 31 May 20X1, Chandra Co extended its manufacturing plant. The company applied for a construction permit on 1 July 20X0 and on this date began the process to tender the construction work out by engaging external search consultants. Construction work began on 1 September 20X0.</w:t>
      </w:r>
    </w:p>
    <w:p w14:paraId="110F87E0" w14:textId="77777777" w:rsidR="005A647D" w:rsidRPr="005A647D" w:rsidRDefault="005A647D" w:rsidP="005A647D">
      <w:pPr>
        <w:pStyle w:val="NormalWeb"/>
        <w:spacing w:before="0" w:beforeAutospacing="0" w:after="15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 xml:space="preserve">The terms of the contract with the construction company require regular progress payments based on the work completed. Despite a </w:t>
      </w:r>
      <w:proofErr w:type="gramStart"/>
      <w:r w:rsidRPr="005A647D">
        <w:rPr>
          <w:rFonts w:asciiTheme="minorHAnsi" w:hAnsiTheme="minorHAnsi" w:cstheme="minorHAnsi"/>
          <w:color w:val="000000"/>
          <w:sz w:val="22"/>
          <w:szCs w:val="22"/>
        </w:rPr>
        <w:t>one month</w:t>
      </w:r>
      <w:proofErr w:type="gramEnd"/>
      <w:r w:rsidRPr="005A647D">
        <w:rPr>
          <w:rFonts w:asciiTheme="minorHAnsi" w:hAnsiTheme="minorHAnsi" w:cstheme="minorHAnsi"/>
          <w:color w:val="000000"/>
          <w:sz w:val="22"/>
          <w:szCs w:val="22"/>
        </w:rPr>
        <w:t xml:space="preserve"> unscheduled break in the construction in December 20X0, due to unexpected inclement weather, the extension was ready for use on 28 February 20X1 and Chandra Co began to use the new facilities on 31 March 20X1.</w:t>
      </w:r>
    </w:p>
    <w:p w14:paraId="1BDC6475" w14:textId="77777777" w:rsidR="005A647D" w:rsidRPr="005A647D" w:rsidRDefault="005A647D" w:rsidP="005A647D">
      <w:pPr>
        <w:pStyle w:val="NormalWeb"/>
        <w:spacing w:before="0" w:beforeAutospacing="0" w:after="15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The expansion was funded through a specific loan for $5.2 million with an annual interest rate of 5%. The funds were drawn down on 1 July 20X0. $1.5 million was used immediately to finance the initial stages of the project, with the balance invested in a deposit account, attracting 2% interest per annum. The remaining $3.7 million was used on 31 August 20X0 to make a progress payment to the construction company. The loan was repaid on 31 May 20X1.</w:t>
      </w:r>
    </w:p>
    <w:p w14:paraId="280CF0F9" w14:textId="6564D9FA" w:rsidR="005A647D" w:rsidRPr="005A647D" w:rsidRDefault="005A647D" w:rsidP="005A647D">
      <w:pPr>
        <w:pStyle w:val="NormalWeb"/>
        <w:spacing w:before="0" w:beforeAutospacing="0" w:after="0" w:afterAutospacing="0"/>
        <w:textAlignment w:val="baseline"/>
        <w:rPr>
          <w:rFonts w:asciiTheme="minorHAnsi" w:hAnsiTheme="minorHAnsi" w:cstheme="minorHAnsi"/>
          <w:color w:val="000000"/>
          <w:sz w:val="22"/>
          <w:szCs w:val="22"/>
        </w:rPr>
      </w:pPr>
      <w:r w:rsidRPr="005A647D">
        <w:rPr>
          <w:rStyle w:val="acca-red"/>
          <w:rFonts w:asciiTheme="minorHAnsi" w:eastAsiaTheme="majorEastAsia" w:hAnsiTheme="minorHAnsi" w:cstheme="minorHAnsi"/>
          <w:b/>
          <w:bCs/>
          <w:color w:val="000000"/>
          <w:sz w:val="22"/>
          <w:szCs w:val="22"/>
          <w:bdr w:val="none" w:sz="0" w:space="0" w:color="auto" w:frame="1"/>
        </w:rPr>
        <w:t>Required</w:t>
      </w:r>
    </w:p>
    <w:p w14:paraId="1385429F" w14:textId="77777777" w:rsidR="005A647D" w:rsidRPr="005A647D" w:rsidRDefault="005A647D" w:rsidP="005A647D">
      <w:pPr>
        <w:pStyle w:val="NormalWeb"/>
        <w:spacing w:before="0" w:beforeAutospacing="0" w:after="0" w:afterAutospacing="0"/>
        <w:textAlignment w:val="baseline"/>
        <w:rPr>
          <w:rFonts w:asciiTheme="minorHAnsi" w:hAnsiTheme="minorHAnsi" w:cstheme="minorHAnsi"/>
          <w:color w:val="000000"/>
          <w:sz w:val="22"/>
          <w:szCs w:val="22"/>
        </w:rPr>
      </w:pPr>
      <w:r w:rsidRPr="005A647D">
        <w:rPr>
          <w:rStyle w:val="Strong"/>
          <w:rFonts w:asciiTheme="minorHAnsi" w:hAnsiTheme="minorHAnsi" w:cstheme="minorHAnsi"/>
          <w:color w:val="000000"/>
          <w:sz w:val="22"/>
          <w:szCs w:val="22"/>
          <w:bdr w:val="none" w:sz="0" w:space="0" w:color="auto" w:frame="1"/>
        </w:rPr>
        <w:t>Discuss what amount of borrowing costs incurred in the year ended 31 May 20X1 should be recognised as an asset.</w:t>
      </w:r>
    </w:p>
    <w:p w14:paraId="58FBD918"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IAS 23 requires that eligible borrowing costs in respect of a qualifying asset are capitalised as part of the cost of the asset and all other borrowing costs are recognised in profit or loss as incurred.</w:t>
      </w:r>
    </w:p>
    <w:p w14:paraId="50C45F16"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Eligible borrowing costs are those borrowing costs which are directly attributable to the acquisition, construction or production of a qualifying asset; a qualifying asset is one that necessarily takes a substantial period of time to get ready for their intended use and includes property, plant and equipment such as a manufacturing plant.</w:t>
      </w:r>
    </w:p>
    <w:p w14:paraId="1880A204"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IAS 23 requires that borrowing costs are capitalised when all of the following conditions are met:</w:t>
      </w:r>
    </w:p>
    <w:p w14:paraId="19D430D2" w14:textId="77777777" w:rsidR="005A647D" w:rsidRPr="005A647D" w:rsidRDefault="005A647D" w:rsidP="005A647D">
      <w:pPr>
        <w:numPr>
          <w:ilvl w:val="0"/>
          <w:numId w:val="9"/>
        </w:numPr>
        <w:shd w:val="clear" w:color="auto" w:fill="DCDDDD"/>
        <w:spacing w:after="0" w:line="240" w:lineRule="auto"/>
        <w:ind w:left="1080"/>
        <w:textAlignment w:val="baseline"/>
        <w:rPr>
          <w:rFonts w:cstheme="minorHAnsi"/>
          <w:color w:val="CA0000"/>
        </w:rPr>
      </w:pPr>
      <w:r w:rsidRPr="005A647D">
        <w:rPr>
          <w:rFonts w:cstheme="minorHAnsi"/>
          <w:color w:val="000000"/>
          <w:bdr w:val="none" w:sz="0" w:space="0" w:color="auto" w:frame="1"/>
        </w:rPr>
        <w:t>Expenditure on the asset is being incurred</w:t>
      </w:r>
    </w:p>
    <w:p w14:paraId="7C61B90F" w14:textId="77777777" w:rsidR="005A647D" w:rsidRPr="005A647D" w:rsidRDefault="005A647D" w:rsidP="005A647D">
      <w:pPr>
        <w:numPr>
          <w:ilvl w:val="0"/>
          <w:numId w:val="9"/>
        </w:numPr>
        <w:shd w:val="clear" w:color="auto" w:fill="DCDDDD"/>
        <w:spacing w:after="0" w:line="240" w:lineRule="auto"/>
        <w:ind w:left="1080"/>
        <w:textAlignment w:val="baseline"/>
        <w:rPr>
          <w:rFonts w:cstheme="minorHAnsi"/>
          <w:color w:val="CA0000"/>
        </w:rPr>
      </w:pPr>
      <w:r w:rsidRPr="005A647D">
        <w:rPr>
          <w:rFonts w:cstheme="minorHAnsi"/>
          <w:color w:val="000000"/>
          <w:bdr w:val="none" w:sz="0" w:space="0" w:color="auto" w:frame="1"/>
        </w:rPr>
        <w:t>Borrowing costs are being incurred</w:t>
      </w:r>
    </w:p>
    <w:p w14:paraId="4C056D4F" w14:textId="77777777" w:rsidR="005A647D" w:rsidRPr="005A647D" w:rsidRDefault="005A647D" w:rsidP="005A647D">
      <w:pPr>
        <w:numPr>
          <w:ilvl w:val="0"/>
          <w:numId w:val="9"/>
        </w:numPr>
        <w:shd w:val="clear" w:color="auto" w:fill="DCDDDD"/>
        <w:spacing w:after="0" w:line="240" w:lineRule="auto"/>
        <w:ind w:left="1080"/>
        <w:textAlignment w:val="baseline"/>
        <w:rPr>
          <w:rFonts w:cstheme="minorHAnsi"/>
          <w:color w:val="CA0000"/>
        </w:rPr>
      </w:pPr>
      <w:r w:rsidRPr="005A647D">
        <w:rPr>
          <w:rFonts w:cstheme="minorHAnsi"/>
          <w:color w:val="000000"/>
          <w:bdr w:val="none" w:sz="0" w:space="0" w:color="auto" w:frame="1"/>
        </w:rPr>
        <w:t>Activities necessary to prepare the asset for intended use or sale are underway.</w:t>
      </w:r>
    </w:p>
    <w:p w14:paraId="073F4918"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 xml:space="preserve">Activities necessary to prepare the asset for intended use of sale are not limited to the physical construction of the asset; they include technical and administrative work prior to physical construction. </w:t>
      </w:r>
      <w:proofErr w:type="gramStart"/>
      <w:r w:rsidRPr="005A647D">
        <w:rPr>
          <w:rFonts w:asciiTheme="minorHAnsi" w:hAnsiTheme="minorHAnsi" w:cstheme="minorHAnsi"/>
          <w:color w:val="000000"/>
          <w:sz w:val="22"/>
          <w:szCs w:val="22"/>
        </w:rPr>
        <w:t>Therefore</w:t>
      </w:r>
      <w:proofErr w:type="gramEnd"/>
      <w:r w:rsidRPr="005A647D">
        <w:rPr>
          <w:rFonts w:asciiTheme="minorHAnsi" w:hAnsiTheme="minorHAnsi" w:cstheme="minorHAnsi"/>
          <w:color w:val="000000"/>
          <w:sz w:val="22"/>
          <w:szCs w:val="22"/>
        </w:rPr>
        <w:t xml:space="preserve"> Chandra meets this condition on 1 July 20X0 when the construction permit is applied for and the tendering process begins. At this date the loan has already been drawn down and so borrowing costs are being incurred and expenditure on the asset is being incurred in the form of paying external search consultants. </w:t>
      </w:r>
      <w:proofErr w:type="gramStart"/>
      <w:r w:rsidRPr="005A647D">
        <w:rPr>
          <w:rFonts w:asciiTheme="minorHAnsi" w:hAnsiTheme="minorHAnsi" w:cstheme="minorHAnsi"/>
          <w:color w:val="000000"/>
          <w:sz w:val="22"/>
          <w:szCs w:val="22"/>
        </w:rPr>
        <w:t>Therefore</w:t>
      </w:r>
      <w:proofErr w:type="gramEnd"/>
      <w:r w:rsidRPr="005A647D">
        <w:rPr>
          <w:rFonts w:asciiTheme="minorHAnsi" w:hAnsiTheme="minorHAnsi" w:cstheme="minorHAnsi"/>
          <w:color w:val="000000"/>
          <w:sz w:val="22"/>
          <w:szCs w:val="22"/>
        </w:rPr>
        <w:t xml:space="preserve"> the capitalisation of borrowing costs commenced on 1 July 20X0.</w:t>
      </w:r>
    </w:p>
    <w:p w14:paraId="21E3C595"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Borrowing costs cease to be capitalised when the activities to prepare the qualifying asset for intended use or sale are substantially complete. This is 28 February 20X1 when the extension is ready for use.</w:t>
      </w:r>
    </w:p>
    <w:p w14:paraId="3A1FB0E2"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 xml:space="preserve">During extended periods in which the active development of a qualifying asset is suspended, the capitalisation of borrowing costs is also suspended. The question arises as to whether the </w:t>
      </w:r>
      <w:proofErr w:type="gramStart"/>
      <w:r w:rsidRPr="005A647D">
        <w:rPr>
          <w:rFonts w:asciiTheme="minorHAnsi" w:hAnsiTheme="minorHAnsi" w:cstheme="minorHAnsi"/>
          <w:color w:val="000000"/>
          <w:sz w:val="22"/>
          <w:szCs w:val="22"/>
        </w:rPr>
        <w:t>one month</w:t>
      </w:r>
      <w:proofErr w:type="gramEnd"/>
      <w:r w:rsidRPr="005A647D">
        <w:rPr>
          <w:rFonts w:asciiTheme="minorHAnsi" w:hAnsiTheme="minorHAnsi" w:cstheme="minorHAnsi"/>
          <w:color w:val="000000"/>
          <w:sz w:val="22"/>
          <w:szCs w:val="22"/>
        </w:rPr>
        <w:t xml:space="preserve"> stoppage due to unexpected inclement weather in December is an “extended period”. IAS 23 does not define an extended period and therefore judgement should be applied. One month amounts to 12.5% (1/8 months) of the period when activities are underway to prepare the extension for intended use. On balance this appears to be an extended period and therefore borrowing costs incurred in that period are not capitalised.</w:t>
      </w:r>
    </w:p>
    <w:p w14:paraId="6CD19A14" w14:textId="4609E6E8"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In the case of specific borrowings, IAS 23 requires that the actual borrowing costs incurred less any investment income on the temporary investment of the borrowings are capitalised. As not all funds drawn down by Chandra were used immediately, the amount to be capitalised is reduced by investment income earned from the temporary deposit of excess funds.</w:t>
      </w:r>
    </w:p>
    <w:p w14:paraId="4010D226" w14:textId="04EC1964"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cstheme="minorHAnsi"/>
          <w:b/>
          <w:bCs/>
          <w:noProof/>
          <w:u w:val="single"/>
          <w:lang w:val="en-US"/>
        </w:rPr>
        <w:drawing>
          <wp:anchor distT="0" distB="0" distL="114300" distR="114300" simplePos="0" relativeHeight="251658240" behindDoc="0" locked="0" layoutInCell="1" allowOverlap="1" wp14:anchorId="585C7A8E" wp14:editId="4D497DEF">
            <wp:simplePos x="0" y="0"/>
            <wp:positionH relativeFrom="margin">
              <wp:posOffset>638175</wp:posOffset>
            </wp:positionH>
            <wp:positionV relativeFrom="paragraph">
              <wp:posOffset>236220</wp:posOffset>
            </wp:positionV>
            <wp:extent cx="4448175" cy="1152525"/>
            <wp:effectExtent l="0" t="0" r="9525"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448175" cy="115252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5A647D">
        <w:rPr>
          <w:rFonts w:asciiTheme="minorHAnsi" w:hAnsiTheme="minorHAnsi" w:cstheme="minorHAnsi"/>
          <w:color w:val="000000"/>
          <w:sz w:val="22"/>
          <w:szCs w:val="22"/>
        </w:rPr>
        <w:t>Therefore</w:t>
      </w:r>
      <w:proofErr w:type="gramEnd"/>
      <w:r w:rsidRPr="005A647D">
        <w:rPr>
          <w:rFonts w:asciiTheme="minorHAnsi" w:hAnsiTheme="minorHAnsi" w:cstheme="minorHAnsi"/>
          <w:color w:val="000000"/>
          <w:sz w:val="22"/>
          <w:szCs w:val="22"/>
        </w:rPr>
        <w:t xml:space="preserve"> the amount to be capitalised in respect of the short-term $5.2 million loan is:</w:t>
      </w:r>
    </w:p>
    <w:p w14:paraId="6FCEB4E6" w14:textId="6A006737" w:rsidR="005A647D" w:rsidRDefault="005A647D" w:rsidP="005A647D">
      <w:pPr>
        <w:rPr>
          <w:rFonts w:cstheme="minorHAnsi"/>
          <w:b/>
          <w:bCs/>
          <w:u w:val="single"/>
          <w:lang w:val="en-US"/>
        </w:rPr>
      </w:pPr>
    </w:p>
    <w:p w14:paraId="04A57312" w14:textId="47F18F27" w:rsidR="00EF53AB" w:rsidRDefault="00EF53AB" w:rsidP="00EF53AB">
      <w:pPr>
        <w:rPr>
          <w:b/>
          <w:bCs/>
          <w:sz w:val="24"/>
          <w:szCs w:val="24"/>
          <w:u w:val="single"/>
          <w:lang w:val="en-US"/>
        </w:rPr>
      </w:pPr>
      <w:r w:rsidRPr="008C7B95">
        <w:rPr>
          <w:b/>
          <w:bCs/>
          <w:sz w:val="24"/>
          <w:szCs w:val="24"/>
          <w:u w:val="single"/>
          <w:lang w:val="en-US"/>
        </w:rPr>
        <w:lastRenderedPageBreak/>
        <w:t>IAS-</w:t>
      </w:r>
      <w:r>
        <w:rPr>
          <w:b/>
          <w:bCs/>
          <w:sz w:val="24"/>
          <w:szCs w:val="24"/>
          <w:u w:val="single"/>
          <w:lang w:val="en-US"/>
        </w:rPr>
        <w:t>38</w:t>
      </w:r>
      <w:r w:rsidRPr="008C7B95">
        <w:rPr>
          <w:b/>
          <w:bCs/>
          <w:sz w:val="24"/>
          <w:szCs w:val="24"/>
          <w:u w:val="single"/>
          <w:lang w:val="en-US"/>
        </w:rPr>
        <w:t>:</w:t>
      </w:r>
    </w:p>
    <w:p w14:paraId="12D60A4B" w14:textId="77777777" w:rsidR="00EF53AB" w:rsidRPr="00EF53AB" w:rsidRDefault="00EF53AB" w:rsidP="00EF53AB">
      <w:pPr>
        <w:shd w:val="clear" w:color="auto" w:fill="FFFFFF"/>
        <w:spacing w:after="0" w:line="240" w:lineRule="auto"/>
        <w:textAlignment w:val="baseline"/>
        <w:rPr>
          <w:rFonts w:eastAsia="Times New Roman" w:cstheme="minorHAnsi"/>
          <w:color w:val="000000"/>
          <w:lang w:eastAsia="en-PK"/>
        </w:rPr>
      </w:pPr>
      <w:r w:rsidRPr="00EF53AB">
        <w:rPr>
          <w:rFonts w:eastAsia="Times New Roman" w:cstheme="minorHAnsi"/>
          <w:color w:val="000000"/>
          <w:lang w:eastAsia="en-PK"/>
        </w:rPr>
        <w:t>An intangible asset is recognised in </w:t>
      </w:r>
      <w:r w:rsidRPr="00EF53AB">
        <w:rPr>
          <w:rFonts w:eastAsia="Times New Roman" w:cstheme="minorHAnsi"/>
          <w:b/>
          <w:bCs/>
          <w:color w:val="000000"/>
          <w:bdr w:val="none" w:sz="0" w:space="0" w:color="auto" w:frame="1"/>
          <w:lang w:eastAsia="en-PK"/>
        </w:rPr>
        <w:t>separate company</w:t>
      </w:r>
      <w:r w:rsidRPr="00EF53AB">
        <w:rPr>
          <w:rFonts w:eastAsia="Times New Roman" w:cstheme="minorHAnsi"/>
          <w:color w:val="000000"/>
          <w:lang w:eastAsia="en-PK"/>
        </w:rPr>
        <w:t> financial statements if:</w:t>
      </w:r>
    </w:p>
    <w:p w14:paraId="3855A4EE" w14:textId="77777777" w:rsidR="00EF53AB" w:rsidRPr="00EF53AB" w:rsidRDefault="00EF53AB" w:rsidP="00EF53AB">
      <w:pPr>
        <w:numPr>
          <w:ilvl w:val="0"/>
          <w:numId w:val="10"/>
        </w:numPr>
        <w:shd w:val="clear" w:color="auto" w:fill="FFFFFF"/>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It meets the definition of an intangible asset and an asset (IAS 38); and</w:t>
      </w:r>
    </w:p>
    <w:p w14:paraId="48A51574" w14:textId="77777777" w:rsidR="00EF53AB" w:rsidRPr="00EF53AB" w:rsidRDefault="00EF53AB" w:rsidP="00EF53AB">
      <w:pPr>
        <w:numPr>
          <w:ilvl w:val="0"/>
          <w:numId w:val="10"/>
        </w:numPr>
        <w:shd w:val="clear" w:color="auto" w:fill="FFFFFF"/>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The future economic benefits attributable to the asset are probable; and</w:t>
      </w:r>
    </w:p>
    <w:p w14:paraId="0034D890" w14:textId="77777777" w:rsidR="00EF53AB" w:rsidRPr="00EF53AB" w:rsidRDefault="00EF53AB" w:rsidP="00EF53AB">
      <w:pPr>
        <w:numPr>
          <w:ilvl w:val="0"/>
          <w:numId w:val="10"/>
        </w:numPr>
        <w:shd w:val="clear" w:color="auto" w:fill="FFFFFF"/>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The cost of the asset can be measured reliably.</w:t>
      </w:r>
    </w:p>
    <w:p w14:paraId="0664C27D" w14:textId="77777777" w:rsidR="00EF53AB" w:rsidRPr="00EF53AB" w:rsidRDefault="00EF53AB" w:rsidP="00EF53AB">
      <w:pPr>
        <w:shd w:val="clear" w:color="auto" w:fill="FFFFFF"/>
        <w:spacing w:after="150" w:line="240" w:lineRule="auto"/>
        <w:textAlignment w:val="baseline"/>
        <w:rPr>
          <w:rFonts w:eastAsia="Times New Roman" w:cstheme="minorHAnsi"/>
          <w:color w:val="000000"/>
          <w:lang w:eastAsia="en-PK"/>
        </w:rPr>
      </w:pPr>
      <w:r w:rsidRPr="00EF53AB">
        <w:rPr>
          <w:rFonts w:eastAsia="Times New Roman" w:cstheme="minorHAnsi"/>
          <w:color w:val="000000"/>
          <w:lang w:eastAsia="en-PK"/>
        </w:rPr>
        <w:t>Therefore:</w:t>
      </w:r>
    </w:p>
    <w:p w14:paraId="6285F566" w14:textId="77777777" w:rsidR="00EF53AB" w:rsidRPr="00EF53AB" w:rsidRDefault="00EF53AB" w:rsidP="00EF53AB">
      <w:pPr>
        <w:numPr>
          <w:ilvl w:val="0"/>
          <w:numId w:val="11"/>
        </w:numPr>
        <w:shd w:val="clear" w:color="auto" w:fill="FFFFFF"/>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Internally generated goodwill is not recognised because it is not identifiable;</w:t>
      </w:r>
    </w:p>
    <w:p w14:paraId="482436E9" w14:textId="77777777" w:rsidR="00EF53AB" w:rsidRPr="00EF53AB" w:rsidRDefault="00EF53AB" w:rsidP="00EF53AB">
      <w:pPr>
        <w:numPr>
          <w:ilvl w:val="0"/>
          <w:numId w:val="11"/>
        </w:numPr>
        <w:shd w:val="clear" w:color="auto" w:fill="FFFFFF"/>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Customer lists and staff skills are not recognised because they are not controlled;</w:t>
      </w:r>
    </w:p>
    <w:p w14:paraId="305B6F13" w14:textId="77777777" w:rsidR="00EF53AB" w:rsidRPr="00EF53AB" w:rsidRDefault="00EF53AB" w:rsidP="00EF53AB">
      <w:pPr>
        <w:numPr>
          <w:ilvl w:val="0"/>
          <w:numId w:val="11"/>
        </w:numPr>
        <w:shd w:val="clear" w:color="auto" w:fill="FFFFFF"/>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Separately purchased intangible assets are usually recognised because:</w:t>
      </w:r>
    </w:p>
    <w:p w14:paraId="3EC0EAFE" w14:textId="77777777" w:rsidR="00EF53AB" w:rsidRPr="00EF53AB" w:rsidRDefault="00EF53AB" w:rsidP="00EF53AB">
      <w:pPr>
        <w:numPr>
          <w:ilvl w:val="1"/>
          <w:numId w:val="11"/>
        </w:numPr>
        <w:shd w:val="clear" w:color="auto" w:fill="FFFFFF"/>
        <w:spacing w:after="0" w:line="240" w:lineRule="auto"/>
        <w:ind w:left="2160" w:hanging="12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purchase indicates that they are separable; and</w:t>
      </w:r>
    </w:p>
    <w:p w14:paraId="0A03E9DE" w14:textId="77777777" w:rsidR="00EF53AB" w:rsidRPr="00EF53AB" w:rsidRDefault="00EF53AB" w:rsidP="00EF53AB">
      <w:pPr>
        <w:numPr>
          <w:ilvl w:val="1"/>
          <w:numId w:val="11"/>
        </w:numPr>
        <w:shd w:val="clear" w:color="auto" w:fill="FFFFFF"/>
        <w:spacing w:after="0" w:line="240" w:lineRule="auto"/>
        <w:ind w:left="2160" w:hanging="12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cost indicates a probability of future economic benefits.</w:t>
      </w:r>
    </w:p>
    <w:p w14:paraId="4D574CF2" w14:textId="77777777" w:rsidR="00EF53AB" w:rsidRDefault="00EF53AB" w:rsidP="00EF53AB">
      <w:pPr>
        <w:shd w:val="clear" w:color="auto" w:fill="FFFFFF"/>
        <w:spacing w:after="150" w:line="240" w:lineRule="auto"/>
        <w:textAlignment w:val="baseline"/>
        <w:rPr>
          <w:rFonts w:eastAsia="Times New Roman" w:cstheme="minorHAnsi"/>
          <w:color w:val="000000"/>
          <w:lang w:eastAsia="en-PK"/>
        </w:rPr>
      </w:pPr>
    </w:p>
    <w:p w14:paraId="4E64CF6A" w14:textId="459A590E" w:rsidR="00EF53AB" w:rsidRPr="00EF53AB" w:rsidRDefault="00EF53AB" w:rsidP="00EF53AB">
      <w:pPr>
        <w:shd w:val="clear" w:color="auto" w:fill="FFFFFF"/>
        <w:spacing w:after="150" w:line="240" w:lineRule="auto"/>
        <w:textAlignment w:val="baseline"/>
        <w:rPr>
          <w:rFonts w:eastAsia="Times New Roman" w:cstheme="minorHAnsi"/>
          <w:color w:val="000000"/>
          <w:lang w:eastAsia="en-PK"/>
        </w:rPr>
      </w:pPr>
      <w:r w:rsidRPr="00EF53AB">
        <w:rPr>
          <w:rFonts w:eastAsia="Times New Roman" w:cstheme="minorHAnsi"/>
          <w:color w:val="000000"/>
          <w:lang w:eastAsia="en-PK"/>
        </w:rPr>
        <w:t>Intangible assets should be measured initially at cost, following the same principles as for tangible assets.</w:t>
      </w:r>
    </w:p>
    <w:p w14:paraId="0C75EE60" w14:textId="292FB81B" w:rsidR="00EF53AB" w:rsidRDefault="00EF53AB" w:rsidP="00EF53AB">
      <w:pPr>
        <w:shd w:val="clear" w:color="auto" w:fill="FFFFFF"/>
        <w:spacing w:after="150" w:line="240" w:lineRule="auto"/>
        <w:textAlignment w:val="baseline"/>
        <w:rPr>
          <w:rFonts w:eastAsia="Times New Roman" w:cstheme="minorHAnsi"/>
          <w:color w:val="000000"/>
          <w:lang w:eastAsia="en-PK"/>
        </w:rPr>
      </w:pPr>
      <w:r w:rsidRPr="00EF53AB">
        <w:rPr>
          <w:rFonts w:eastAsia="Times New Roman" w:cstheme="minorHAnsi"/>
          <w:color w:val="000000"/>
          <w:lang w:eastAsia="en-PK"/>
        </w:rPr>
        <w:t>The cost of an intangible asset depends on how it is acquired:</w:t>
      </w:r>
    </w:p>
    <w:tbl>
      <w:tblPr>
        <w:tblpPr w:leftFromText="180" w:rightFromText="180" w:vertAnchor="text" w:horzAnchor="margin" w:tblpY="223"/>
        <w:tblW w:w="9823" w:type="dxa"/>
        <w:tblBorders>
          <w:top w:val="single" w:sz="6" w:space="0" w:color="CA0000"/>
          <w:left w:val="single" w:sz="6" w:space="0" w:color="CA0000"/>
          <w:bottom w:val="single" w:sz="6" w:space="0" w:color="CA0000"/>
          <w:right w:val="single" w:sz="6" w:space="0" w:color="CA0000"/>
        </w:tblBorders>
        <w:shd w:val="clear" w:color="auto" w:fill="FFFFFF"/>
        <w:tblCellMar>
          <w:left w:w="0" w:type="dxa"/>
          <w:right w:w="0" w:type="dxa"/>
        </w:tblCellMar>
        <w:tblLook w:val="04A0" w:firstRow="1" w:lastRow="0" w:firstColumn="1" w:lastColumn="0" w:noHBand="0" w:noVBand="1"/>
      </w:tblPr>
      <w:tblGrid>
        <w:gridCol w:w="2544"/>
        <w:gridCol w:w="7279"/>
      </w:tblGrid>
      <w:tr w:rsidR="00283747" w:rsidRPr="00EF53AB" w14:paraId="05595756" w14:textId="77777777" w:rsidTr="00283747">
        <w:trPr>
          <w:trHeight w:val="455"/>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5249121F" w14:textId="77777777" w:rsidR="00283747" w:rsidRPr="00EF53AB" w:rsidRDefault="00283747" w:rsidP="00283747">
            <w:pPr>
              <w:spacing w:after="0" w:line="240" w:lineRule="auto"/>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Acquired separately</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58490BDF" w14:textId="77777777" w:rsidR="00283747" w:rsidRPr="00EF53AB" w:rsidRDefault="00283747" w:rsidP="00283747">
            <w:pPr>
              <w:spacing w:after="0" w:line="240" w:lineRule="auto"/>
              <w:rPr>
                <w:rFonts w:eastAsia="Times New Roman" w:cstheme="minorHAnsi"/>
                <w:color w:val="000000"/>
                <w:lang w:eastAsia="en-PK"/>
              </w:rPr>
            </w:pPr>
            <w:r w:rsidRPr="00EF53AB">
              <w:rPr>
                <w:rFonts w:eastAsia="Times New Roman" w:cstheme="minorHAnsi"/>
                <w:color w:val="000000"/>
                <w:lang w:eastAsia="en-PK"/>
              </w:rPr>
              <w:t>Measure initially at purchase price plus expenditure directly attributable to preparing the asset for its intended use.</w:t>
            </w:r>
          </w:p>
        </w:tc>
      </w:tr>
      <w:tr w:rsidR="00283747" w:rsidRPr="00EF53AB" w14:paraId="5EDBD17F" w14:textId="77777777" w:rsidTr="00283747">
        <w:trPr>
          <w:trHeight w:val="898"/>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4F78323E" w14:textId="77777777" w:rsidR="00283747" w:rsidRPr="00EF53AB" w:rsidRDefault="00283747" w:rsidP="00283747">
            <w:pPr>
              <w:spacing w:after="0" w:line="240" w:lineRule="auto"/>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Acquired by way of a government grant</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512C509C" w14:textId="77777777" w:rsidR="00283747" w:rsidRPr="00EF53AB" w:rsidRDefault="00283747" w:rsidP="00283747">
            <w:pPr>
              <w:spacing w:after="0" w:line="240" w:lineRule="auto"/>
              <w:rPr>
                <w:rFonts w:eastAsia="Times New Roman" w:cstheme="minorHAnsi"/>
                <w:color w:val="000000"/>
                <w:lang w:eastAsia="en-PK"/>
              </w:rPr>
            </w:pPr>
            <w:r w:rsidRPr="00EF53AB">
              <w:rPr>
                <w:rFonts w:eastAsia="Times New Roman" w:cstheme="minorHAnsi"/>
                <w:color w:val="000000"/>
                <w:lang w:eastAsia="en-PK"/>
              </w:rPr>
              <w:t>Choice for initial measurement:</w:t>
            </w:r>
          </w:p>
          <w:p w14:paraId="2C1D5394" w14:textId="77777777" w:rsidR="00283747" w:rsidRPr="00EF53AB" w:rsidRDefault="00283747" w:rsidP="00283747">
            <w:pPr>
              <w:numPr>
                <w:ilvl w:val="0"/>
                <w:numId w:val="14"/>
              </w:numPr>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at fair value; or</w:t>
            </w:r>
          </w:p>
          <w:p w14:paraId="7C1C259C" w14:textId="77777777" w:rsidR="00283747" w:rsidRPr="00EF53AB" w:rsidRDefault="00283747" w:rsidP="00283747">
            <w:pPr>
              <w:numPr>
                <w:ilvl w:val="0"/>
                <w:numId w:val="14"/>
              </w:numPr>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at nominal amount plus expenditure directly attributable to preparing the asset for its intended use.</w:t>
            </w:r>
          </w:p>
        </w:tc>
      </w:tr>
      <w:tr w:rsidR="00283747" w:rsidRPr="00EF53AB" w14:paraId="341E97BE" w14:textId="77777777" w:rsidTr="00283747">
        <w:trPr>
          <w:trHeight w:val="455"/>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3200F0D8" w14:textId="77777777" w:rsidR="00283747" w:rsidRPr="00EF53AB" w:rsidRDefault="00283747" w:rsidP="00283747">
            <w:pPr>
              <w:spacing w:after="0" w:line="240" w:lineRule="auto"/>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Internally generated (development costs)</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69246409" w14:textId="77777777" w:rsidR="00283747" w:rsidRPr="00EF53AB" w:rsidRDefault="00283747" w:rsidP="00283747">
            <w:pPr>
              <w:spacing w:after="0" w:line="240" w:lineRule="auto"/>
              <w:rPr>
                <w:rFonts w:eastAsia="Times New Roman" w:cstheme="minorHAnsi"/>
                <w:color w:val="000000"/>
                <w:lang w:eastAsia="en-PK"/>
              </w:rPr>
            </w:pPr>
            <w:r w:rsidRPr="00EF53AB">
              <w:rPr>
                <w:rFonts w:eastAsia="Times New Roman" w:cstheme="minorHAnsi"/>
                <w:color w:val="000000"/>
                <w:lang w:eastAsia="en-PK"/>
              </w:rPr>
              <w:t>Measure at directly attributable costs incurred in the period after the recognition criteria (s.4.3) are met.</w:t>
            </w:r>
          </w:p>
        </w:tc>
      </w:tr>
      <w:tr w:rsidR="00283747" w:rsidRPr="00EF53AB" w14:paraId="4E1F9C45" w14:textId="77777777" w:rsidTr="00283747">
        <w:trPr>
          <w:trHeight w:val="1493"/>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14B03223" w14:textId="77777777" w:rsidR="00283747" w:rsidRPr="00EF53AB" w:rsidRDefault="00283747" w:rsidP="00283747">
            <w:pPr>
              <w:spacing w:after="0" w:line="240" w:lineRule="auto"/>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Acquired through an exchange of assets</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46802196" w14:textId="77777777" w:rsidR="00283747" w:rsidRPr="00EF53AB" w:rsidRDefault="00283747" w:rsidP="00283747">
            <w:pPr>
              <w:spacing w:after="0" w:line="240" w:lineRule="auto"/>
              <w:rPr>
                <w:rFonts w:eastAsia="Times New Roman" w:cstheme="minorHAnsi"/>
                <w:color w:val="000000"/>
                <w:lang w:eastAsia="en-PK"/>
              </w:rPr>
            </w:pPr>
            <w:r w:rsidRPr="00EF53AB">
              <w:rPr>
                <w:rFonts w:eastAsia="Times New Roman" w:cstheme="minorHAnsi"/>
                <w:color w:val="000000"/>
                <w:lang w:eastAsia="en-PK"/>
              </w:rPr>
              <w:t>Asset initially measured at fair value unless:</w:t>
            </w:r>
          </w:p>
          <w:p w14:paraId="3C954C29" w14:textId="77777777" w:rsidR="00283747" w:rsidRPr="00EF53AB" w:rsidRDefault="00283747" w:rsidP="00283747">
            <w:pPr>
              <w:numPr>
                <w:ilvl w:val="0"/>
                <w:numId w:val="17"/>
              </w:numPr>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the transaction lacks commercial substance, or</w:t>
            </w:r>
          </w:p>
          <w:p w14:paraId="4697A479" w14:textId="77777777" w:rsidR="00283747" w:rsidRPr="00EF53AB" w:rsidRDefault="00283747" w:rsidP="00283747">
            <w:pPr>
              <w:numPr>
                <w:ilvl w:val="0"/>
                <w:numId w:val="17"/>
              </w:numPr>
              <w:spacing w:after="0" w:line="240" w:lineRule="auto"/>
              <w:ind w:left="1080"/>
              <w:textAlignment w:val="baseline"/>
              <w:rPr>
                <w:rFonts w:eastAsia="Times New Roman" w:cstheme="minorHAnsi"/>
                <w:color w:val="CA0000"/>
                <w:lang w:eastAsia="en-PK"/>
              </w:rPr>
            </w:pPr>
            <w:r w:rsidRPr="00EF53AB">
              <w:rPr>
                <w:rFonts w:eastAsia="Times New Roman" w:cstheme="minorHAnsi"/>
                <w:color w:val="000000"/>
                <w:bdr w:val="none" w:sz="0" w:space="0" w:color="auto" w:frame="1"/>
                <w:lang w:eastAsia="en-PK"/>
              </w:rPr>
              <w:t>it is not possible to measure the fair value of either the asset received or that given up.</w:t>
            </w:r>
          </w:p>
          <w:p w14:paraId="428D9F28" w14:textId="77777777" w:rsidR="00283747" w:rsidRPr="00EF53AB" w:rsidRDefault="00283747" w:rsidP="00283747">
            <w:pPr>
              <w:spacing w:after="150" w:line="240" w:lineRule="auto"/>
              <w:textAlignment w:val="baseline"/>
              <w:rPr>
                <w:rFonts w:eastAsia="Times New Roman" w:cstheme="minorHAnsi"/>
                <w:color w:val="000000"/>
                <w:lang w:eastAsia="en-PK"/>
              </w:rPr>
            </w:pPr>
            <w:r w:rsidRPr="00EF53AB">
              <w:rPr>
                <w:rFonts w:eastAsia="Times New Roman" w:cstheme="minorHAnsi"/>
                <w:color w:val="000000"/>
                <w:lang w:eastAsia="en-PK"/>
              </w:rPr>
              <w:t>In this case the acquired asset is measured at the carrying amount of the asset given up.</w:t>
            </w:r>
          </w:p>
        </w:tc>
      </w:tr>
    </w:tbl>
    <w:p w14:paraId="26B6B5A2" w14:textId="77777777" w:rsidR="00EF53AB" w:rsidRPr="00EF53AB" w:rsidRDefault="00EF53AB" w:rsidP="00EF53AB">
      <w:pPr>
        <w:shd w:val="clear" w:color="auto" w:fill="FFFFFF"/>
        <w:spacing w:after="150" w:line="240" w:lineRule="auto"/>
        <w:textAlignment w:val="baseline"/>
        <w:rPr>
          <w:rFonts w:eastAsia="Times New Roman" w:cstheme="minorHAnsi"/>
          <w:color w:val="000000"/>
          <w:lang w:eastAsia="en-PK"/>
        </w:rPr>
      </w:pPr>
    </w:p>
    <w:p w14:paraId="7AF0EF51" w14:textId="77777777" w:rsidR="000551A2" w:rsidRPr="000551A2" w:rsidRDefault="000551A2" w:rsidP="000551A2">
      <w:pPr>
        <w:shd w:val="clear" w:color="auto" w:fill="FFFFFF"/>
        <w:spacing w:after="0" w:line="240" w:lineRule="auto"/>
        <w:textAlignment w:val="baseline"/>
        <w:rPr>
          <w:rFonts w:eastAsia="Times New Roman" w:cstheme="minorHAnsi"/>
          <w:color w:val="CA0000"/>
          <w:lang w:eastAsia="en-PK"/>
        </w:rPr>
      </w:pPr>
      <w:r w:rsidRPr="000551A2">
        <w:rPr>
          <w:rFonts w:eastAsia="Times New Roman" w:cstheme="minorHAnsi"/>
          <w:color w:val="000000"/>
          <w:bdr w:val="none" w:sz="0" w:space="0" w:color="auto" w:frame="1"/>
          <w:lang w:eastAsia="en-PK"/>
        </w:rPr>
        <w:t>The amortisation charge is recognised in profit or loss unless another IFRS Accounting Standard permits inclusion in the carrying amount of another asset.</w:t>
      </w:r>
    </w:p>
    <w:p w14:paraId="1F10F899" w14:textId="657C56F2" w:rsidR="000551A2" w:rsidRPr="000551A2" w:rsidRDefault="000551A2" w:rsidP="000551A2">
      <w:pPr>
        <w:spacing w:before="100" w:beforeAutospacing="1" w:after="100" w:afterAutospacing="1" w:line="240" w:lineRule="auto"/>
        <w:rPr>
          <w:rFonts w:eastAsia="Times New Roman" w:cstheme="minorHAnsi"/>
          <w:lang w:eastAsia="en-PK"/>
        </w:rPr>
      </w:pPr>
      <w:r w:rsidRPr="000551A2">
        <w:rPr>
          <w:rFonts w:eastAsia="Times New Roman" w:cstheme="minorHAnsi"/>
          <w:lang w:eastAsia="en-PK"/>
        </w:rPr>
        <w:t>Amortisation of software used in developing a machine → included in the cost of the machine under IAS 16 Property, Plant and Equipment.</w:t>
      </w:r>
    </w:p>
    <w:p w14:paraId="691DC0FF" w14:textId="2DD1F9B1" w:rsidR="000551A2" w:rsidRDefault="000551A2" w:rsidP="000551A2">
      <w:pPr>
        <w:spacing w:before="100" w:beforeAutospacing="1" w:after="100" w:afterAutospacing="1" w:line="240" w:lineRule="auto"/>
        <w:rPr>
          <w:rFonts w:eastAsia="Times New Roman" w:cstheme="minorHAnsi"/>
          <w:lang w:eastAsia="en-PK"/>
        </w:rPr>
      </w:pPr>
      <w:r w:rsidRPr="000551A2">
        <w:rPr>
          <w:rFonts w:eastAsia="Times New Roman" w:cstheme="minorHAnsi"/>
          <w:lang w:eastAsia="en-PK"/>
        </w:rPr>
        <w:t>Amortisation of patents used in producing inventory → included in the cost of inventory under IAS 2 Inventories.</w:t>
      </w:r>
    </w:p>
    <w:tbl>
      <w:tblPr>
        <w:tblW w:w="9900" w:type="dxa"/>
        <w:tblBorders>
          <w:top w:val="single" w:sz="6" w:space="0" w:color="CA0000"/>
          <w:left w:val="single" w:sz="6" w:space="0" w:color="CA0000"/>
          <w:bottom w:val="single" w:sz="6" w:space="0" w:color="CA0000"/>
          <w:right w:val="single" w:sz="6" w:space="0" w:color="CA0000"/>
        </w:tblBorders>
        <w:shd w:val="clear" w:color="auto" w:fill="FFFFFF"/>
        <w:tblCellMar>
          <w:left w:w="0" w:type="dxa"/>
          <w:right w:w="0" w:type="dxa"/>
        </w:tblCellMar>
        <w:tblLook w:val="04A0" w:firstRow="1" w:lastRow="0" w:firstColumn="1" w:lastColumn="0" w:noHBand="0" w:noVBand="1"/>
      </w:tblPr>
      <w:tblGrid>
        <w:gridCol w:w="9900"/>
      </w:tblGrid>
      <w:tr w:rsidR="00C7174C" w:rsidRPr="00C7174C" w14:paraId="5B126DC8" w14:textId="77777777" w:rsidTr="00C7174C">
        <w:trPr>
          <w:trHeight w:val="244"/>
        </w:trPr>
        <w:tc>
          <w:tcPr>
            <w:tcW w:w="0" w:type="auto"/>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bottom"/>
            <w:hideMark/>
          </w:tcPr>
          <w:p w14:paraId="2BFB199D" w14:textId="77777777" w:rsidR="00C7174C" w:rsidRPr="00C7174C" w:rsidRDefault="00C7174C" w:rsidP="00C7174C">
            <w:pPr>
              <w:spacing w:after="0" w:line="240" w:lineRule="auto"/>
              <w:jc w:val="center"/>
              <w:rPr>
                <w:rFonts w:eastAsia="Times New Roman" w:cstheme="minorHAnsi"/>
                <w:color w:val="000000"/>
                <w:lang w:eastAsia="en-PK"/>
              </w:rPr>
            </w:pPr>
            <w:r w:rsidRPr="00C7174C">
              <w:rPr>
                <w:rFonts w:eastAsia="Times New Roman" w:cstheme="minorHAnsi"/>
                <w:b/>
                <w:bCs/>
                <w:color w:val="000000"/>
                <w:bdr w:val="none" w:sz="0" w:space="0" w:color="auto" w:frame="1"/>
                <w:lang w:eastAsia="en-PK"/>
              </w:rPr>
              <w:t>Example 9 Active Market for an Intangible Asset</w:t>
            </w:r>
          </w:p>
        </w:tc>
      </w:tr>
      <w:tr w:rsidR="00C7174C" w:rsidRPr="00C7174C" w14:paraId="4D0EB327" w14:textId="77777777" w:rsidTr="00C7174C">
        <w:trPr>
          <w:trHeight w:val="1347"/>
        </w:trPr>
        <w:tc>
          <w:tcPr>
            <w:tcW w:w="0" w:type="auto"/>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bottom"/>
            <w:hideMark/>
          </w:tcPr>
          <w:p w14:paraId="6D0A7203" w14:textId="77777777" w:rsidR="00C7174C" w:rsidRPr="00C7174C" w:rsidRDefault="00C7174C" w:rsidP="00C7174C">
            <w:pPr>
              <w:spacing w:after="0" w:line="240" w:lineRule="auto"/>
              <w:rPr>
                <w:rFonts w:eastAsia="Times New Roman" w:cstheme="minorHAnsi"/>
                <w:color w:val="000000"/>
                <w:lang w:eastAsia="en-PK"/>
              </w:rPr>
            </w:pPr>
            <w:r w:rsidRPr="00C7174C">
              <w:rPr>
                <w:rFonts w:eastAsia="Times New Roman" w:cstheme="minorHAnsi"/>
                <w:color w:val="000000"/>
                <w:lang w:eastAsia="en-PK"/>
              </w:rPr>
              <w:t>In 1990, in the United States, legislation was introduced to authorise sulphur dioxide pollution at a limited rate from power-generating systems – an emission right. Such rights are no longer granted.</w:t>
            </w:r>
          </w:p>
          <w:p w14:paraId="44C4CD8F" w14:textId="77777777" w:rsidR="00C7174C" w:rsidRPr="00C7174C" w:rsidRDefault="00C7174C" w:rsidP="00C7174C">
            <w:pPr>
              <w:spacing w:after="150" w:line="240" w:lineRule="auto"/>
              <w:textAlignment w:val="baseline"/>
              <w:rPr>
                <w:rFonts w:eastAsia="Times New Roman" w:cstheme="minorHAnsi"/>
                <w:color w:val="000000"/>
                <w:lang w:eastAsia="en-PK"/>
              </w:rPr>
            </w:pPr>
            <w:r w:rsidRPr="00C7174C">
              <w:rPr>
                <w:rFonts w:eastAsia="Times New Roman" w:cstheme="minorHAnsi"/>
                <w:color w:val="000000"/>
                <w:lang w:eastAsia="en-PK"/>
              </w:rPr>
              <w:t>Organisations reducing their emissions through, for example, modernisation then had excess pollution rights (</w:t>
            </w:r>
            <w:proofErr w:type="gramStart"/>
            <w:r w:rsidRPr="00C7174C">
              <w:rPr>
                <w:rFonts w:eastAsia="Times New Roman" w:cstheme="minorHAnsi"/>
                <w:color w:val="000000"/>
                <w:lang w:eastAsia="en-PK"/>
              </w:rPr>
              <w:t>i.e.</w:t>
            </w:r>
            <w:proofErr w:type="gramEnd"/>
            <w:r w:rsidRPr="00C7174C">
              <w:rPr>
                <w:rFonts w:eastAsia="Times New Roman" w:cstheme="minorHAnsi"/>
                <w:color w:val="000000"/>
                <w:lang w:eastAsia="en-PK"/>
              </w:rPr>
              <w:t xml:space="preserve"> an ability to pollute which was surplus to their requirements). An active market in emission rights emerged as new plants sought to buy the excess.</w:t>
            </w:r>
          </w:p>
        </w:tc>
      </w:tr>
    </w:tbl>
    <w:p w14:paraId="6B0D407D" w14:textId="77777777" w:rsidR="00A557CB" w:rsidRDefault="00A557CB" w:rsidP="00A557CB">
      <w:pPr>
        <w:pStyle w:val="Heading5"/>
        <w:spacing w:before="0"/>
        <w:textAlignment w:val="center"/>
        <w:rPr>
          <w:rFonts w:ascii="Arial" w:hAnsi="Arial" w:cs="Arial"/>
          <w:color w:val="CA0000"/>
          <w:sz w:val="27"/>
          <w:szCs w:val="27"/>
        </w:rPr>
      </w:pPr>
    </w:p>
    <w:p w14:paraId="1CAE096D" w14:textId="77777777" w:rsidR="00A557CB" w:rsidRDefault="0080514D" w:rsidP="00A557CB">
      <w:pPr>
        <w:spacing w:before="75" w:after="150"/>
        <w:rPr>
          <w:rFonts w:ascii="Times New Roman" w:hAnsi="Times New Roman" w:cs="Times New Roman"/>
          <w:sz w:val="24"/>
          <w:szCs w:val="24"/>
        </w:rPr>
      </w:pPr>
      <w:r>
        <w:pict w14:anchorId="5299242C">
          <v:rect id="_x0000_i1026" style="width:111.85pt;height:0" o:hrpct="0" o:hralign="center" o:hrstd="t" o:hrnoshade="t" o:hr="t" fillcolor="black" stroked="f"/>
        </w:pict>
      </w:r>
    </w:p>
    <w:p w14:paraId="57CB2E41" w14:textId="010AC761" w:rsidR="00A557CB" w:rsidRPr="00A557CB" w:rsidRDefault="00A557CB" w:rsidP="00A557CB">
      <w:pPr>
        <w:pStyle w:val="NormalWeb"/>
        <w:spacing w:before="0" w:beforeAutospacing="0" w:after="150" w:afterAutospacing="0"/>
        <w:textAlignment w:val="baseline"/>
        <w:rPr>
          <w:rFonts w:asciiTheme="minorHAnsi" w:hAnsiTheme="minorHAnsi" w:cstheme="minorHAnsi"/>
          <w:color w:val="000000"/>
          <w:sz w:val="22"/>
          <w:szCs w:val="22"/>
        </w:rPr>
      </w:pPr>
      <w:r w:rsidRPr="00A557CB">
        <w:rPr>
          <w:rFonts w:asciiTheme="minorHAnsi" w:hAnsiTheme="minorHAnsi" w:cstheme="minorHAnsi"/>
          <w:b/>
          <w:bCs/>
          <w:color w:val="CA0000"/>
          <w:sz w:val="22"/>
          <w:szCs w:val="22"/>
          <w:shd w:val="clear" w:color="auto" w:fill="FFFFFF"/>
        </w:rPr>
        <w:lastRenderedPageBreak/>
        <w:t>Activity 4 Landfill Site</w:t>
      </w:r>
    </w:p>
    <w:p w14:paraId="5BAC490D" w14:textId="5E1B48F8" w:rsidR="00A557CB" w:rsidRPr="00A557CB" w:rsidRDefault="00A557CB" w:rsidP="00A557CB">
      <w:pPr>
        <w:pStyle w:val="NormalWeb"/>
        <w:spacing w:before="0" w:beforeAutospacing="0" w:after="15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In April 20X7, Keffler, a manufacturer of plastic products, acquired a licence giving it the right to use land that it owns as a landfill site for a period of 15 years for $1.1 million.</w:t>
      </w:r>
    </w:p>
    <w:p w14:paraId="7B7B693C" w14:textId="77777777" w:rsidR="00A557CB" w:rsidRPr="00A557CB" w:rsidRDefault="00A557CB" w:rsidP="00A557CB">
      <w:pPr>
        <w:pStyle w:val="NormalWeb"/>
        <w:spacing w:before="0" w:beforeAutospacing="0" w:after="15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Keffler expects that the amount of waste that it will need to dump will increase annually and that the site will be completely filled after just 10 years. Keffler has charged the following amounts to the statement of profit or loss for the year to 31 March 20X8:</w:t>
      </w:r>
    </w:p>
    <w:p w14:paraId="48812A1E" w14:textId="77777777" w:rsidR="00A557CB" w:rsidRPr="00A557CB" w:rsidRDefault="00A557CB" w:rsidP="00A557CB">
      <w:pPr>
        <w:numPr>
          <w:ilvl w:val="0"/>
          <w:numId w:val="19"/>
        </w:numPr>
        <w:spacing w:after="0" w:line="240" w:lineRule="auto"/>
        <w:ind w:left="1080"/>
        <w:textAlignment w:val="baseline"/>
        <w:rPr>
          <w:rFonts w:cstheme="minorHAnsi"/>
          <w:color w:val="CA0000"/>
        </w:rPr>
      </w:pPr>
      <w:r w:rsidRPr="00A557CB">
        <w:rPr>
          <w:rFonts w:cstheme="minorHAnsi"/>
          <w:color w:val="000000"/>
          <w:bdr w:val="none" w:sz="0" w:space="0" w:color="auto" w:frame="1"/>
        </w:rPr>
        <w:t>$20,000 amortisation calculated on a sum-of-digits basis to increase the charge over the useful life of the site; and</w:t>
      </w:r>
    </w:p>
    <w:p w14:paraId="1E399C8A" w14:textId="77777777" w:rsidR="00A557CB" w:rsidRPr="00A557CB" w:rsidRDefault="00A557CB" w:rsidP="00A557CB">
      <w:pPr>
        <w:numPr>
          <w:ilvl w:val="0"/>
          <w:numId w:val="19"/>
        </w:numPr>
        <w:spacing w:after="0" w:line="240" w:lineRule="auto"/>
        <w:ind w:left="1080"/>
        <w:textAlignment w:val="baseline"/>
        <w:rPr>
          <w:rFonts w:cstheme="minorHAnsi"/>
          <w:color w:val="CA0000"/>
        </w:rPr>
      </w:pPr>
      <w:r w:rsidRPr="00A557CB">
        <w:rPr>
          <w:rFonts w:cstheme="minorHAnsi"/>
          <w:color w:val="000000"/>
          <w:bdr w:val="none" w:sz="0" w:space="0" w:color="auto" w:frame="1"/>
        </w:rPr>
        <w:t>$100,000 annual provision for restoring the land in 15 years' time.</w:t>
      </w:r>
    </w:p>
    <w:p w14:paraId="12E981A6" w14:textId="018BFB2C" w:rsidR="00A557CB" w:rsidRPr="00A557CB" w:rsidRDefault="00A557CB" w:rsidP="00A557CB">
      <w:pPr>
        <w:pStyle w:val="NormalWeb"/>
        <w:spacing w:before="0" w:beforeAutospacing="0" w:after="0" w:afterAutospacing="0"/>
        <w:textAlignment w:val="baseline"/>
        <w:rPr>
          <w:rFonts w:asciiTheme="minorHAnsi" w:hAnsiTheme="minorHAnsi" w:cstheme="minorHAnsi"/>
          <w:color w:val="000000"/>
          <w:sz w:val="22"/>
          <w:szCs w:val="22"/>
        </w:rPr>
      </w:pPr>
      <w:r w:rsidRPr="00A557CB">
        <w:rPr>
          <w:rStyle w:val="acca-red"/>
          <w:rFonts w:asciiTheme="minorHAnsi" w:eastAsiaTheme="majorEastAsia" w:hAnsiTheme="minorHAnsi" w:cstheme="minorHAnsi"/>
          <w:b/>
          <w:bCs/>
          <w:color w:val="000000"/>
          <w:sz w:val="22"/>
          <w:szCs w:val="22"/>
          <w:bdr w:val="none" w:sz="0" w:space="0" w:color="auto" w:frame="1"/>
        </w:rPr>
        <w:t>Required</w:t>
      </w:r>
    </w:p>
    <w:p w14:paraId="231F6E29" w14:textId="77777777" w:rsidR="00A557CB" w:rsidRPr="00A557CB" w:rsidRDefault="00A557CB" w:rsidP="00A557CB">
      <w:pPr>
        <w:pStyle w:val="NormalWeb"/>
        <w:spacing w:before="0" w:beforeAutospacing="0" w:after="0" w:afterAutospacing="0"/>
        <w:textAlignment w:val="baseline"/>
        <w:rPr>
          <w:rFonts w:asciiTheme="minorHAnsi" w:hAnsiTheme="minorHAnsi" w:cstheme="minorHAnsi"/>
          <w:color w:val="000000"/>
          <w:sz w:val="22"/>
          <w:szCs w:val="22"/>
        </w:rPr>
      </w:pPr>
      <w:r w:rsidRPr="00A557CB">
        <w:rPr>
          <w:rStyle w:val="Strong"/>
          <w:rFonts w:asciiTheme="minorHAnsi" w:hAnsiTheme="minorHAnsi" w:cstheme="minorHAnsi"/>
          <w:color w:val="000000"/>
          <w:sz w:val="22"/>
          <w:szCs w:val="22"/>
          <w:bdr w:val="none" w:sz="0" w:space="0" w:color="auto" w:frame="1"/>
        </w:rPr>
        <w:t>Discuss the proposed accounting treatment.</w:t>
      </w:r>
    </w:p>
    <w:p w14:paraId="195F47BC" w14:textId="77777777" w:rsidR="00A557CB" w:rsidRPr="00A557CB" w:rsidRDefault="00A557CB" w:rsidP="00A557CB">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 xml:space="preserve">The land is property, plant and equipment (IAS 16). The licence allowing use of the site for landfill is classified as an intangible asset (IAS 38). Although Keffler has the right to use the asset for 15 years, it expects to fill the site within 10 years so that should be the useful life of both licence and land. </w:t>
      </w:r>
      <w:r w:rsidRPr="00A557CB">
        <w:rPr>
          <w:rFonts w:asciiTheme="minorHAnsi" w:hAnsiTheme="minorHAnsi" w:cstheme="minorHAnsi"/>
          <w:b/>
          <w:bCs/>
          <w:color w:val="000000"/>
          <w:sz w:val="22"/>
          <w:szCs w:val="22"/>
        </w:rPr>
        <w:t>Although ordinarily land is not depreciated, the landfill site is because it is consumed</w:t>
      </w:r>
      <w:r w:rsidRPr="00A557CB">
        <w:rPr>
          <w:rFonts w:asciiTheme="minorHAnsi" w:hAnsiTheme="minorHAnsi" w:cstheme="minorHAnsi"/>
          <w:color w:val="000000"/>
          <w:sz w:val="22"/>
          <w:szCs w:val="22"/>
        </w:rPr>
        <w:t>.</w:t>
      </w:r>
    </w:p>
    <w:p w14:paraId="774FB868" w14:textId="77777777" w:rsidR="00A557CB" w:rsidRPr="00A557CB" w:rsidRDefault="00A557CB" w:rsidP="00A557CB">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The increasing sum-of-the-digits method would not be appropriate for depreciating this asset if it is likely that the site will be used in equal measure each year.</w:t>
      </w:r>
    </w:p>
    <w:p w14:paraId="48626810" w14:textId="77777777" w:rsidR="00A557CB" w:rsidRPr="00A557CB" w:rsidRDefault="00A557CB" w:rsidP="00A557CB">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A decommissioning provision is required for the future restoration costs. The provision should initially be recognised at the present value of the future expected cash flows. Cash flows associated with the restoration of a landfill site are likely to increase each year as the site is utilised and therefore the provision is likely to increase annually. Initial obligated restoration costs are recognised as part of the cost of the licence when it is acquired; any increases in the amount provided throughout the licence period are recognised in profit or loss.</w:t>
      </w:r>
    </w:p>
    <w:p w14:paraId="190DAF0D" w14:textId="41C778AC" w:rsidR="00EF53AB" w:rsidRPr="00A557CB" w:rsidRDefault="00EF53AB" w:rsidP="00EF53AB">
      <w:pPr>
        <w:rPr>
          <w:rFonts w:cstheme="minorHAnsi"/>
          <w:b/>
          <w:bCs/>
          <w:u w:val="single"/>
          <w:lang w:val="en-US"/>
        </w:rPr>
      </w:pPr>
    </w:p>
    <w:p w14:paraId="4A24CA8E" w14:textId="77777777" w:rsidR="00222045" w:rsidRDefault="007148E7" w:rsidP="00222045">
      <w:pPr>
        <w:rPr>
          <w:b/>
          <w:bCs/>
          <w:sz w:val="24"/>
          <w:szCs w:val="24"/>
          <w:u w:val="single"/>
          <w:lang w:val="en-US"/>
        </w:rPr>
      </w:pPr>
      <w:r w:rsidRPr="008C7B95">
        <w:rPr>
          <w:b/>
          <w:bCs/>
          <w:sz w:val="24"/>
          <w:szCs w:val="24"/>
          <w:u w:val="single"/>
          <w:lang w:val="en-US"/>
        </w:rPr>
        <w:t>IAS-</w:t>
      </w:r>
      <w:r w:rsidR="00222045">
        <w:rPr>
          <w:b/>
          <w:bCs/>
          <w:sz w:val="24"/>
          <w:szCs w:val="24"/>
          <w:u w:val="single"/>
          <w:lang w:val="en-US"/>
        </w:rPr>
        <w:t>40:</w:t>
      </w:r>
    </w:p>
    <w:p w14:paraId="359A7491" w14:textId="0CB2055C" w:rsidR="00222045" w:rsidRPr="00222045" w:rsidRDefault="00222045" w:rsidP="00222045">
      <w:pPr>
        <w:rPr>
          <w:rFonts w:cstheme="minorHAnsi"/>
          <w:b/>
          <w:bCs/>
          <w:u w:val="single"/>
          <w:lang w:val="en-US"/>
        </w:rPr>
      </w:pPr>
      <w:r w:rsidRPr="00222045">
        <w:rPr>
          <w:rFonts w:cstheme="minorHAnsi"/>
          <w:b/>
          <w:bCs/>
          <w:color w:val="CA0000"/>
        </w:rPr>
        <w:t>Activity 2 Constructed Investment Property</w:t>
      </w:r>
    </w:p>
    <w:p w14:paraId="01769F58" w14:textId="77777777" w:rsidR="00222045" w:rsidRPr="00222045" w:rsidRDefault="00222045" w:rsidP="00222045">
      <w:pPr>
        <w:pStyle w:val="NormalWeb"/>
        <w:spacing w:before="0" w:beforeAutospacing="0" w:after="0" w:afterAutospacing="0"/>
        <w:textAlignment w:val="baseline"/>
        <w:rPr>
          <w:rFonts w:asciiTheme="minorHAnsi" w:hAnsiTheme="minorHAnsi" w:cstheme="minorHAnsi"/>
          <w:color w:val="000000"/>
          <w:sz w:val="22"/>
          <w:szCs w:val="22"/>
        </w:rPr>
      </w:pPr>
      <w:r w:rsidRPr="00222045">
        <w:rPr>
          <w:rStyle w:val="Strong"/>
          <w:rFonts w:asciiTheme="minorHAnsi" w:hAnsiTheme="minorHAnsi" w:cstheme="minorHAnsi"/>
          <w:color w:val="000000"/>
          <w:sz w:val="22"/>
          <w:szCs w:val="22"/>
          <w:bdr w:val="none" w:sz="0" w:space="0" w:color="auto" w:frame="1"/>
        </w:rPr>
        <w:t>Note:</w:t>
      </w:r>
      <w:r w:rsidRPr="00222045">
        <w:rPr>
          <w:rFonts w:asciiTheme="minorHAnsi" w:hAnsiTheme="minorHAnsi" w:cstheme="minorHAnsi"/>
          <w:color w:val="000000"/>
          <w:sz w:val="22"/>
          <w:szCs w:val="22"/>
        </w:rPr>
        <w:t> You may wish to revise borrowing costs in section 5 before attempting this activity.</w:t>
      </w:r>
    </w:p>
    <w:p w14:paraId="3ECB9D14" w14:textId="77777777" w:rsidR="00222045" w:rsidRPr="00222045" w:rsidRDefault="00222045" w:rsidP="00222045">
      <w:pPr>
        <w:pStyle w:val="NormalWeb"/>
        <w:spacing w:before="0" w:beforeAutospacing="0" w:after="15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Conseil, an investment property company, has been constructing a new cinema. At 31 December 20X8, the cinema was nearing completion, and the costs capitalised to date were:</w:t>
      </w:r>
    </w:p>
    <w:tbl>
      <w:tblPr>
        <w:tblW w:w="5059" w:type="dxa"/>
        <w:jc w:val="center"/>
        <w:tblCellMar>
          <w:left w:w="0" w:type="dxa"/>
          <w:right w:w="0" w:type="dxa"/>
        </w:tblCellMar>
        <w:tblLook w:val="04A0" w:firstRow="1" w:lastRow="0" w:firstColumn="1" w:lastColumn="0" w:noHBand="0" w:noVBand="1"/>
      </w:tblPr>
      <w:tblGrid>
        <w:gridCol w:w="4301"/>
        <w:gridCol w:w="758"/>
      </w:tblGrid>
      <w:tr w:rsidR="00222045" w:rsidRPr="00222045" w14:paraId="732BCD86" w14:textId="77777777" w:rsidTr="00222045">
        <w:trPr>
          <w:trHeight w:val="16"/>
          <w:jc w:val="center"/>
        </w:trPr>
        <w:tc>
          <w:tcPr>
            <w:tcW w:w="0" w:type="auto"/>
            <w:tcBorders>
              <w:top w:val="nil"/>
              <w:left w:val="nil"/>
              <w:bottom w:val="nil"/>
              <w:right w:val="nil"/>
            </w:tcBorders>
            <w:tcMar>
              <w:top w:w="120" w:type="dxa"/>
              <w:left w:w="120" w:type="dxa"/>
              <w:bottom w:w="120" w:type="dxa"/>
              <w:right w:w="120" w:type="dxa"/>
            </w:tcMar>
            <w:vAlign w:val="bottom"/>
            <w:hideMark/>
          </w:tcPr>
          <w:p w14:paraId="375B2FEA" w14:textId="77777777" w:rsidR="00222045" w:rsidRPr="00222045" w:rsidRDefault="00222045">
            <w:pPr>
              <w:rPr>
                <w:rFonts w:cstheme="minorHAnsi"/>
                <w:color w:val="000000"/>
              </w:rPr>
            </w:pPr>
            <w:r w:rsidRPr="00222045">
              <w:rPr>
                <w:rFonts w:cstheme="minorHAnsi"/>
                <w:color w:val="000000"/>
              </w:rPr>
              <w:t>Materials, labour and subcontractors</w:t>
            </w:r>
          </w:p>
        </w:tc>
        <w:tc>
          <w:tcPr>
            <w:tcW w:w="0" w:type="auto"/>
            <w:tcBorders>
              <w:top w:val="nil"/>
              <w:left w:val="nil"/>
              <w:bottom w:val="nil"/>
              <w:right w:val="nil"/>
            </w:tcBorders>
            <w:tcMar>
              <w:top w:w="120" w:type="dxa"/>
              <w:left w:w="120" w:type="dxa"/>
              <w:bottom w:w="120" w:type="dxa"/>
              <w:right w:w="120" w:type="dxa"/>
            </w:tcMar>
            <w:vAlign w:val="bottom"/>
            <w:hideMark/>
          </w:tcPr>
          <w:p w14:paraId="404A0843" w14:textId="77777777" w:rsidR="00222045" w:rsidRPr="00222045" w:rsidRDefault="00222045">
            <w:pPr>
              <w:jc w:val="center"/>
              <w:rPr>
                <w:rFonts w:cstheme="minorHAnsi"/>
                <w:color w:val="000000"/>
              </w:rPr>
            </w:pPr>
            <w:r w:rsidRPr="00222045">
              <w:rPr>
                <w:rFonts w:cstheme="minorHAnsi"/>
                <w:color w:val="000000"/>
              </w:rPr>
              <w:t>14.8</w:t>
            </w:r>
          </w:p>
        </w:tc>
      </w:tr>
      <w:tr w:rsidR="00222045" w:rsidRPr="00222045" w14:paraId="7AD3CC38" w14:textId="77777777" w:rsidTr="00222045">
        <w:trPr>
          <w:trHeight w:val="264"/>
          <w:jc w:val="center"/>
        </w:trPr>
        <w:tc>
          <w:tcPr>
            <w:tcW w:w="0" w:type="auto"/>
            <w:tcBorders>
              <w:top w:val="nil"/>
              <w:left w:val="nil"/>
              <w:bottom w:val="nil"/>
              <w:right w:val="nil"/>
            </w:tcBorders>
            <w:tcMar>
              <w:top w:w="120" w:type="dxa"/>
              <w:left w:w="120" w:type="dxa"/>
              <w:bottom w:w="120" w:type="dxa"/>
              <w:right w:w="120" w:type="dxa"/>
            </w:tcMar>
            <w:vAlign w:val="bottom"/>
            <w:hideMark/>
          </w:tcPr>
          <w:p w14:paraId="7278900D" w14:textId="77777777" w:rsidR="00222045" w:rsidRPr="00222045" w:rsidRDefault="00222045">
            <w:pPr>
              <w:rPr>
                <w:rFonts w:cstheme="minorHAnsi"/>
                <w:color w:val="000000"/>
              </w:rPr>
            </w:pPr>
            <w:r w:rsidRPr="00222045">
              <w:rPr>
                <w:rFonts w:cstheme="minorHAnsi"/>
                <w:color w:val="000000"/>
              </w:rPr>
              <w:t>Other directly attributable overheads</w:t>
            </w:r>
          </w:p>
        </w:tc>
        <w:tc>
          <w:tcPr>
            <w:tcW w:w="0" w:type="auto"/>
            <w:tcBorders>
              <w:top w:val="nil"/>
              <w:left w:val="nil"/>
              <w:bottom w:val="nil"/>
              <w:right w:val="nil"/>
            </w:tcBorders>
            <w:tcMar>
              <w:top w:w="120" w:type="dxa"/>
              <w:left w:w="120" w:type="dxa"/>
              <w:bottom w:w="120" w:type="dxa"/>
              <w:right w:w="120" w:type="dxa"/>
            </w:tcMar>
            <w:vAlign w:val="bottom"/>
            <w:hideMark/>
          </w:tcPr>
          <w:p w14:paraId="163B4507" w14:textId="77777777" w:rsidR="00222045" w:rsidRPr="00222045" w:rsidRDefault="00222045">
            <w:pPr>
              <w:jc w:val="center"/>
              <w:rPr>
                <w:rFonts w:cstheme="minorHAnsi"/>
                <w:color w:val="000000"/>
              </w:rPr>
            </w:pPr>
            <w:r w:rsidRPr="00222045">
              <w:rPr>
                <w:rFonts w:cstheme="minorHAnsi"/>
                <w:color w:val="000000"/>
              </w:rPr>
              <w:t>2.5</w:t>
            </w:r>
          </w:p>
        </w:tc>
      </w:tr>
      <w:tr w:rsidR="00222045" w:rsidRPr="00222045" w14:paraId="67ACEB76" w14:textId="77777777" w:rsidTr="00222045">
        <w:trPr>
          <w:trHeight w:val="164"/>
          <w:jc w:val="center"/>
        </w:trPr>
        <w:tc>
          <w:tcPr>
            <w:tcW w:w="0" w:type="auto"/>
            <w:tcBorders>
              <w:top w:val="nil"/>
              <w:left w:val="nil"/>
              <w:bottom w:val="nil"/>
              <w:right w:val="nil"/>
            </w:tcBorders>
            <w:tcMar>
              <w:top w:w="120" w:type="dxa"/>
              <w:left w:w="120" w:type="dxa"/>
              <w:bottom w:w="120" w:type="dxa"/>
              <w:right w:w="120" w:type="dxa"/>
            </w:tcMar>
            <w:vAlign w:val="bottom"/>
            <w:hideMark/>
          </w:tcPr>
          <w:p w14:paraId="2A4E86C4" w14:textId="77777777" w:rsidR="00222045" w:rsidRPr="00222045" w:rsidRDefault="00222045">
            <w:pPr>
              <w:rPr>
                <w:rFonts w:cstheme="minorHAnsi"/>
                <w:color w:val="000000"/>
              </w:rPr>
            </w:pPr>
            <w:r w:rsidRPr="00222045">
              <w:rPr>
                <w:rFonts w:cstheme="minorHAnsi"/>
                <w:color w:val="000000"/>
              </w:rPr>
              <w:t>Interest on borrowings</w:t>
            </w:r>
          </w:p>
        </w:tc>
        <w:tc>
          <w:tcPr>
            <w:tcW w:w="0" w:type="auto"/>
            <w:tcBorders>
              <w:top w:val="nil"/>
              <w:left w:val="nil"/>
              <w:bottom w:val="nil"/>
              <w:right w:val="nil"/>
            </w:tcBorders>
            <w:tcMar>
              <w:top w:w="120" w:type="dxa"/>
              <w:left w:w="120" w:type="dxa"/>
              <w:bottom w:w="120" w:type="dxa"/>
              <w:right w:w="120" w:type="dxa"/>
            </w:tcMar>
            <w:vAlign w:val="bottom"/>
            <w:hideMark/>
          </w:tcPr>
          <w:p w14:paraId="2194E1F3" w14:textId="77777777" w:rsidR="00222045" w:rsidRPr="00222045" w:rsidRDefault="00222045">
            <w:pPr>
              <w:jc w:val="center"/>
              <w:rPr>
                <w:rFonts w:cstheme="minorHAnsi"/>
                <w:color w:val="000000"/>
              </w:rPr>
            </w:pPr>
            <w:r w:rsidRPr="00222045">
              <w:rPr>
                <w:rFonts w:cstheme="minorHAnsi"/>
                <w:color w:val="000000"/>
              </w:rPr>
              <w:t>1.3</w:t>
            </w:r>
          </w:p>
        </w:tc>
      </w:tr>
    </w:tbl>
    <w:p w14:paraId="6FD1F2F1" w14:textId="77777777" w:rsidR="00222045" w:rsidRPr="00222045" w:rsidRDefault="00222045" w:rsidP="00222045">
      <w:pPr>
        <w:pStyle w:val="NormalWeb"/>
        <w:spacing w:before="0" w:beforeAutospacing="0" w:after="15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 xml:space="preserve">The </w:t>
      </w:r>
      <w:proofErr w:type="gramStart"/>
      <w:r w:rsidRPr="00222045">
        <w:rPr>
          <w:rFonts w:asciiTheme="minorHAnsi" w:hAnsiTheme="minorHAnsi" w:cstheme="minorHAnsi"/>
          <w:color w:val="000000"/>
          <w:sz w:val="22"/>
          <w:szCs w:val="22"/>
        </w:rPr>
        <w:t>amount</w:t>
      </w:r>
      <w:proofErr w:type="gramEnd"/>
      <w:r w:rsidRPr="00222045">
        <w:rPr>
          <w:rFonts w:asciiTheme="minorHAnsi" w:hAnsiTheme="minorHAnsi" w:cstheme="minorHAnsi"/>
          <w:color w:val="000000"/>
          <w:sz w:val="22"/>
          <w:szCs w:val="22"/>
        </w:rPr>
        <w:t xml:space="preserve"> of borrowings outstanding at 31 December 20X8 in respect of this project was $18 million and the annual interest rate was 9.5%.</w:t>
      </w:r>
    </w:p>
    <w:p w14:paraId="64620906" w14:textId="77777777" w:rsidR="00222045" w:rsidRPr="00222045" w:rsidRDefault="00222045" w:rsidP="00222045">
      <w:pPr>
        <w:pStyle w:val="NormalWeb"/>
        <w:spacing w:before="0" w:beforeAutospacing="0" w:after="15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During the three months to 31 March 20X9, in which the cinema was completed, the following additional costs were incurred:</w:t>
      </w:r>
    </w:p>
    <w:tbl>
      <w:tblPr>
        <w:tblW w:w="4940" w:type="dxa"/>
        <w:tblInd w:w="2359" w:type="dxa"/>
        <w:tblCellMar>
          <w:left w:w="0" w:type="dxa"/>
          <w:right w:w="0" w:type="dxa"/>
        </w:tblCellMar>
        <w:tblLook w:val="04A0" w:firstRow="1" w:lastRow="0" w:firstColumn="1" w:lastColumn="0" w:noHBand="0" w:noVBand="1"/>
      </w:tblPr>
      <w:tblGrid>
        <w:gridCol w:w="4314"/>
        <w:gridCol w:w="626"/>
      </w:tblGrid>
      <w:tr w:rsidR="00222045" w:rsidRPr="00222045" w14:paraId="1F585CB9" w14:textId="77777777" w:rsidTr="00222045">
        <w:trPr>
          <w:trHeight w:val="20"/>
        </w:trPr>
        <w:tc>
          <w:tcPr>
            <w:tcW w:w="0" w:type="auto"/>
            <w:tcBorders>
              <w:top w:val="nil"/>
              <w:left w:val="nil"/>
              <w:bottom w:val="nil"/>
              <w:right w:val="nil"/>
            </w:tcBorders>
            <w:tcMar>
              <w:top w:w="120" w:type="dxa"/>
              <w:left w:w="120" w:type="dxa"/>
              <w:bottom w:w="120" w:type="dxa"/>
              <w:right w:w="120" w:type="dxa"/>
            </w:tcMar>
            <w:vAlign w:val="bottom"/>
            <w:hideMark/>
          </w:tcPr>
          <w:p w14:paraId="66C99789" w14:textId="77777777" w:rsidR="00222045" w:rsidRPr="00222045" w:rsidRDefault="00222045">
            <w:pPr>
              <w:rPr>
                <w:rFonts w:cstheme="minorHAnsi"/>
                <w:color w:val="000000"/>
              </w:rPr>
            </w:pPr>
            <w:r w:rsidRPr="00222045">
              <w:rPr>
                <w:rFonts w:cstheme="minorHAnsi"/>
                <w:color w:val="000000"/>
              </w:rPr>
              <w:t>Materials, labour and subcontractors</w:t>
            </w:r>
          </w:p>
        </w:tc>
        <w:tc>
          <w:tcPr>
            <w:tcW w:w="0" w:type="auto"/>
            <w:tcBorders>
              <w:top w:val="nil"/>
              <w:left w:val="nil"/>
              <w:bottom w:val="nil"/>
              <w:right w:val="nil"/>
            </w:tcBorders>
            <w:tcMar>
              <w:top w:w="120" w:type="dxa"/>
              <w:left w:w="120" w:type="dxa"/>
              <w:bottom w:w="120" w:type="dxa"/>
              <w:right w:w="120" w:type="dxa"/>
            </w:tcMar>
            <w:vAlign w:val="bottom"/>
            <w:hideMark/>
          </w:tcPr>
          <w:p w14:paraId="5EC75017" w14:textId="77777777" w:rsidR="00222045" w:rsidRPr="00222045" w:rsidRDefault="00222045">
            <w:pPr>
              <w:jc w:val="center"/>
              <w:rPr>
                <w:rFonts w:cstheme="minorHAnsi"/>
                <w:color w:val="000000"/>
              </w:rPr>
            </w:pPr>
            <w:r w:rsidRPr="00222045">
              <w:rPr>
                <w:rFonts w:cstheme="minorHAnsi"/>
                <w:color w:val="000000"/>
              </w:rPr>
              <w:t>1.7</w:t>
            </w:r>
          </w:p>
        </w:tc>
      </w:tr>
      <w:tr w:rsidR="00222045" w:rsidRPr="00222045" w14:paraId="673A49FE" w14:textId="77777777" w:rsidTr="00222045">
        <w:trPr>
          <w:trHeight w:val="20"/>
        </w:trPr>
        <w:tc>
          <w:tcPr>
            <w:tcW w:w="0" w:type="auto"/>
            <w:tcBorders>
              <w:top w:val="nil"/>
              <w:left w:val="nil"/>
              <w:bottom w:val="nil"/>
              <w:right w:val="nil"/>
            </w:tcBorders>
            <w:tcMar>
              <w:top w:w="120" w:type="dxa"/>
              <w:left w:w="120" w:type="dxa"/>
              <w:bottom w:w="120" w:type="dxa"/>
              <w:right w:w="120" w:type="dxa"/>
            </w:tcMar>
            <w:vAlign w:val="bottom"/>
            <w:hideMark/>
          </w:tcPr>
          <w:p w14:paraId="1BE9DAEF" w14:textId="77777777" w:rsidR="00222045" w:rsidRPr="00222045" w:rsidRDefault="00222045">
            <w:pPr>
              <w:rPr>
                <w:rFonts w:cstheme="minorHAnsi"/>
                <w:color w:val="000000"/>
              </w:rPr>
            </w:pPr>
            <w:r w:rsidRPr="00222045">
              <w:rPr>
                <w:rFonts w:cstheme="minorHAnsi"/>
                <w:color w:val="000000"/>
              </w:rPr>
              <w:t>Other directly attributable overheads</w:t>
            </w:r>
          </w:p>
        </w:tc>
        <w:tc>
          <w:tcPr>
            <w:tcW w:w="0" w:type="auto"/>
            <w:tcBorders>
              <w:top w:val="nil"/>
              <w:left w:val="nil"/>
              <w:bottom w:val="nil"/>
              <w:right w:val="nil"/>
            </w:tcBorders>
            <w:tcMar>
              <w:top w:w="120" w:type="dxa"/>
              <w:left w:w="120" w:type="dxa"/>
              <w:bottom w:w="120" w:type="dxa"/>
              <w:right w:w="120" w:type="dxa"/>
            </w:tcMar>
            <w:vAlign w:val="bottom"/>
            <w:hideMark/>
          </w:tcPr>
          <w:p w14:paraId="7580BF5D" w14:textId="77777777" w:rsidR="00222045" w:rsidRPr="00222045" w:rsidRDefault="00222045">
            <w:pPr>
              <w:jc w:val="center"/>
              <w:rPr>
                <w:rFonts w:cstheme="minorHAnsi"/>
                <w:color w:val="000000"/>
              </w:rPr>
            </w:pPr>
            <w:r w:rsidRPr="00222045">
              <w:rPr>
                <w:rFonts w:cstheme="minorHAnsi"/>
                <w:color w:val="000000"/>
              </w:rPr>
              <w:t>0.3</w:t>
            </w:r>
          </w:p>
        </w:tc>
      </w:tr>
    </w:tbl>
    <w:p w14:paraId="4235952D" w14:textId="32790C0A" w:rsidR="00222045" w:rsidRPr="00222045" w:rsidRDefault="00222045" w:rsidP="00222045">
      <w:pPr>
        <w:pStyle w:val="NormalWeb"/>
        <w:spacing w:before="0" w:beforeAutospacing="0" w:after="15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Conseil adopts the IAS 40 fair value model; however, it was not able to measure the fair value of the property reliably during the construction period and so measured it at cost pending completion.</w:t>
      </w:r>
    </w:p>
    <w:p w14:paraId="1CA8BB83" w14:textId="77777777" w:rsidR="00222045" w:rsidRPr="00222045" w:rsidRDefault="00222045" w:rsidP="00222045">
      <w:pPr>
        <w:pStyle w:val="NormalWeb"/>
        <w:spacing w:before="0" w:beforeAutospacing="0" w:after="15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On 31 March 20X9, Conseil obtained a professional appraisal of the cinema's fair value; the valuer's report put this at $24 million. The valuation fee for this appraisal was $0.1 million; this has not been included in the above amounts for costs incurred during the three months.</w:t>
      </w:r>
    </w:p>
    <w:p w14:paraId="102E541A" w14:textId="77777777" w:rsidR="00222045" w:rsidRPr="00222045" w:rsidRDefault="00222045" w:rsidP="00222045">
      <w:pPr>
        <w:pStyle w:val="NormalWeb"/>
        <w:spacing w:before="0" w:beforeAutospacing="0" w:after="15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lastRenderedPageBreak/>
        <w:t>The cinema was taken by a national multiplex chain on an operating lease as at 1 April 20X9, and was immediately welcoming capacity crowds. In a complete valuation of Conseil's investment properties at 31 December 20X9, the fair value of the cinema was measured at $28 million.</w:t>
      </w:r>
    </w:p>
    <w:p w14:paraId="7EF40FD2" w14:textId="5D796BD1" w:rsidR="00222045" w:rsidRPr="00222045" w:rsidRDefault="00222045" w:rsidP="00222045">
      <w:pPr>
        <w:pStyle w:val="NormalWeb"/>
        <w:spacing w:before="0" w:beforeAutospacing="0" w:after="0" w:afterAutospacing="0"/>
        <w:textAlignment w:val="baseline"/>
        <w:rPr>
          <w:rFonts w:asciiTheme="minorHAnsi" w:hAnsiTheme="minorHAnsi" w:cstheme="minorHAnsi"/>
          <w:color w:val="000000"/>
          <w:sz w:val="22"/>
          <w:szCs w:val="22"/>
        </w:rPr>
      </w:pPr>
      <w:r w:rsidRPr="00222045">
        <w:rPr>
          <w:rStyle w:val="acca-red"/>
          <w:rFonts w:asciiTheme="minorHAnsi" w:eastAsiaTheme="majorEastAsia" w:hAnsiTheme="minorHAnsi" w:cstheme="minorHAnsi"/>
          <w:b/>
          <w:bCs/>
          <w:color w:val="000000"/>
          <w:sz w:val="22"/>
          <w:szCs w:val="22"/>
          <w:bdr w:val="none" w:sz="0" w:space="0" w:color="auto" w:frame="1"/>
        </w:rPr>
        <w:t>Required:</w:t>
      </w:r>
    </w:p>
    <w:p w14:paraId="740FE352" w14:textId="77777777" w:rsidR="00222045" w:rsidRPr="00222045" w:rsidRDefault="00222045" w:rsidP="00222045">
      <w:pPr>
        <w:pStyle w:val="NormalWeb"/>
        <w:spacing w:before="0" w:beforeAutospacing="0" w:after="0" w:afterAutospacing="0"/>
        <w:textAlignment w:val="baseline"/>
        <w:rPr>
          <w:rFonts w:asciiTheme="minorHAnsi" w:hAnsiTheme="minorHAnsi" w:cstheme="minorHAnsi"/>
          <w:color w:val="000000"/>
          <w:sz w:val="22"/>
          <w:szCs w:val="22"/>
        </w:rPr>
      </w:pPr>
      <w:r w:rsidRPr="00222045">
        <w:rPr>
          <w:rStyle w:val="Strong"/>
          <w:rFonts w:asciiTheme="minorHAnsi" w:hAnsiTheme="minorHAnsi" w:cstheme="minorHAnsi"/>
          <w:color w:val="000000"/>
          <w:sz w:val="22"/>
          <w:szCs w:val="22"/>
          <w:bdr w:val="none" w:sz="0" w:space="0" w:color="auto" w:frame="1"/>
        </w:rPr>
        <w:t>Discuss the measurement of the cinema complex in the year ended 31 December 20X9.</w:t>
      </w:r>
    </w:p>
    <w:p w14:paraId="6C3D2289"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An investment property is initially measured at cost. IAS 40 </w:t>
      </w:r>
      <w:r w:rsidRPr="00222045">
        <w:rPr>
          <w:rStyle w:val="Emphasis"/>
          <w:rFonts w:asciiTheme="minorHAnsi" w:hAnsiTheme="minorHAnsi" w:cstheme="minorHAnsi"/>
          <w:color w:val="000000"/>
          <w:sz w:val="22"/>
          <w:szCs w:val="22"/>
          <w:bdr w:val="none" w:sz="0" w:space="0" w:color="auto" w:frame="1"/>
        </w:rPr>
        <w:t>Investment Property</w:t>
      </w:r>
      <w:r w:rsidRPr="00222045">
        <w:rPr>
          <w:rFonts w:asciiTheme="minorHAnsi" w:hAnsiTheme="minorHAnsi" w:cstheme="minorHAnsi"/>
          <w:color w:val="000000"/>
          <w:sz w:val="22"/>
          <w:szCs w:val="22"/>
        </w:rPr>
        <w:t> specifies that this includes purchase price and directly attributable costs. An investment property is a qualifying asset within the scope of IAS 23 </w:t>
      </w:r>
      <w:r w:rsidRPr="00222045">
        <w:rPr>
          <w:rStyle w:val="Emphasis"/>
          <w:rFonts w:asciiTheme="minorHAnsi" w:hAnsiTheme="minorHAnsi" w:cstheme="minorHAnsi"/>
          <w:color w:val="000000"/>
          <w:sz w:val="22"/>
          <w:szCs w:val="22"/>
          <w:bdr w:val="none" w:sz="0" w:space="0" w:color="auto" w:frame="1"/>
        </w:rPr>
        <w:t>Borrowing Costs</w:t>
      </w:r>
      <w:r w:rsidRPr="00222045">
        <w:rPr>
          <w:rFonts w:asciiTheme="minorHAnsi" w:hAnsiTheme="minorHAnsi" w:cstheme="minorHAnsi"/>
          <w:color w:val="000000"/>
          <w:sz w:val="22"/>
          <w:szCs w:val="22"/>
        </w:rPr>
        <w:t> and therefore eligible borrowing costs should also be recognised as part of the cost of the asset.</w:t>
      </w:r>
    </w:p>
    <w:p w14:paraId="0062D29E"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 xml:space="preserve">The costs of the cinema recognised as an asset at 31 December 20X8, including borrowing costs, are $18.6 million (14.8 + 2.5 + 1.3). Conseil adopts the fair value model for investment </w:t>
      </w:r>
      <w:proofErr w:type="gramStart"/>
      <w:r w:rsidRPr="00222045">
        <w:rPr>
          <w:rFonts w:asciiTheme="minorHAnsi" w:hAnsiTheme="minorHAnsi" w:cstheme="minorHAnsi"/>
          <w:color w:val="000000"/>
          <w:sz w:val="22"/>
          <w:szCs w:val="22"/>
        </w:rPr>
        <w:t>property;,</w:t>
      </w:r>
      <w:proofErr w:type="gramEnd"/>
      <w:r w:rsidRPr="00222045">
        <w:rPr>
          <w:rFonts w:asciiTheme="minorHAnsi" w:hAnsiTheme="minorHAnsi" w:cstheme="minorHAnsi"/>
          <w:color w:val="000000"/>
          <w:sz w:val="22"/>
          <w:szCs w:val="22"/>
        </w:rPr>
        <w:t xml:space="preserve"> however, IAS 40 permits that if an entity that adopts this model has an investment property under construction and cannot reliably measure its fair value during construction, but expects to be able to when it is complete, it can apply the cost model initially. The property should be measured at fair value at the earlier of the date when it is complete or the date when fair value can be reliably measured. Whilst the cost model is applied, no depreciation is charged because the asset is not ready for its intended use.</w:t>
      </w:r>
    </w:p>
    <w:p w14:paraId="6A3699CA"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Construction continues into 20X9 and therefore further costs, until the cinema is complete, increase the initial measurement.</w:t>
      </w:r>
    </w:p>
    <w:p w14:paraId="4BB6C289"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Directly attributable costs during these three months are $2 million; borrowing costs on the specific loan to be capitalised are $0.43m (18m × 3/12 × 9.5%). Any borrowing costs incurred after the completion of the cinema are recognised as an interest expense in profit or loss.</w:t>
      </w:r>
    </w:p>
    <w:p w14:paraId="3D51D610"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The initial measurement of the investment property when complete is therefore:</w:t>
      </w:r>
    </w:p>
    <w:tbl>
      <w:tblPr>
        <w:tblW w:w="5329" w:type="dxa"/>
        <w:tblInd w:w="2164" w:type="dxa"/>
        <w:tblCellMar>
          <w:left w:w="0" w:type="dxa"/>
          <w:right w:w="0" w:type="dxa"/>
        </w:tblCellMar>
        <w:tblLook w:val="04A0" w:firstRow="1" w:lastRow="0" w:firstColumn="1" w:lastColumn="0" w:noHBand="0" w:noVBand="1"/>
      </w:tblPr>
      <w:tblGrid>
        <w:gridCol w:w="4376"/>
        <w:gridCol w:w="953"/>
      </w:tblGrid>
      <w:tr w:rsidR="00222045" w:rsidRPr="00222045" w14:paraId="5BD982D4" w14:textId="77777777" w:rsidTr="00222045">
        <w:trPr>
          <w:trHeight w:val="300"/>
        </w:trPr>
        <w:tc>
          <w:tcPr>
            <w:tcW w:w="0" w:type="auto"/>
            <w:tcBorders>
              <w:top w:val="nil"/>
              <w:left w:val="nil"/>
              <w:bottom w:val="nil"/>
              <w:right w:val="nil"/>
            </w:tcBorders>
            <w:tcMar>
              <w:top w:w="120" w:type="dxa"/>
              <w:left w:w="120" w:type="dxa"/>
              <w:bottom w:w="120" w:type="dxa"/>
              <w:right w:w="120" w:type="dxa"/>
            </w:tcMar>
            <w:vAlign w:val="bottom"/>
            <w:hideMark/>
          </w:tcPr>
          <w:p w14:paraId="16861BE7" w14:textId="77777777" w:rsidR="00222045" w:rsidRPr="00222045" w:rsidRDefault="00222045">
            <w:pPr>
              <w:rPr>
                <w:rFonts w:cstheme="minorHAnsi"/>
                <w:color w:val="000000"/>
              </w:rPr>
            </w:pPr>
            <w:r w:rsidRPr="00222045">
              <w:rPr>
                <w:rFonts w:cstheme="minorHAnsi"/>
                <w:color w:val="000000"/>
              </w:rPr>
              <w:t xml:space="preserve">Cost </w:t>
            </w:r>
            <w:proofErr w:type="spellStart"/>
            <w:r w:rsidRPr="00222045">
              <w:rPr>
                <w:rFonts w:cstheme="minorHAnsi"/>
                <w:color w:val="000000"/>
              </w:rPr>
              <w:t>b/f</w:t>
            </w:r>
            <w:proofErr w:type="spellEnd"/>
            <w:r w:rsidRPr="00222045">
              <w:rPr>
                <w:rFonts w:cstheme="minorHAnsi"/>
                <w:color w:val="000000"/>
              </w:rPr>
              <w:t xml:space="preserve"> at 1 January 20X9</w:t>
            </w:r>
          </w:p>
        </w:tc>
        <w:tc>
          <w:tcPr>
            <w:tcW w:w="0" w:type="auto"/>
            <w:tcBorders>
              <w:top w:val="nil"/>
              <w:left w:val="nil"/>
              <w:bottom w:val="nil"/>
              <w:right w:val="nil"/>
            </w:tcBorders>
            <w:tcMar>
              <w:top w:w="120" w:type="dxa"/>
              <w:left w:w="120" w:type="dxa"/>
              <w:bottom w:w="120" w:type="dxa"/>
              <w:right w:w="120" w:type="dxa"/>
            </w:tcMar>
            <w:vAlign w:val="bottom"/>
            <w:hideMark/>
          </w:tcPr>
          <w:p w14:paraId="31E93D18" w14:textId="77777777" w:rsidR="00222045" w:rsidRPr="00222045" w:rsidRDefault="00222045">
            <w:pPr>
              <w:jc w:val="right"/>
              <w:rPr>
                <w:rFonts w:cstheme="minorHAnsi"/>
                <w:color w:val="000000"/>
              </w:rPr>
            </w:pPr>
            <w:r w:rsidRPr="00222045">
              <w:rPr>
                <w:rFonts w:cstheme="minorHAnsi"/>
                <w:color w:val="000000"/>
              </w:rPr>
              <w:t>18.6</w:t>
            </w:r>
          </w:p>
        </w:tc>
      </w:tr>
      <w:tr w:rsidR="00222045" w:rsidRPr="00222045" w14:paraId="4D729A7B" w14:textId="77777777" w:rsidTr="00222045">
        <w:trPr>
          <w:trHeight w:val="300"/>
        </w:trPr>
        <w:tc>
          <w:tcPr>
            <w:tcW w:w="0" w:type="auto"/>
            <w:tcBorders>
              <w:top w:val="nil"/>
              <w:left w:val="nil"/>
              <w:bottom w:val="nil"/>
              <w:right w:val="nil"/>
            </w:tcBorders>
            <w:tcMar>
              <w:top w:w="120" w:type="dxa"/>
              <w:left w:w="120" w:type="dxa"/>
              <w:bottom w:w="120" w:type="dxa"/>
              <w:right w:w="120" w:type="dxa"/>
            </w:tcMar>
            <w:vAlign w:val="bottom"/>
            <w:hideMark/>
          </w:tcPr>
          <w:p w14:paraId="427CF94C" w14:textId="77777777" w:rsidR="00222045" w:rsidRPr="00222045" w:rsidRDefault="00222045">
            <w:pPr>
              <w:rPr>
                <w:rFonts w:cstheme="minorHAnsi"/>
                <w:color w:val="000000"/>
              </w:rPr>
            </w:pPr>
            <w:r w:rsidRPr="00222045">
              <w:rPr>
                <w:rFonts w:cstheme="minorHAnsi"/>
                <w:color w:val="000000"/>
              </w:rPr>
              <w:t>Costs to 31 March (1.7 + 0.3 + 0.43)</w:t>
            </w:r>
          </w:p>
        </w:tc>
        <w:tc>
          <w:tcPr>
            <w:tcW w:w="0" w:type="auto"/>
            <w:tcBorders>
              <w:top w:val="nil"/>
              <w:left w:val="nil"/>
              <w:bottom w:val="single" w:sz="6" w:space="0" w:color="000000"/>
              <w:right w:val="nil"/>
            </w:tcBorders>
            <w:tcMar>
              <w:top w:w="120" w:type="dxa"/>
              <w:left w:w="120" w:type="dxa"/>
              <w:bottom w:w="120" w:type="dxa"/>
              <w:right w:w="120" w:type="dxa"/>
            </w:tcMar>
            <w:vAlign w:val="bottom"/>
            <w:hideMark/>
          </w:tcPr>
          <w:p w14:paraId="4F74C33B" w14:textId="77777777" w:rsidR="00222045" w:rsidRPr="00222045" w:rsidRDefault="00222045">
            <w:pPr>
              <w:jc w:val="right"/>
              <w:rPr>
                <w:rFonts w:cstheme="minorHAnsi"/>
                <w:color w:val="000000"/>
              </w:rPr>
            </w:pPr>
            <w:r w:rsidRPr="00222045">
              <w:rPr>
                <w:rFonts w:cstheme="minorHAnsi"/>
                <w:color w:val="000000"/>
              </w:rPr>
              <w:t>2.43</w:t>
            </w:r>
          </w:p>
        </w:tc>
      </w:tr>
      <w:tr w:rsidR="00222045" w:rsidRPr="00222045" w14:paraId="0F02B63E" w14:textId="77777777" w:rsidTr="00222045">
        <w:trPr>
          <w:trHeight w:val="295"/>
        </w:trPr>
        <w:tc>
          <w:tcPr>
            <w:tcW w:w="0" w:type="auto"/>
            <w:tcBorders>
              <w:top w:val="nil"/>
              <w:left w:val="nil"/>
              <w:bottom w:val="nil"/>
              <w:right w:val="nil"/>
            </w:tcBorders>
            <w:tcMar>
              <w:top w:w="120" w:type="dxa"/>
              <w:left w:w="120" w:type="dxa"/>
              <w:bottom w:w="120" w:type="dxa"/>
              <w:right w:w="120" w:type="dxa"/>
            </w:tcMar>
            <w:vAlign w:val="bottom"/>
            <w:hideMark/>
          </w:tcPr>
          <w:p w14:paraId="409D37AD" w14:textId="77777777" w:rsidR="00222045" w:rsidRPr="00222045" w:rsidRDefault="00222045">
            <w:pPr>
              <w:rPr>
                <w:rFonts w:cstheme="minorHAnsi"/>
                <w:color w:val="000000"/>
              </w:rPr>
            </w:pPr>
            <w:r w:rsidRPr="00222045">
              <w:rPr>
                <w:rFonts w:cstheme="minorHAnsi"/>
                <w:color w:val="000000"/>
              </w:rPr>
              <w:t>Investment property at cost</w:t>
            </w:r>
          </w:p>
        </w:tc>
        <w:tc>
          <w:tcPr>
            <w:tcW w:w="0" w:type="auto"/>
            <w:tcBorders>
              <w:top w:val="nil"/>
              <w:left w:val="nil"/>
              <w:bottom w:val="single" w:sz="6" w:space="0" w:color="000000"/>
              <w:right w:val="nil"/>
            </w:tcBorders>
            <w:tcMar>
              <w:top w:w="120" w:type="dxa"/>
              <w:left w:w="120" w:type="dxa"/>
              <w:bottom w:w="120" w:type="dxa"/>
              <w:right w:w="120" w:type="dxa"/>
            </w:tcMar>
            <w:vAlign w:val="bottom"/>
            <w:hideMark/>
          </w:tcPr>
          <w:p w14:paraId="6A6DBD43" w14:textId="77777777" w:rsidR="00222045" w:rsidRPr="00222045" w:rsidRDefault="00222045">
            <w:pPr>
              <w:jc w:val="right"/>
              <w:rPr>
                <w:rFonts w:cstheme="minorHAnsi"/>
                <w:color w:val="000000"/>
              </w:rPr>
            </w:pPr>
            <w:r w:rsidRPr="00222045">
              <w:rPr>
                <w:rFonts w:cstheme="minorHAnsi"/>
                <w:color w:val="000000"/>
              </w:rPr>
              <w:t>21.03</w:t>
            </w:r>
          </w:p>
        </w:tc>
      </w:tr>
    </w:tbl>
    <w:p w14:paraId="76162882" w14:textId="072A85E9"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On completion the property must be measured at fair value, which is now reliably measured at $24 million. This is $2.97 million in excess of cost and the increase is recognised by:</w:t>
      </w:r>
    </w:p>
    <w:p w14:paraId="4B1D0813"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Style w:val="Strong"/>
          <w:rFonts w:asciiTheme="minorHAnsi" w:hAnsiTheme="minorHAnsi" w:cstheme="minorHAnsi"/>
          <w:color w:val="000000"/>
          <w:sz w:val="22"/>
          <w:szCs w:val="22"/>
          <w:bdr w:val="none" w:sz="0" w:space="0" w:color="auto" w:frame="1"/>
        </w:rPr>
        <w:t>On initial recognition at fair value at 31 March 20X9</w:t>
      </w:r>
    </w:p>
    <w:tbl>
      <w:tblPr>
        <w:tblW w:w="6871" w:type="dxa"/>
        <w:tblInd w:w="1451" w:type="dxa"/>
        <w:tblCellMar>
          <w:left w:w="0" w:type="dxa"/>
          <w:right w:w="0" w:type="dxa"/>
        </w:tblCellMar>
        <w:tblLook w:val="04A0" w:firstRow="1" w:lastRow="0" w:firstColumn="1" w:lastColumn="0" w:noHBand="0" w:noVBand="1"/>
      </w:tblPr>
      <w:tblGrid>
        <w:gridCol w:w="711"/>
        <w:gridCol w:w="3278"/>
        <w:gridCol w:w="1441"/>
        <w:gridCol w:w="1441"/>
      </w:tblGrid>
      <w:tr w:rsidR="00222045" w:rsidRPr="00222045" w14:paraId="036C378E" w14:textId="77777777" w:rsidTr="00222045">
        <w:trPr>
          <w:trHeight w:val="486"/>
        </w:trPr>
        <w:tc>
          <w:tcPr>
            <w:tcW w:w="0" w:type="auto"/>
            <w:tcBorders>
              <w:top w:val="nil"/>
              <w:left w:val="nil"/>
              <w:bottom w:val="nil"/>
              <w:right w:val="nil"/>
            </w:tcBorders>
            <w:tcMar>
              <w:top w:w="120" w:type="dxa"/>
              <w:left w:w="120" w:type="dxa"/>
              <w:bottom w:w="120" w:type="dxa"/>
              <w:right w:w="120" w:type="dxa"/>
            </w:tcMar>
            <w:vAlign w:val="bottom"/>
            <w:hideMark/>
          </w:tcPr>
          <w:p w14:paraId="1C048A79" w14:textId="77777777" w:rsidR="00222045" w:rsidRPr="00222045" w:rsidRDefault="00222045">
            <w:pPr>
              <w:rPr>
                <w:rFonts w:cstheme="minorHAnsi"/>
                <w:color w:val="000000"/>
              </w:rPr>
            </w:pPr>
            <w:r w:rsidRPr="00222045">
              <w:rPr>
                <w:rFonts w:cstheme="minorHAnsi"/>
                <w:color w:val="000000"/>
              </w:rPr>
              <w:t>Dr</w:t>
            </w:r>
          </w:p>
        </w:tc>
        <w:tc>
          <w:tcPr>
            <w:tcW w:w="0" w:type="auto"/>
            <w:tcBorders>
              <w:top w:val="nil"/>
              <w:left w:val="nil"/>
              <w:bottom w:val="nil"/>
              <w:right w:val="nil"/>
            </w:tcBorders>
            <w:tcMar>
              <w:top w:w="120" w:type="dxa"/>
              <w:left w:w="120" w:type="dxa"/>
              <w:bottom w:w="120" w:type="dxa"/>
              <w:right w:w="120" w:type="dxa"/>
            </w:tcMar>
            <w:vAlign w:val="bottom"/>
            <w:hideMark/>
          </w:tcPr>
          <w:p w14:paraId="754108D0" w14:textId="77777777" w:rsidR="00222045" w:rsidRPr="00222045" w:rsidRDefault="00222045">
            <w:pPr>
              <w:rPr>
                <w:rFonts w:cstheme="minorHAnsi"/>
                <w:color w:val="000000"/>
              </w:rPr>
            </w:pPr>
            <w:r w:rsidRPr="00222045">
              <w:rPr>
                <w:rFonts w:cstheme="minorHAnsi"/>
                <w:color w:val="000000"/>
              </w:rPr>
              <w:t>Investment property</w:t>
            </w:r>
          </w:p>
        </w:tc>
        <w:tc>
          <w:tcPr>
            <w:tcW w:w="0" w:type="auto"/>
            <w:tcBorders>
              <w:top w:val="nil"/>
              <w:left w:val="nil"/>
              <w:bottom w:val="nil"/>
              <w:right w:val="nil"/>
            </w:tcBorders>
            <w:tcMar>
              <w:top w:w="120" w:type="dxa"/>
              <w:left w:w="120" w:type="dxa"/>
              <w:bottom w:w="120" w:type="dxa"/>
              <w:right w:w="120" w:type="dxa"/>
            </w:tcMar>
            <w:vAlign w:val="bottom"/>
            <w:hideMark/>
          </w:tcPr>
          <w:p w14:paraId="5AFC10FE" w14:textId="77777777" w:rsidR="00222045" w:rsidRPr="00222045" w:rsidRDefault="00222045">
            <w:pPr>
              <w:jc w:val="center"/>
              <w:rPr>
                <w:rFonts w:cstheme="minorHAnsi"/>
                <w:color w:val="000000"/>
              </w:rPr>
            </w:pPr>
            <w:r w:rsidRPr="00222045">
              <w:rPr>
                <w:rFonts w:cstheme="minorHAnsi"/>
                <w:color w:val="000000"/>
              </w:rPr>
              <w:t>$2.97m</w:t>
            </w:r>
          </w:p>
        </w:tc>
        <w:tc>
          <w:tcPr>
            <w:tcW w:w="0" w:type="auto"/>
            <w:tcBorders>
              <w:top w:val="nil"/>
              <w:left w:val="nil"/>
              <w:bottom w:val="nil"/>
              <w:right w:val="nil"/>
            </w:tcBorders>
            <w:tcMar>
              <w:top w:w="120" w:type="dxa"/>
              <w:left w:w="120" w:type="dxa"/>
              <w:bottom w:w="120" w:type="dxa"/>
              <w:right w:w="120" w:type="dxa"/>
            </w:tcMar>
            <w:vAlign w:val="bottom"/>
            <w:hideMark/>
          </w:tcPr>
          <w:p w14:paraId="1324BCD0" w14:textId="77777777" w:rsidR="00222045" w:rsidRPr="00222045" w:rsidRDefault="00222045">
            <w:pPr>
              <w:jc w:val="center"/>
              <w:rPr>
                <w:rFonts w:cstheme="minorHAnsi"/>
                <w:color w:val="000000"/>
              </w:rPr>
            </w:pPr>
          </w:p>
        </w:tc>
      </w:tr>
      <w:tr w:rsidR="00222045" w:rsidRPr="00222045" w14:paraId="7D9CCAA3" w14:textId="77777777" w:rsidTr="00222045">
        <w:trPr>
          <w:trHeight w:val="486"/>
        </w:trPr>
        <w:tc>
          <w:tcPr>
            <w:tcW w:w="0" w:type="auto"/>
            <w:tcBorders>
              <w:top w:val="nil"/>
              <w:left w:val="nil"/>
              <w:bottom w:val="nil"/>
              <w:right w:val="nil"/>
            </w:tcBorders>
            <w:tcMar>
              <w:top w:w="120" w:type="dxa"/>
              <w:left w:w="120" w:type="dxa"/>
              <w:bottom w:w="120" w:type="dxa"/>
              <w:right w:w="120" w:type="dxa"/>
            </w:tcMar>
            <w:vAlign w:val="bottom"/>
            <w:hideMark/>
          </w:tcPr>
          <w:p w14:paraId="699BFAB4" w14:textId="77777777" w:rsidR="00222045" w:rsidRPr="00222045" w:rsidRDefault="00222045">
            <w:pPr>
              <w:jc w:val="center"/>
              <w:rPr>
                <w:rFonts w:cstheme="minorHAnsi"/>
              </w:rPr>
            </w:pPr>
          </w:p>
        </w:tc>
        <w:tc>
          <w:tcPr>
            <w:tcW w:w="0" w:type="auto"/>
            <w:tcBorders>
              <w:top w:val="nil"/>
              <w:left w:val="nil"/>
              <w:bottom w:val="nil"/>
              <w:right w:val="nil"/>
            </w:tcBorders>
            <w:tcMar>
              <w:top w:w="120" w:type="dxa"/>
              <w:left w:w="120" w:type="dxa"/>
              <w:bottom w:w="120" w:type="dxa"/>
              <w:right w:w="120" w:type="dxa"/>
            </w:tcMar>
            <w:vAlign w:val="bottom"/>
            <w:hideMark/>
          </w:tcPr>
          <w:p w14:paraId="1FEDCD78" w14:textId="77777777" w:rsidR="00222045" w:rsidRPr="00222045" w:rsidRDefault="00222045">
            <w:pPr>
              <w:rPr>
                <w:rFonts w:cstheme="minorHAnsi"/>
                <w:color w:val="000000"/>
              </w:rPr>
            </w:pPr>
            <w:r w:rsidRPr="00222045">
              <w:rPr>
                <w:rFonts w:cstheme="minorHAnsi"/>
                <w:color w:val="000000"/>
              </w:rPr>
              <w:t>Cr Profit or loss</w:t>
            </w:r>
          </w:p>
        </w:tc>
        <w:tc>
          <w:tcPr>
            <w:tcW w:w="0" w:type="auto"/>
            <w:tcBorders>
              <w:top w:val="nil"/>
              <w:left w:val="nil"/>
              <w:bottom w:val="nil"/>
              <w:right w:val="nil"/>
            </w:tcBorders>
            <w:tcMar>
              <w:top w:w="120" w:type="dxa"/>
              <w:left w:w="120" w:type="dxa"/>
              <w:bottom w:w="120" w:type="dxa"/>
              <w:right w:w="120" w:type="dxa"/>
            </w:tcMar>
            <w:vAlign w:val="bottom"/>
            <w:hideMark/>
          </w:tcPr>
          <w:p w14:paraId="00F034A9" w14:textId="77777777" w:rsidR="00222045" w:rsidRPr="00222045" w:rsidRDefault="00222045">
            <w:pPr>
              <w:rPr>
                <w:rFonts w:cstheme="minorHAnsi"/>
                <w:color w:val="000000"/>
              </w:rPr>
            </w:pPr>
          </w:p>
        </w:tc>
        <w:tc>
          <w:tcPr>
            <w:tcW w:w="0" w:type="auto"/>
            <w:tcBorders>
              <w:top w:val="nil"/>
              <w:left w:val="nil"/>
              <w:bottom w:val="nil"/>
              <w:right w:val="nil"/>
            </w:tcBorders>
            <w:tcMar>
              <w:top w:w="120" w:type="dxa"/>
              <w:left w:w="120" w:type="dxa"/>
              <w:bottom w:w="120" w:type="dxa"/>
              <w:right w:w="120" w:type="dxa"/>
            </w:tcMar>
            <w:vAlign w:val="bottom"/>
            <w:hideMark/>
          </w:tcPr>
          <w:p w14:paraId="1A20F67D" w14:textId="77777777" w:rsidR="00222045" w:rsidRPr="00222045" w:rsidRDefault="00222045">
            <w:pPr>
              <w:jc w:val="center"/>
              <w:rPr>
                <w:rFonts w:cstheme="minorHAnsi"/>
                <w:color w:val="000000"/>
              </w:rPr>
            </w:pPr>
            <w:r w:rsidRPr="00222045">
              <w:rPr>
                <w:rFonts w:cstheme="minorHAnsi"/>
                <w:color w:val="000000"/>
              </w:rPr>
              <w:t>$2.97m</w:t>
            </w:r>
          </w:p>
        </w:tc>
      </w:tr>
    </w:tbl>
    <w:p w14:paraId="0316C186"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Style w:val="Emphasis"/>
          <w:rFonts w:asciiTheme="minorHAnsi" w:hAnsiTheme="minorHAnsi" w:cstheme="minorHAnsi"/>
          <w:color w:val="000000"/>
          <w:sz w:val="22"/>
          <w:szCs w:val="22"/>
          <w:bdr w:val="none" w:sz="0" w:space="0" w:color="auto" w:frame="1"/>
        </w:rPr>
        <w:t>Being the increase from cost to fair value $24 million on completion of the property.</w:t>
      </w:r>
    </w:p>
    <w:p w14:paraId="1B0AD593"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The professional valuation fee does not increase the profit-earning potential of the cinema and therefore it does not meet the definition of an asset. The appraiser’s fee is therefore recognised in profit or loss as an expense.</w:t>
      </w:r>
    </w:p>
    <w:p w14:paraId="09B01C1C"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No depreciation is charged on the asset, as required by the IAS 40 fair value model.</w:t>
      </w:r>
    </w:p>
    <w:p w14:paraId="44330F06"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Fonts w:asciiTheme="minorHAnsi" w:hAnsiTheme="minorHAnsi" w:cstheme="minorHAnsi"/>
          <w:color w:val="000000"/>
          <w:sz w:val="22"/>
          <w:szCs w:val="22"/>
        </w:rPr>
        <w:t>At 31 December 20X9 the investment property is remeasured to fair value of $28 million. This is recognised by:</w:t>
      </w:r>
    </w:p>
    <w:tbl>
      <w:tblPr>
        <w:tblW w:w="5855" w:type="dxa"/>
        <w:tblInd w:w="1901" w:type="dxa"/>
        <w:tblCellMar>
          <w:left w:w="0" w:type="dxa"/>
          <w:right w:w="0" w:type="dxa"/>
        </w:tblCellMar>
        <w:tblLook w:val="04A0" w:firstRow="1" w:lastRow="0" w:firstColumn="1" w:lastColumn="0" w:noHBand="0" w:noVBand="1"/>
      </w:tblPr>
      <w:tblGrid>
        <w:gridCol w:w="570"/>
        <w:gridCol w:w="3679"/>
        <w:gridCol w:w="803"/>
        <w:gridCol w:w="803"/>
      </w:tblGrid>
      <w:tr w:rsidR="00222045" w:rsidRPr="00222045" w14:paraId="717B4BB0" w14:textId="77777777" w:rsidTr="00222045">
        <w:trPr>
          <w:trHeight w:val="525"/>
        </w:trPr>
        <w:tc>
          <w:tcPr>
            <w:tcW w:w="0" w:type="auto"/>
            <w:tcBorders>
              <w:top w:val="nil"/>
              <w:left w:val="nil"/>
              <w:bottom w:val="nil"/>
              <w:right w:val="nil"/>
            </w:tcBorders>
            <w:tcMar>
              <w:top w:w="120" w:type="dxa"/>
              <w:left w:w="120" w:type="dxa"/>
              <w:bottom w:w="120" w:type="dxa"/>
              <w:right w:w="120" w:type="dxa"/>
            </w:tcMar>
            <w:vAlign w:val="bottom"/>
            <w:hideMark/>
          </w:tcPr>
          <w:p w14:paraId="67704637" w14:textId="77777777" w:rsidR="00222045" w:rsidRPr="00222045" w:rsidRDefault="00222045">
            <w:pPr>
              <w:rPr>
                <w:rFonts w:cstheme="minorHAnsi"/>
                <w:color w:val="000000"/>
              </w:rPr>
            </w:pPr>
            <w:r w:rsidRPr="00222045">
              <w:rPr>
                <w:rFonts w:cstheme="minorHAnsi"/>
                <w:color w:val="000000"/>
              </w:rPr>
              <w:t>Dr</w:t>
            </w:r>
          </w:p>
        </w:tc>
        <w:tc>
          <w:tcPr>
            <w:tcW w:w="0" w:type="auto"/>
            <w:tcBorders>
              <w:top w:val="nil"/>
              <w:left w:val="nil"/>
              <w:bottom w:val="nil"/>
              <w:right w:val="nil"/>
            </w:tcBorders>
            <w:tcMar>
              <w:top w:w="120" w:type="dxa"/>
              <w:left w:w="120" w:type="dxa"/>
              <w:bottom w:w="120" w:type="dxa"/>
              <w:right w:w="120" w:type="dxa"/>
            </w:tcMar>
            <w:vAlign w:val="bottom"/>
            <w:hideMark/>
          </w:tcPr>
          <w:p w14:paraId="59429E8B" w14:textId="77777777" w:rsidR="00222045" w:rsidRPr="00222045" w:rsidRDefault="00222045">
            <w:pPr>
              <w:rPr>
                <w:rFonts w:cstheme="minorHAnsi"/>
                <w:color w:val="000000"/>
              </w:rPr>
            </w:pPr>
            <w:r w:rsidRPr="00222045">
              <w:rPr>
                <w:rFonts w:cstheme="minorHAnsi"/>
                <w:color w:val="000000"/>
              </w:rPr>
              <w:t>Investment property (28 – 24)</w:t>
            </w:r>
          </w:p>
        </w:tc>
        <w:tc>
          <w:tcPr>
            <w:tcW w:w="0" w:type="auto"/>
            <w:tcBorders>
              <w:top w:val="nil"/>
              <w:left w:val="nil"/>
              <w:bottom w:val="nil"/>
              <w:right w:val="nil"/>
            </w:tcBorders>
            <w:tcMar>
              <w:top w:w="120" w:type="dxa"/>
              <w:left w:w="120" w:type="dxa"/>
              <w:bottom w:w="120" w:type="dxa"/>
              <w:right w:w="120" w:type="dxa"/>
            </w:tcMar>
            <w:vAlign w:val="bottom"/>
            <w:hideMark/>
          </w:tcPr>
          <w:p w14:paraId="6BC93048" w14:textId="77777777" w:rsidR="00222045" w:rsidRPr="00222045" w:rsidRDefault="00222045">
            <w:pPr>
              <w:jc w:val="center"/>
              <w:rPr>
                <w:rFonts w:cstheme="minorHAnsi"/>
                <w:color w:val="000000"/>
              </w:rPr>
            </w:pPr>
            <w:r w:rsidRPr="00222045">
              <w:rPr>
                <w:rFonts w:cstheme="minorHAnsi"/>
                <w:color w:val="000000"/>
              </w:rPr>
              <w:t>$4m</w:t>
            </w:r>
          </w:p>
        </w:tc>
        <w:tc>
          <w:tcPr>
            <w:tcW w:w="0" w:type="auto"/>
            <w:tcBorders>
              <w:top w:val="nil"/>
              <w:left w:val="nil"/>
              <w:bottom w:val="nil"/>
              <w:right w:val="nil"/>
            </w:tcBorders>
            <w:tcMar>
              <w:top w:w="120" w:type="dxa"/>
              <w:left w:w="120" w:type="dxa"/>
              <w:bottom w:w="120" w:type="dxa"/>
              <w:right w:w="120" w:type="dxa"/>
            </w:tcMar>
            <w:vAlign w:val="bottom"/>
            <w:hideMark/>
          </w:tcPr>
          <w:p w14:paraId="204E28AE" w14:textId="77777777" w:rsidR="00222045" w:rsidRPr="00222045" w:rsidRDefault="00222045">
            <w:pPr>
              <w:jc w:val="center"/>
              <w:rPr>
                <w:rFonts w:cstheme="minorHAnsi"/>
                <w:color w:val="000000"/>
              </w:rPr>
            </w:pPr>
          </w:p>
        </w:tc>
      </w:tr>
      <w:tr w:rsidR="00222045" w:rsidRPr="00222045" w14:paraId="5C8B3A2A" w14:textId="77777777" w:rsidTr="00222045">
        <w:trPr>
          <w:trHeight w:val="525"/>
        </w:trPr>
        <w:tc>
          <w:tcPr>
            <w:tcW w:w="0" w:type="auto"/>
            <w:tcBorders>
              <w:top w:val="nil"/>
              <w:left w:val="nil"/>
              <w:bottom w:val="nil"/>
              <w:right w:val="nil"/>
            </w:tcBorders>
            <w:tcMar>
              <w:top w:w="120" w:type="dxa"/>
              <w:left w:w="120" w:type="dxa"/>
              <w:bottom w:w="120" w:type="dxa"/>
              <w:right w:w="120" w:type="dxa"/>
            </w:tcMar>
            <w:vAlign w:val="bottom"/>
            <w:hideMark/>
          </w:tcPr>
          <w:p w14:paraId="22138CC9" w14:textId="77777777" w:rsidR="00222045" w:rsidRPr="00222045" w:rsidRDefault="00222045">
            <w:pPr>
              <w:jc w:val="center"/>
              <w:rPr>
                <w:rFonts w:cstheme="minorHAnsi"/>
              </w:rPr>
            </w:pPr>
          </w:p>
        </w:tc>
        <w:tc>
          <w:tcPr>
            <w:tcW w:w="0" w:type="auto"/>
            <w:tcBorders>
              <w:top w:val="nil"/>
              <w:left w:val="nil"/>
              <w:bottom w:val="nil"/>
              <w:right w:val="nil"/>
            </w:tcBorders>
            <w:tcMar>
              <w:top w:w="120" w:type="dxa"/>
              <w:left w:w="120" w:type="dxa"/>
              <w:bottom w:w="120" w:type="dxa"/>
              <w:right w:w="120" w:type="dxa"/>
            </w:tcMar>
            <w:vAlign w:val="bottom"/>
            <w:hideMark/>
          </w:tcPr>
          <w:p w14:paraId="630CB995" w14:textId="77777777" w:rsidR="00222045" w:rsidRPr="00222045" w:rsidRDefault="00222045">
            <w:pPr>
              <w:rPr>
                <w:rFonts w:cstheme="minorHAnsi"/>
                <w:color w:val="000000"/>
              </w:rPr>
            </w:pPr>
            <w:r w:rsidRPr="00222045">
              <w:rPr>
                <w:rFonts w:cstheme="minorHAnsi"/>
                <w:color w:val="000000"/>
              </w:rPr>
              <w:t>Cr Profit or loss</w:t>
            </w:r>
          </w:p>
        </w:tc>
        <w:tc>
          <w:tcPr>
            <w:tcW w:w="0" w:type="auto"/>
            <w:tcBorders>
              <w:top w:val="nil"/>
              <w:left w:val="nil"/>
              <w:bottom w:val="nil"/>
              <w:right w:val="nil"/>
            </w:tcBorders>
            <w:tcMar>
              <w:top w:w="120" w:type="dxa"/>
              <w:left w:w="120" w:type="dxa"/>
              <w:bottom w:w="120" w:type="dxa"/>
              <w:right w:w="120" w:type="dxa"/>
            </w:tcMar>
            <w:vAlign w:val="bottom"/>
            <w:hideMark/>
          </w:tcPr>
          <w:p w14:paraId="7A387CAA" w14:textId="77777777" w:rsidR="00222045" w:rsidRPr="00222045" w:rsidRDefault="00222045">
            <w:pPr>
              <w:rPr>
                <w:rFonts w:cstheme="minorHAnsi"/>
                <w:color w:val="000000"/>
              </w:rPr>
            </w:pPr>
          </w:p>
        </w:tc>
        <w:tc>
          <w:tcPr>
            <w:tcW w:w="0" w:type="auto"/>
            <w:tcBorders>
              <w:top w:val="nil"/>
              <w:left w:val="nil"/>
              <w:bottom w:val="nil"/>
              <w:right w:val="nil"/>
            </w:tcBorders>
            <w:tcMar>
              <w:top w:w="120" w:type="dxa"/>
              <w:left w:w="120" w:type="dxa"/>
              <w:bottom w:w="120" w:type="dxa"/>
              <w:right w:w="120" w:type="dxa"/>
            </w:tcMar>
            <w:vAlign w:val="bottom"/>
            <w:hideMark/>
          </w:tcPr>
          <w:p w14:paraId="64138968" w14:textId="77777777" w:rsidR="00222045" w:rsidRPr="00222045" w:rsidRDefault="00222045">
            <w:pPr>
              <w:jc w:val="center"/>
              <w:rPr>
                <w:rFonts w:cstheme="minorHAnsi"/>
                <w:color w:val="000000"/>
              </w:rPr>
            </w:pPr>
            <w:r w:rsidRPr="00222045">
              <w:rPr>
                <w:rFonts w:cstheme="minorHAnsi"/>
                <w:color w:val="000000"/>
              </w:rPr>
              <w:t>$4m</w:t>
            </w:r>
          </w:p>
        </w:tc>
      </w:tr>
    </w:tbl>
    <w:p w14:paraId="64433FDD" w14:textId="77777777" w:rsidR="00222045" w:rsidRPr="00222045" w:rsidRDefault="00222045" w:rsidP="00222045">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222045">
        <w:rPr>
          <w:rStyle w:val="Emphasis"/>
          <w:rFonts w:asciiTheme="minorHAnsi" w:hAnsiTheme="minorHAnsi" w:cstheme="minorHAnsi"/>
          <w:color w:val="000000"/>
          <w:sz w:val="22"/>
          <w:szCs w:val="22"/>
          <w:bdr w:val="none" w:sz="0" w:space="0" w:color="auto" w:frame="1"/>
        </w:rPr>
        <w:t>Being the increase in fair value on subsequent measurement.</w:t>
      </w:r>
    </w:p>
    <w:p w14:paraId="3A50316F" w14:textId="77777777" w:rsidR="00222045" w:rsidRPr="00222045" w:rsidRDefault="00222045" w:rsidP="005A647D">
      <w:pPr>
        <w:rPr>
          <w:rFonts w:cstheme="minorHAnsi"/>
          <w:b/>
          <w:bCs/>
          <w:u w:val="single"/>
          <w:lang w:val="en-US"/>
        </w:rPr>
      </w:pPr>
    </w:p>
    <w:p w14:paraId="416A6CD7" w14:textId="2D049AE6" w:rsidR="005A647D" w:rsidRDefault="005A647D">
      <w:pPr>
        <w:rPr>
          <w:rFonts w:cstheme="minorHAnsi"/>
          <w:color w:val="000000"/>
          <w:shd w:val="clear" w:color="auto" w:fill="FFFFFF"/>
          <w:lang w:val="en-US"/>
        </w:rPr>
      </w:pPr>
    </w:p>
    <w:p w14:paraId="24B732D6" w14:textId="232607F2" w:rsidR="00222045" w:rsidRDefault="00222045">
      <w:pPr>
        <w:rPr>
          <w:rFonts w:cstheme="minorHAnsi"/>
          <w:color w:val="000000"/>
          <w:shd w:val="clear" w:color="auto" w:fill="FFFFFF"/>
          <w:lang w:val="en-US"/>
        </w:rPr>
      </w:pPr>
    </w:p>
    <w:p w14:paraId="050B9E58" w14:textId="29C637C3" w:rsidR="00222045" w:rsidRDefault="00222045">
      <w:pPr>
        <w:rPr>
          <w:rFonts w:cstheme="minorHAnsi"/>
          <w:color w:val="000000"/>
          <w:shd w:val="clear" w:color="auto" w:fill="FFFFFF"/>
          <w:lang w:val="en-US"/>
        </w:rPr>
      </w:pPr>
    </w:p>
    <w:tbl>
      <w:tblPr>
        <w:tblW w:w="97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9705"/>
      </w:tblGrid>
      <w:tr w:rsidR="003A77DF" w:rsidRPr="003A77DF" w14:paraId="5135BDE9" w14:textId="77777777" w:rsidTr="003A77DF">
        <w:trPr>
          <w:trHeight w:val="275"/>
          <w:tblHeader/>
        </w:trPr>
        <w:tc>
          <w:tcPr>
            <w:tcW w:w="0" w:type="auto"/>
            <w:shd w:val="clear" w:color="auto" w:fill="FFFFFF"/>
            <w:tcMar>
              <w:top w:w="120" w:type="dxa"/>
              <w:left w:w="120" w:type="dxa"/>
              <w:bottom w:w="120" w:type="dxa"/>
              <w:right w:w="120" w:type="dxa"/>
            </w:tcMar>
            <w:vAlign w:val="bottom"/>
            <w:hideMark/>
          </w:tcPr>
          <w:p w14:paraId="5C916753" w14:textId="77777777" w:rsidR="003A77DF" w:rsidRPr="003A77DF" w:rsidRDefault="003A77DF" w:rsidP="003A77DF">
            <w:pPr>
              <w:spacing w:after="0" w:line="240" w:lineRule="auto"/>
              <w:jc w:val="center"/>
              <w:rPr>
                <w:rFonts w:eastAsia="Times New Roman" w:cstheme="minorHAnsi"/>
                <w:b/>
                <w:bCs/>
                <w:color w:val="000000"/>
                <w:lang w:val="en-PK" w:eastAsia="en-PK"/>
              </w:rPr>
            </w:pPr>
            <w:r w:rsidRPr="003A77DF">
              <w:rPr>
                <w:rFonts w:eastAsia="Times New Roman" w:cstheme="minorHAnsi"/>
                <w:b/>
                <w:bCs/>
                <w:color w:val="000000"/>
                <w:bdr w:val="none" w:sz="0" w:space="0" w:color="auto" w:frame="1"/>
                <w:lang w:val="en-PK" w:eastAsia="en-PK"/>
              </w:rPr>
              <w:lastRenderedPageBreak/>
              <w:t>Example 5 Transfer of Investment Property</w:t>
            </w:r>
          </w:p>
        </w:tc>
      </w:tr>
      <w:tr w:rsidR="003A77DF" w:rsidRPr="003A77DF" w14:paraId="189886D0" w14:textId="77777777" w:rsidTr="003A77DF">
        <w:trPr>
          <w:trHeight w:val="12990"/>
        </w:trPr>
        <w:tc>
          <w:tcPr>
            <w:tcW w:w="0" w:type="auto"/>
            <w:shd w:val="clear" w:color="auto" w:fill="FFFFFF"/>
            <w:tcMar>
              <w:top w:w="120" w:type="dxa"/>
              <w:left w:w="120" w:type="dxa"/>
              <w:bottom w:w="120" w:type="dxa"/>
              <w:right w:w="120" w:type="dxa"/>
            </w:tcMar>
            <w:vAlign w:val="bottom"/>
            <w:hideMark/>
          </w:tcPr>
          <w:p w14:paraId="15C36206" w14:textId="77777777" w:rsidR="003A77DF" w:rsidRPr="003A77DF" w:rsidRDefault="003A77DF" w:rsidP="003A77DF">
            <w:pPr>
              <w:spacing w:after="15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Conrad has owned an office building for a number of years, operating its sales, marketing and finance departments from the property. The Board decided at a meeting on 1 June 20X1 to promote flexible homeworking and as a result does not need the office building. At this meeting the Board decided to rent the property out under operating leases. It already holds other properties that it rents out and it measured these at fair value. An office removal company emptied the last of Conrad’s office furniture from the property on 1 August 20X1 and Conrad instructed commercial property agents to market the property to prospective tenants on 31 August 20X1. On 1 June the property was held at depreciated cost of $450,000 and had a useful life of 15 years left. At this date it was determined to have a fair value of $820,000, which was unchanged throughout August. At 31 December 20X1 the property had a fair value of $890,000.</w:t>
            </w:r>
          </w:p>
          <w:p w14:paraId="6788C5F6" w14:textId="498CF74C" w:rsidR="003A77DF" w:rsidRPr="003A77DF" w:rsidRDefault="003A77DF" w:rsidP="003A77DF">
            <w:pPr>
              <w:spacing w:after="0" w:line="240" w:lineRule="auto"/>
              <w:textAlignment w:val="baseline"/>
              <w:rPr>
                <w:rFonts w:eastAsia="Times New Roman" w:cstheme="minorHAnsi"/>
                <w:color w:val="000000"/>
                <w:lang w:val="en-PK" w:eastAsia="en-PK"/>
              </w:rPr>
            </w:pPr>
            <w:r w:rsidRPr="003A77DF">
              <w:rPr>
                <w:rFonts w:eastAsia="Times New Roman" w:cstheme="minorHAnsi"/>
                <w:b/>
                <w:bCs/>
                <w:color w:val="000000"/>
                <w:bdr w:val="none" w:sz="0" w:space="0" w:color="auto" w:frame="1"/>
                <w:lang w:val="en-PK" w:eastAsia="en-PK"/>
              </w:rPr>
              <w:t>Required:</w:t>
            </w:r>
          </w:p>
          <w:p w14:paraId="051F5001" w14:textId="77777777" w:rsidR="003A77DF" w:rsidRPr="003A77DF" w:rsidRDefault="003A77DF" w:rsidP="003A77DF">
            <w:pPr>
              <w:spacing w:after="0" w:line="240" w:lineRule="auto"/>
              <w:textAlignment w:val="baseline"/>
              <w:rPr>
                <w:rFonts w:eastAsia="Times New Roman" w:cstheme="minorHAnsi"/>
                <w:color w:val="000000"/>
                <w:lang w:val="en-PK" w:eastAsia="en-PK"/>
              </w:rPr>
            </w:pPr>
            <w:r w:rsidRPr="003A77DF">
              <w:rPr>
                <w:rFonts w:eastAsia="Times New Roman" w:cstheme="minorHAnsi"/>
                <w:b/>
                <w:bCs/>
                <w:color w:val="000000"/>
                <w:bdr w:val="none" w:sz="0" w:space="0" w:color="auto" w:frame="1"/>
                <w:lang w:val="en-PK" w:eastAsia="en-PK"/>
              </w:rPr>
              <w:t>Discuss how Conrad should account for the property in the financial statements for the year ended 31 December 20X1.</w:t>
            </w:r>
          </w:p>
          <w:p w14:paraId="1D4CDD7A" w14:textId="77777777" w:rsidR="003A77DF" w:rsidRPr="003A77DF" w:rsidRDefault="003A77DF" w:rsidP="003A77DF">
            <w:pPr>
              <w:spacing w:after="0" w:line="240" w:lineRule="auto"/>
              <w:textAlignment w:val="baseline"/>
              <w:rPr>
                <w:rFonts w:eastAsia="Times New Roman" w:cstheme="minorHAnsi"/>
                <w:color w:val="000000"/>
                <w:lang w:val="en-PK" w:eastAsia="en-PK"/>
              </w:rPr>
            </w:pPr>
            <w:r w:rsidRPr="003A77DF">
              <w:rPr>
                <w:rFonts w:eastAsia="Times New Roman" w:cstheme="minorHAnsi"/>
                <w:b/>
                <w:bCs/>
                <w:color w:val="000000"/>
                <w:bdr w:val="none" w:sz="0" w:space="0" w:color="auto" w:frame="1"/>
                <w:lang w:val="en-PK" w:eastAsia="en-PK"/>
              </w:rPr>
              <w:t>How to approach the question:</w:t>
            </w:r>
          </w:p>
          <w:p w14:paraId="28D9641E" w14:textId="77777777" w:rsidR="003A77DF" w:rsidRPr="003A77DF" w:rsidRDefault="003A77DF" w:rsidP="003A77DF">
            <w:pPr>
              <w:numPr>
                <w:ilvl w:val="0"/>
                <w:numId w:val="20"/>
              </w:numPr>
              <w:spacing w:after="0" w:line="240" w:lineRule="auto"/>
              <w:ind w:left="1080"/>
              <w:textAlignment w:val="baseline"/>
              <w:rPr>
                <w:rFonts w:eastAsia="Times New Roman" w:cstheme="minorHAnsi"/>
                <w:color w:val="000000"/>
                <w:lang w:val="en-PK" w:eastAsia="en-PK"/>
              </w:rPr>
            </w:pPr>
            <w:r w:rsidRPr="003A77DF">
              <w:rPr>
                <w:rFonts w:eastAsia="Times New Roman" w:cstheme="minorHAnsi"/>
                <w:color w:val="000000"/>
                <w:bdr w:val="none" w:sz="0" w:space="0" w:color="auto" w:frame="1"/>
                <w:lang w:val="en-PK" w:eastAsia="en-PK"/>
              </w:rPr>
              <w:t>What accounting standards are relevant throughout the year?</w:t>
            </w:r>
          </w:p>
          <w:p w14:paraId="36E2A1B9"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Start of year to transfer to investment property: IAS 16</w:t>
            </w:r>
          </w:p>
          <w:p w14:paraId="2F631358"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Point of transfer: IAS 40</w:t>
            </w:r>
          </w:p>
          <w:p w14:paraId="06E9E858"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Transfer to year end: IAS 40</w:t>
            </w:r>
          </w:p>
          <w:p w14:paraId="5683357C"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Reporting date: IAS 40</w:t>
            </w:r>
          </w:p>
          <w:p w14:paraId="02A7B4C3" w14:textId="77777777" w:rsidR="003A77DF" w:rsidRPr="003A77DF" w:rsidRDefault="003A77DF" w:rsidP="003A77DF">
            <w:pPr>
              <w:numPr>
                <w:ilvl w:val="0"/>
                <w:numId w:val="21"/>
              </w:numPr>
              <w:spacing w:after="0" w:line="240" w:lineRule="auto"/>
              <w:ind w:left="1080"/>
              <w:textAlignment w:val="baseline"/>
              <w:rPr>
                <w:rFonts w:eastAsia="Times New Roman" w:cstheme="minorHAnsi"/>
                <w:color w:val="000000"/>
                <w:lang w:val="en-PK" w:eastAsia="en-PK"/>
              </w:rPr>
            </w:pPr>
            <w:r w:rsidRPr="003A77DF">
              <w:rPr>
                <w:rFonts w:eastAsia="Times New Roman" w:cstheme="minorHAnsi"/>
                <w:color w:val="000000"/>
                <w:bdr w:val="none" w:sz="0" w:space="0" w:color="auto" w:frame="1"/>
                <w:lang w:val="en-PK" w:eastAsia="en-PK"/>
              </w:rPr>
              <w:t>How are they applied at each stage?</w:t>
            </w:r>
          </w:p>
          <w:p w14:paraId="76CE40BA"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IAS 16 accounting requirements (depreciate to transfer)</w:t>
            </w:r>
          </w:p>
          <w:p w14:paraId="61961FFF"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IAS 40 transfer (when is transfer? How is transfer accounted for?)</w:t>
            </w:r>
          </w:p>
          <w:p w14:paraId="5756774A"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IAS 40 accounting to year end (no depreciation)</w:t>
            </w:r>
          </w:p>
          <w:p w14:paraId="2B2B432D" w14:textId="77777777" w:rsidR="003A77DF" w:rsidRPr="003A77DF" w:rsidRDefault="003A77DF" w:rsidP="003A77DF">
            <w:pPr>
              <w:numPr>
                <w:ilvl w:val="1"/>
                <w:numId w:val="21"/>
              </w:numPr>
              <w:spacing w:after="0" w:line="240" w:lineRule="auto"/>
              <w:ind w:left="2160"/>
              <w:textAlignment w:val="baseline"/>
              <w:rPr>
                <w:rFonts w:eastAsia="Times New Roman" w:cstheme="minorHAnsi"/>
                <w:color w:val="CA0000"/>
                <w:lang w:val="en-PK" w:eastAsia="en-PK"/>
              </w:rPr>
            </w:pPr>
            <w:r w:rsidRPr="003A77DF">
              <w:rPr>
                <w:rFonts w:eastAsia="Times New Roman" w:cstheme="minorHAnsi"/>
                <w:color w:val="000000"/>
                <w:bdr w:val="none" w:sz="0" w:space="0" w:color="auto" w:frame="1"/>
                <w:lang w:val="en-PK" w:eastAsia="en-PK"/>
              </w:rPr>
              <w:t>IAS 40 at year end (remeasurement to fair value – accounting)</w:t>
            </w:r>
          </w:p>
          <w:p w14:paraId="35BCE167" w14:textId="77777777" w:rsidR="003A77DF" w:rsidRPr="003A77DF" w:rsidRDefault="003A77DF" w:rsidP="003A77DF">
            <w:pPr>
              <w:numPr>
                <w:ilvl w:val="0"/>
                <w:numId w:val="21"/>
              </w:numPr>
              <w:spacing w:after="0" w:line="240" w:lineRule="auto"/>
              <w:ind w:left="1080"/>
              <w:textAlignment w:val="baseline"/>
              <w:rPr>
                <w:rFonts w:eastAsia="Times New Roman" w:cstheme="minorHAnsi"/>
                <w:color w:val="000000"/>
                <w:lang w:val="en-PK" w:eastAsia="en-PK"/>
              </w:rPr>
            </w:pPr>
            <w:r w:rsidRPr="003A77DF">
              <w:rPr>
                <w:rFonts w:eastAsia="Times New Roman" w:cstheme="minorHAnsi"/>
                <w:color w:val="000000"/>
                <w:bdr w:val="none" w:sz="0" w:space="0" w:color="auto" w:frame="1"/>
                <w:lang w:val="en-PK" w:eastAsia="en-PK"/>
              </w:rPr>
              <w:t>Write a solution, remembering to state the requirements of IFRS Accounting Standards and apply them to the scenario.</w:t>
            </w:r>
          </w:p>
          <w:p w14:paraId="2A1FEDE8" w14:textId="77777777" w:rsidR="003A77DF" w:rsidRPr="003A77DF" w:rsidRDefault="003A77DF" w:rsidP="003A77DF">
            <w:pPr>
              <w:spacing w:after="0" w:line="240" w:lineRule="auto"/>
              <w:textAlignment w:val="baseline"/>
              <w:rPr>
                <w:rFonts w:eastAsia="Times New Roman" w:cstheme="minorHAnsi"/>
                <w:color w:val="000000"/>
                <w:lang w:val="en-PK" w:eastAsia="en-PK"/>
              </w:rPr>
            </w:pPr>
            <w:r w:rsidRPr="003A77DF">
              <w:rPr>
                <w:rFonts w:eastAsia="Times New Roman" w:cstheme="minorHAnsi"/>
                <w:b/>
                <w:bCs/>
                <w:color w:val="000000"/>
                <w:bdr w:val="none" w:sz="0" w:space="0" w:color="auto" w:frame="1"/>
                <w:lang w:val="en-PK" w:eastAsia="en-PK"/>
              </w:rPr>
              <w:t>Solution:</w:t>
            </w:r>
          </w:p>
          <w:p w14:paraId="25F6ADAE" w14:textId="77777777" w:rsidR="003A77DF" w:rsidRPr="003A77DF" w:rsidRDefault="003A77DF" w:rsidP="003A77DF">
            <w:pPr>
              <w:spacing w:after="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The property is initially owner-occupied and should be accounted for in accordance with IAS 16 </w:t>
            </w:r>
            <w:r w:rsidRPr="003A77DF">
              <w:rPr>
                <w:rFonts w:eastAsia="Times New Roman" w:cstheme="minorHAnsi"/>
                <w:i/>
                <w:iCs/>
                <w:color w:val="000000"/>
                <w:bdr w:val="none" w:sz="0" w:space="0" w:color="auto" w:frame="1"/>
                <w:lang w:val="en-PK" w:eastAsia="en-PK"/>
              </w:rPr>
              <w:t>Property, Plant and Equipment</w:t>
            </w:r>
            <w:r w:rsidRPr="003A77DF">
              <w:rPr>
                <w:rFonts w:eastAsia="Times New Roman" w:cstheme="minorHAnsi"/>
                <w:color w:val="000000"/>
                <w:lang w:val="en-PK" w:eastAsia="en-PK"/>
              </w:rPr>
              <w:t>. The property is transferred to be investment property by the end of the financial year; however, in order to apply the transfer requirements of IAS 40 </w:t>
            </w:r>
            <w:r w:rsidRPr="003A77DF">
              <w:rPr>
                <w:rFonts w:eastAsia="Times New Roman" w:cstheme="minorHAnsi"/>
                <w:i/>
                <w:iCs/>
                <w:color w:val="000000"/>
                <w:bdr w:val="none" w:sz="0" w:space="0" w:color="auto" w:frame="1"/>
                <w:lang w:val="en-PK" w:eastAsia="en-PK"/>
              </w:rPr>
              <w:t>Investment Property</w:t>
            </w:r>
            <w:r w:rsidRPr="003A77DF">
              <w:rPr>
                <w:rFonts w:eastAsia="Times New Roman" w:cstheme="minorHAnsi"/>
                <w:color w:val="000000"/>
                <w:lang w:val="en-PK" w:eastAsia="en-PK"/>
              </w:rPr>
              <w:t> correctly, the transfer date must be determined.</w:t>
            </w:r>
          </w:p>
          <w:p w14:paraId="0371C23C" w14:textId="77777777" w:rsidR="003A77DF" w:rsidRPr="003A77DF" w:rsidRDefault="003A77DF" w:rsidP="003A77DF">
            <w:pPr>
              <w:spacing w:after="15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The Conrad Board decided to vacate the property and rent it out on 1 June 20X1. IAS 40 is clear that a transfer to the investment property classification only takes place when a property meets the definition of investment property and there is evidence of a change in use. Management’s intentions are not evidence of a change in use and, furthermore, the property remains occupied at 1 June and so does not meet the definition of investment property since it is used by Conrad for administrative purposes.</w:t>
            </w:r>
          </w:p>
          <w:p w14:paraId="3E3518FE" w14:textId="77777777" w:rsidR="003A77DF" w:rsidRPr="003A77DF" w:rsidRDefault="003A77DF" w:rsidP="003A77DF">
            <w:pPr>
              <w:spacing w:after="15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Evidence of the change in use is apparent on 1 August 20X1 when the property is vacated. At this date the definition of investment property is met because the property is not used by Conrad for its operations, but is held to earn rentals and for capital appreciation.</w:t>
            </w:r>
          </w:p>
          <w:p w14:paraId="160C8DA9" w14:textId="77777777" w:rsidR="003A77DF" w:rsidRPr="003A77DF" w:rsidRDefault="003A77DF" w:rsidP="003A77DF">
            <w:pPr>
              <w:spacing w:after="15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The date of transfer from owner-occupied to investment property is 1 August 20X1 and IAS 40 requirements on accounting for transfers should be applied at this date. Where property held under IAS 16 is transferred to be investment property under the fair value model, it is remeasured to fair value at the transfer date with any difference between the carrying amount and fair value treated as an IAS 16 revaluation.</w:t>
            </w:r>
          </w:p>
          <w:p w14:paraId="7AA34782" w14:textId="77777777" w:rsidR="003A77DF" w:rsidRPr="003A77DF" w:rsidRDefault="003A77DF" w:rsidP="003A77DF">
            <w:pPr>
              <w:spacing w:after="15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At the date of transfer, the property has a carrying amount of $445,000 (450 − (450/15 × 2/12m)). Its fair value at this date is $820,000 and therefore a revaluation of $375,000 (820 − 445) is recognised in OCI.</w:t>
            </w:r>
          </w:p>
          <w:p w14:paraId="64FB527E" w14:textId="77777777" w:rsidR="003A77DF" w:rsidRPr="003A77DF" w:rsidRDefault="003A77DF" w:rsidP="003A77DF">
            <w:pPr>
              <w:spacing w:after="150" w:line="240" w:lineRule="auto"/>
              <w:textAlignment w:val="baseline"/>
              <w:rPr>
                <w:rFonts w:eastAsia="Times New Roman" w:cstheme="minorHAnsi"/>
                <w:color w:val="000000"/>
                <w:lang w:val="en-PK" w:eastAsia="en-PK"/>
              </w:rPr>
            </w:pPr>
            <w:r w:rsidRPr="003A77DF">
              <w:rPr>
                <w:rFonts w:eastAsia="Times New Roman" w:cstheme="minorHAnsi"/>
                <w:color w:val="000000"/>
                <w:lang w:val="en-PK" w:eastAsia="en-PK"/>
              </w:rPr>
              <w:t>Since Conrad has adopted the IAS 40 fair value model, no depreciation is charged on the property from the transfer date to the reporting date; at the year end, the property is remeasured to its fair value of $890,000 and the $70,000 increase recognised in profit or loss.</w:t>
            </w:r>
          </w:p>
        </w:tc>
      </w:tr>
    </w:tbl>
    <w:p w14:paraId="4F6B3704" w14:textId="77777777" w:rsidR="005F351C" w:rsidRDefault="005F351C" w:rsidP="005F351C">
      <w:pPr>
        <w:pStyle w:val="Heading5"/>
        <w:spacing w:before="0"/>
        <w:textAlignment w:val="center"/>
        <w:rPr>
          <w:rFonts w:ascii="Arial" w:hAnsi="Arial" w:cs="Arial"/>
          <w:color w:val="CA0000"/>
          <w:sz w:val="27"/>
          <w:szCs w:val="27"/>
        </w:rPr>
      </w:pPr>
    </w:p>
    <w:p w14:paraId="7AF2981D" w14:textId="77777777" w:rsidR="005F351C" w:rsidRDefault="005F351C" w:rsidP="005F351C">
      <w:pPr>
        <w:spacing w:before="75" w:after="150"/>
      </w:pPr>
    </w:p>
    <w:p w14:paraId="0A7FFF24" w14:textId="77777777" w:rsidR="005F351C" w:rsidRPr="005F351C" w:rsidRDefault="005F351C" w:rsidP="005F351C">
      <w:pPr>
        <w:spacing w:before="75" w:after="150"/>
        <w:rPr>
          <w:rFonts w:cstheme="minorHAnsi"/>
        </w:rPr>
      </w:pPr>
    </w:p>
    <w:p w14:paraId="29EC338E" w14:textId="4D9A2914" w:rsidR="005F351C" w:rsidRPr="005F351C" w:rsidRDefault="005F351C" w:rsidP="005F351C">
      <w:pPr>
        <w:spacing w:before="75" w:after="150"/>
        <w:rPr>
          <w:rFonts w:cstheme="minorHAnsi"/>
        </w:rPr>
      </w:pPr>
      <w:r w:rsidRPr="005F351C">
        <w:rPr>
          <w:rFonts w:cstheme="minorHAnsi"/>
          <w:b/>
          <w:bCs/>
          <w:color w:val="CA0000"/>
          <w:shd w:val="clear" w:color="auto" w:fill="FFFFFF"/>
        </w:rPr>
        <w:t>Activity 3 Properties</w:t>
      </w:r>
    </w:p>
    <w:p w14:paraId="65829671" w14:textId="77777777" w:rsidR="005F351C" w:rsidRPr="005F351C" w:rsidRDefault="005F351C" w:rsidP="005F351C">
      <w:pPr>
        <w:pStyle w:val="NormalWeb"/>
        <w:spacing w:before="0" w:beforeAutospacing="0" w:after="15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Tweedie operates in the leisure sector and holds a number of properties on a long-term basis throughout the world. The management has identified an opportunity to acquire a controlling shareholding in another company that will allow it to access new markets and intends to issue new shares to raise the necessary funds.</w:t>
      </w:r>
    </w:p>
    <w:p w14:paraId="5DD24E4E" w14:textId="77777777" w:rsidR="005F351C" w:rsidRPr="005F351C" w:rsidRDefault="005F351C" w:rsidP="005F351C">
      <w:pPr>
        <w:pStyle w:val="NormalWeb"/>
        <w:spacing w:before="0" w:beforeAutospacing="0" w:after="15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In order to increase market confidence and ensure that the issue is successful, Tweedie’s finance department has been instructed to adopt accounting policies that maximise retained earnings and specifically to recognise all gains in its owned properties in profit or loss and all losses in other comprehensive income. The Finance Director has justified this by reference to a recent comprehensive IFRS refresher course that she attended at which the importance of achieving fair presentation was discussed. She feels that the overall trend in property prices is upwards and therefore the suggested approach will result in fair presentation.</w:t>
      </w:r>
    </w:p>
    <w:p w14:paraId="3B9B7D11" w14:textId="7829E996" w:rsidR="005F351C" w:rsidRPr="005F351C" w:rsidRDefault="005F351C" w:rsidP="005F351C">
      <w:pPr>
        <w:pStyle w:val="NormalWeb"/>
        <w:spacing w:before="0" w:beforeAutospacing="0" w:after="0" w:afterAutospacing="0"/>
        <w:textAlignment w:val="baseline"/>
        <w:rPr>
          <w:rFonts w:asciiTheme="minorHAnsi" w:hAnsiTheme="minorHAnsi" w:cstheme="minorHAnsi"/>
          <w:color w:val="000000"/>
          <w:sz w:val="22"/>
          <w:szCs w:val="22"/>
        </w:rPr>
      </w:pPr>
      <w:r w:rsidRPr="005F351C">
        <w:rPr>
          <w:rStyle w:val="acca-red"/>
          <w:rFonts w:asciiTheme="minorHAnsi" w:eastAsiaTheme="majorEastAsia" w:hAnsiTheme="minorHAnsi" w:cstheme="minorHAnsi"/>
          <w:b/>
          <w:bCs/>
          <w:color w:val="000000"/>
          <w:sz w:val="22"/>
          <w:szCs w:val="22"/>
          <w:bdr w:val="none" w:sz="0" w:space="0" w:color="auto" w:frame="1"/>
        </w:rPr>
        <w:t>Required:</w:t>
      </w:r>
    </w:p>
    <w:p w14:paraId="5719C220" w14:textId="7AF30EC2" w:rsidR="005F351C" w:rsidRDefault="005F351C" w:rsidP="005F351C">
      <w:pPr>
        <w:pStyle w:val="NormalWeb"/>
        <w:spacing w:before="0" w:beforeAutospacing="0" w:after="0" w:afterAutospacing="0"/>
        <w:textAlignment w:val="baseline"/>
        <w:rPr>
          <w:rStyle w:val="Strong"/>
          <w:rFonts w:asciiTheme="minorHAnsi" w:hAnsiTheme="minorHAnsi" w:cstheme="minorHAnsi"/>
          <w:color w:val="000000"/>
          <w:sz w:val="22"/>
          <w:szCs w:val="22"/>
          <w:bdr w:val="none" w:sz="0" w:space="0" w:color="auto" w:frame="1"/>
        </w:rPr>
      </w:pPr>
      <w:r w:rsidRPr="005F351C">
        <w:rPr>
          <w:rStyle w:val="Strong"/>
          <w:rFonts w:asciiTheme="minorHAnsi" w:hAnsiTheme="minorHAnsi" w:cstheme="minorHAnsi"/>
          <w:color w:val="000000"/>
          <w:sz w:val="22"/>
          <w:szCs w:val="22"/>
          <w:bdr w:val="none" w:sz="0" w:space="0" w:color="auto" w:frame="1"/>
        </w:rPr>
        <w:t>Discuss the suggested accounting treatment, referring to ethical considerations.</w:t>
      </w:r>
    </w:p>
    <w:p w14:paraId="598A1EA3" w14:textId="77777777" w:rsidR="005F351C" w:rsidRPr="005F351C" w:rsidRDefault="005F351C" w:rsidP="005F351C">
      <w:pPr>
        <w:pStyle w:val="NormalWeb"/>
        <w:spacing w:before="0" w:beforeAutospacing="0" w:after="0" w:afterAutospacing="0"/>
        <w:textAlignment w:val="baseline"/>
        <w:rPr>
          <w:rFonts w:asciiTheme="minorHAnsi" w:hAnsiTheme="minorHAnsi" w:cstheme="minorHAnsi"/>
          <w:color w:val="000000"/>
          <w:sz w:val="22"/>
          <w:szCs w:val="22"/>
        </w:rPr>
      </w:pPr>
    </w:p>
    <w:p w14:paraId="379AE5D2"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It is unclear what type of properties Tweedie holds, and whether they are owner-occupied or investment property.</w:t>
      </w:r>
    </w:p>
    <w:p w14:paraId="4C6F83CD"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If owner-occupied they are within the scope of 6. This standard permits the measurement of assets within a specific class at fair value using the revaluation model. In this case any increases in fair value are recognised in OCI (unless they reverse a previous impairment recognised in profit or loss) and any decreases are recognised in profit or loss (unless they reverse a revaluation surplus in respect of the specific asset, in which case they are recognised in OCI).</w:t>
      </w:r>
    </w:p>
    <w:p w14:paraId="6D20397E"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If investment property they are within the scope of IAS 40. This allows a choice between the cost model and fair value model for all investment properties. Where the fair value model is selected, properties are remeasured to fair value at each reporting date with changes recognised in profit or loss (whether increases or decreases).</w:t>
      </w:r>
    </w:p>
    <w:p w14:paraId="084A97CE"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The suggested accounting treatment does not therefore reflect the requirements of IFRS Accounting Standards correctly. It appears that the finance director is motivated by the wish to increase market confidence in the company ahead of the share issue by maximising retained earnings.</w:t>
      </w:r>
    </w:p>
    <w:p w14:paraId="30AE6538"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 xml:space="preserve">As a </w:t>
      </w:r>
      <w:proofErr w:type="gramStart"/>
      <w:r w:rsidRPr="005F351C">
        <w:rPr>
          <w:rFonts w:asciiTheme="minorHAnsi" w:hAnsiTheme="minorHAnsi" w:cstheme="minorHAnsi"/>
          <w:color w:val="000000"/>
          <w:sz w:val="22"/>
          <w:szCs w:val="22"/>
        </w:rPr>
        <w:t>result</w:t>
      </w:r>
      <w:proofErr w:type="gramEnd"/>
      <w:r w:rsidRPr="005F351C">
        <w:rPr>
          <w:rFonts w:asciiTheme="minorHAnsi" w:hAnsiTheme="minorHAnsi" w:cstheme="minorHAnsi"/>
          <w:color w:val="000000"/>
          <w:sz w:val="22"/>
          <w:szCs w:val="22"/>
        </w:rPr>
        <w:t xml:space="preserve"> she has behaved unethically.</w:t>
      </w:r>
    </w:p>
    <w:p w14:paraId="2D6DF5B4"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As a qualified accountant she must be aware of the meaning of fair presentation and understand that IFRS 18 clarifies that this is presumed to be achieved when the requirements of IFRS Accounting Standards are adhered to. Only in extremely rare cases should these requirements be departed from in order to achieve fair presentation. The finance director’s justification for the departure that the overall trend in property prices is upwards is not acceptable since, regardless of this trend, the suggested treatment does not faithfully represent underlying events, since it is not neutral.</w:t>
      </w:r>
    </w:p>
    <w:p w14:paraId="6E77C47E" w14:textId="77777777" w:rsidR="005F351C" w:rsidRPr="005F351C" w:rsidRDefault="005F351C" w:rsidP="005F351C">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F351C">
        <w:rPr>
          <w:rFonts w:asciiTheme="minorHAnsi" w:hAnsiTheme="minorHAnsi" w:cstheme="minorHAnsi"/>
          <w:color w:val="000000"/>
          <w:sz w:val="22"/>
          <w:szCs w:val="22"/>
        </w:rPr>
        <w:t>The finance director is bound by the Code of Ethics and should adhere to the fundamental principles within it. This type of manipulation of accounting information contravenes the principles of objectivity and integrity, as well as professional behaviour. It is unlikely that the suggested incorrect treatments are the result of the finance director’s professional competence since she has recently attended a comprehensive IFRS refresher course.</w:t>
      </w:r>
    </w:p>
    <w:p w14:paraId="2ECE6089" w14:textId="77777777" w:rsidR="005F351C" w:rsidRPr="005F351C" w:rsidRDefault="005F351C">
      <w:pPr>
        <w:rPr>
          <w:rFonts w:cstheme="minorHAnsi"/>
          <w:color w:val="000000"/>
          <w:shd w:val="clear" w:color="auto" w:fill="FFFFFF"/>
          <w:lang w:val="en-US"/>
        </w:rPr>
      </w:pPr>
    </w:p>
    <w:sectPr w:rsidR="005F351C" w:rsidRPr="005F351C" w:rsidSect="005A647D">
      <w:pgSz w:w="11906" w:h="16838"/>
      <w:pgMar w:top="851" w:right="1133" w:bottom="28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206FE" w14:textId="77777777" w:rsidR="0080514D" w:rsidRDefault="0080514D" w:rsidP="00C9101C">
      <w:pPr>
        <w:spacing w:after="0" w:line="240" w:lineRule="auto"/>
      </w:pPr>
      <w:r>
        <w:separator/>
      </w:r>
    </w:p>
  </w:endnote>
  <w:endnote w:type="continuationSeparator" w:id="0">
    <w:p w14:paraId="6C209156" w14:textId="77777777" w:rsidR="0080514D" w:rsidRDefault="0080514D" w:rsidP="00C91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B37223" w14:textId="77777777" w:rsidR="0080514D" w:rsidRDefault="0080514D" w:rsidP="00C9101C">
      <w:pPr>
        <w:spacing w:after="0" w:line="240" w:lineRule="auto"/>
      </w:pPr>
      <w:r>
        <w:separator/>
      </w:r>
    </w:p>
  </w:footnote>
  <w:footnote w:type="continuationSeparator" w:id="0">
    <w:p w14:paraId="42055FBB" w14:textId="77777777" w:rsidR="0080514D" w:rsidRDefault="0080514D" w:rsidP="00C91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7370A"/>
    <w:multiLevelType w:val="multilevel"/>
    <w:tmpl w:val="6914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9036D"/>
    <w:multiLevelType w:val="multilevel"/>
    <w:tmpl w:val="5890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F4D15"/>
    <w:multiLevelType w:val="multilevel"/>
    <w:tmpl w:val="DF3A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75732"/>
    <w:multiLevelType w:val="multilevel"/>
    <w:tmpl w:val="AC04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36499"/>
    <w:multiLevelType w:val="multilevel"/>
    <w:tmpl w:val="34982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F01E9"/>
    <w:multiLevelType w:val="multilevel"/>
    <w:tmpl w:val="F108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9911AA"/>
    <w:multiLevelType w:val="multilevel"/>
    <w:tmpl w:val="9A92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77E6A"/>
    <w:multiLevelType w:val="multilevel"/>
    <w:tmpl w:val="E068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08188F"/>
    <w:multiLevelType w:val="multilevel"/>
    <w:tmpl w:val="9E9A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463833"/>
    <w:multiLevelType w:val="multilevel"/>
    <w:tmpl w:val="9856A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CD23F3"/>
    <w:multiLevelType w:val="multilevel"/>
    <w:tmpl w:val="B1EAD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AE7014"/>
    <w:multiLevelType w:val="multilevel"/>
    <w:tmpl w:val="0702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1534F8"/>
    <w:multiLevelType w:val="multilevel"/>
    <w:tmpl w:val="ACF25C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65204E"/>
    <w:multiLevelType w:val="multilevel"/>
    <w:tmpl w:val="0E14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8667B5"/>
    <w:multiLevelType w:val="multilevel"/>
    <w:tmpl w:val="D53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BF0EF3"/>
    <w:multiLevelType w:val="multilevel"/>
    <w:tmpl w:val="4F4A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184DC7"/>
    <w:multiLevelType w:val="multilevel"/>
    <w:tmpl w:val="0F52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1600E0"/>
    <w:multiLevelType w:val="multilevel"/>
    <w:tmpl w:val="618A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381610"/>
    <w:multiLevelType w:val="multilevel"/>
    <w:tmpl w:val="1480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10"/>
  </w:num>
  <w:num w:numId="4">
    <w:abstractNumId w:val="5"/>
  </w:num>
  <w:num w:numId="5">
    <w:abstractNumId w:val="18"/>
  </w:num>
  <w:num w:numId="6">
    <w:abstractNumId w:val="2"/>
  </w:num>
  <w:num w:numId="7">
    <w:abstractNumId w:val="9"/>
  </w:num>
  <w:num w:numId="8">
    <w:abstractNumId w:val="9"/>
    <w:lvlOverride w:ilvl="0"/>
  </w:num>
  <w:num w:numId="9">
    <w:abstractNumId w:val="11"/>
  </w:num>
  <w:num w:numId="10">
    <w:abstractNumId w:val="17"/>
  </w:num>
  <w:num w:numId="11">
    <w:abstractNumId w:val="4"/>
  </w:num>
  <w:num w:numId="12">
    <w:abstractNumId w:val="13"/>
  </w:num>
  <w:num w:numId="13">
    <w:abstractNumId w:val="15"/>
  </w:num>
  <w:num w:numId="14">
    <w:abstractNumId w:val="14"/>
  </w:num>
  <w:num w:numId="15">
    <w:abstractNumId w:val="0"/>
  </w:num>
  <w:num w:numId="16">
    <w:abstractNumId w:val="8"/>
  </w:num>
  <w:num w:numId="17">
    <w:abstractNumId w:val="3"/>
  </w:num>
  <w:num w:numId="18">
    <w:abstractNumId w:val="16"/>
  </w:num>
  <w:num w:numId="19">
    <w:abstractNumId w:val="6"/>
  </w:num>
  <w:num w:numId="20">
    <w:abstractNumId w:val="12"/>
  </w:num>
  <w:num w:numId="21">
    <w:abstractNumId w:val="12"/>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B95"/>
    <w:rsid w:val="000551A2"/>
    <w:rsid w:val="000F0BC2"/>
    <w:rsid w:val="00171D65"/>
    <w:rsid w:val="00177CEC"/>
    <w:rsid w:val="001D1B64"/>
    <w:rsid w:val="00222045"/>
    <w:rsid w:val="00283747"/>
    <w:rsid w:val="003A77DF"/>
    <w:rsid w:val="00411F69"/>
    <w:rsid w:val="005A1EE9"/>
    <w:rsid w:val="005A647D"/>
    <w:rsid w:val="005F351C"/>
    <w:rsid w:val="00626991"/>
    <w:rsid w:val="0069013B"/>
    <w:rsid w:val="007148E7"/>
    <w:rsid w:val="007B392E"/>
    <w:rsid w:val="0080514D"/>
    <w:rsid w:val="00813E7C"/>
    <w:rsid w:val="008C1107"/>
    <w:rsid w:val="008C7B95"/>
    <w:rsid w:val="008E3759"/>
    <w:rsid w:val="008F74E9"/>
    <w:rsid w:val="00915500"/>
    <w:rsid w:val="009537EF"/>
    <w:rsid w:val="00953F04"/>
    <w:rsid w:val="009E2CF8"/>
    <w:rsid w:val="00A557CB"/>
    <w:rsid w:val="00B15DCC"/>
    <w:rsid w:val="00BC7506"/>
    <w:rsid w:val="00C7174C"/>
    <w:rsid w:val="00C9101C"/>
    <w:rsid w:val="00D45E50"/>
    <w:rsid w:val="00DE3CC4"/>
    <w:rsid w:val="00DE747F"/>
    <w:rsid w:val="00EF53AB"/>
    <w:rsid w:val="00F43AE2"/>
    <w:rsid w:val="00F61ED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A91F07"/>
  <w15:chartTrackingRefBased/>
  <w15:docId w15:val="{B2F5EB42-E714-4673-8FC3-F35EB2E88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C9101C"/>
    <w:pPr>
      <w:spacing w:before="100" w:beforeAutospacing="1" w:after="100" w:afterAutospacing="1" w:line="240" w:lineRule="auto"/>
      <w:outlineLvl w:val="3"/>
    </w:pPr>
    <w:rPr>
      <w:rFonts w:ascii="Times New Roman" w:eastAsia="Times New Roman" w:hAnsi="Times New Roman" w:cs="Times New Roman"/>
      <w:b/>
      <w:bCs/>
      <w:sz w:val="24"/>
      <w:szCs w:val="24"/>
      <w:lang w:eastAsia="en-PK"/>
    </w:rPr>
  </w:style>
  <w:style w:type="paragraph" w:styleId="Heading5">
    <w:name w:val="heading 5"/>
    <w:basedOn w:val="Normal"/>
    <w:next w:val="Normal"/>
    <w:link w:val="Heading5Char"/>
    <w:uiPriority w:val="9"/>
    <w:unhideWhenUsed/>
    <w:qFormat/>
    <w:rsid w:val="001D1B6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C7B95"/>
    <w:pPr>
      <w:ind w:left="720"/>
      <w:contextualSpacing/>
    </w:pPr>
  </w:style>
  <w:style w:type="character" w:customStyle="1" w:styleId="Heading4Char">
    <w:name w:val="Heading 4 Char"/>
    <w:basedOn w:val="DefaultParagraphFont"/>
    <w:link w:val="Heading4"/>
    <w:uiPriority w:val="9"/>
    <w:rsid w:val="00C9101C"/>
    <w:rPr>
      <w:rFonts w:ascii="Times New Roman" w:eastAsia="Times New Roman" w:hAnsi="Times New Roman" w:cs="Times New Roman"/>
      <w:b/>
      <w:bCs/>
      <w:sz w:val="24"/>
      <w:szCs w:val="24"/>
      <w:lang w:val="en-PK" w:eastAsia="en-PK"/>
    </w:rPr>
  </w:style>
  <w:style w:type="character" w:styleId="Emphasis">
    <w:name w:val="Emphasis"/>
    <w:basedOn w:val="DefaultParagraphFont"/>
    <w:uiPriority w:val="20"/>
    <w:qFormat/>
    <w:rsid w:val="00DE747F"/>
    <w:rPr>
      <w:i/>
      <w:iCs/>
    </w:rPr>
  </w:style>
  <w:style w:type="paragraph" w:styleId="NormalWeb">
    <w:name w:val="Normal (Web)"/>
    <w:basedOn w:val="Normal"/>
    <w:uiPriority w:val="99"/>
    <w:unhideWhenUsed/>
    <w:rsid w:val="00171D65"/>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customStyle="1" w:styleId="Heading5Char">
    <w:name w:val="Heading 5 Char"/>
    <w:basedOn w:val="DefaultParagraphFont"/>
    <w:link w:val="Heading5"/>
    <w:uiPriority w:val="9"/>
    <w:rsid w:val="001D1B64"/>
    <w:rPr>
      <w:rFonts w:asciiTheme="majorHAnsi" w:eastAsiaTheme="majorEastAsia" w:hAnsiTheme="majorHAnsi" w:cstheme="majorBidi"/>
      <w:color w:val="2F5496" w:themeColor="accent1" w:themeShade="BF"/>
    </w:rPr>
  </w:style>
  <w:style w:type="character" w:styleId="Strong">
    <w:name w:val="Strong"/>
    <w:basedOn w:val="DefaultParagraphFont"/>
    <w:uiPriority w:val="22"/>
    <w:qFormat/>
    <w:rsid w:val="001D1B64"/>
    <w:rPr>
      <w:b/>
      <w:bCs/>
    </w:rPr>
  </w:style>
  <w:style w:type="character" w:customStyle="1" w:styleId="acca-red">
    <w:name w:val="acca-red"/>
    <w:basedOn w:val="DefaultParagraphFont"/>
    <w:rsid w:val="001D1B64"/>
  </w:style>
  <w:style w:type="character" w:customStyle="1" w:styleId="rendered-mathl-container">
    <w:name w:val="rendered-mathl-container"/>
    <w:basedOn w:val="DefaultParagraphFont"/>
    <w:rsid w:val="008F7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1395">
      <w:bodyDiv w:val="1"/>
      <w:marLeft w:val="0"/>
      <w:marRight w:val="0"/>
      <w:marTop w:val="0"/>
      <w:marBottom w:val="0"/>
      <w:divBdr>
        <w:top w:val="none" w:sz="0" w:space="0" w:color="auto"/>
        <w:left w:val="none" w:sz="0" w:space="0" w:color="auto"/>
        <w:bottom w:val="none" w:sz="0" w:space="0" w:color="auto"/>
        <w:right w:val="none" w:sz="0" w:space="0" w:color="auto"/>
      </w:divBdr>
    </w:div>
    <w:div w:id="154415768">
      <w:bodyDiv w:val="1"/>
      <w:marLeft w:val="0"/>
      <w:marRight w:val="0"/>
      <w:marTop w:val="0"/>
      <w:marBottom w:val="0"/>
      <w:divBdr>
        <w:top w:val="none" w:sz="0" w:space="0" w:color="auto"/>
        <w:left w:val="none" w:sz="0" w:space="0" w:color="auto"/>
        <w:bottom w:val="none" w:sz="0" w:space="0" w:color="auto"/>
        <w:right w:val="none" w:sz="0" w:space="0" w:color="auto"/>
      </w:divBdr>
    </w:div>
    <w:div w:id="294794147">
      <w:bodyDiv w:val="1"/>
      <w:marLeft w:val="0"/>
      <w:marRight w:val="0"/>
      <w:marTop w:val="0"/>
      <w:marBottom w:val="0"/>
      <w:divBdr>
        <w:top w:val="none" w:sz="0" w:space="0" w:color="auto"/>
        <w:left w:val="none" w:sz="0" w:space="0" w:color="auto"/>
        <w:bottom w:val="none" w:sz="0" w:space="0" w:color="auto"/>
        <w:right w:val="none" w:sz="0" w:space="0" w:color="auto"/>
      </w:divBdr>
    </w:div>
    <w:div w:id="399132346">
      <w:bodyDiv w:val="1"/>
      <w:marLeft w:val="0"/>
      <w:marRight w:val="0"/>
      <w:marTop w:val="0"/>
      <w:marBottom w:val="0"/>
      <w:divBdr>
        <w:top w:val="none" w:sz="0" w:space="0" w:color="auto"/>
        <w:left w:val="none" w:sz="0" w:space="0" w:color="auto"/>
        <w:bottom w:val="none" w:sz="0" w:space="0" w:color="auto"/>
        <w:right w:val="none" w:sz="0" w:space="0" w:color="auto"/>
      </w:divBdr>
    </w:div>
    <w:div w:id="464858816">
      <w:bodyDiv w:val="1"/>
      <w:marLeft w:val="0"/>
      <w:marRight w:val="0"/>
      <w:marTop w:val="0"/>
      <w:marBottom w:val="0"/>
      <w:divBdr>
        <w:top w:val="none" w:sz="0" w:space="0" w:color="auto"/>
        <w:left w:val="none" w:sz="0" w:space="0" w:color="auto"/>
        <w:bottom w:val="none" w:sz="0" w:space="0" w:color="auto"/>
        <w:right w:val="none" w:sz="0" w:space="0" w:color="auto"/>
      </w:divBdr>
      <w:divsChild>
        <w:div w:id="1863087156">
          <w:marLeft w:val="0"/>
          <w:marRight w:val="0"/>
          <w:marTop w:val="120"/>
          <w:marBottom w:val="0"/>
          <w:divBdr>
            <w:top w:val="none" w:sz="0" w:space="0" w:color="auto"/>
            <w:left w:val="none" w:sz="0" w:space="0" w:color="auto"/>
            <w:bottom w:val="none" w:sz="0" w:space="0" w:color="auto"/>
            <w:right w:val="none" w:sz="0" w:space="0" w:color="auto"/>
          </w:divBdr>
        </w:div>
      </w:divsChild>
    </w:div>
    <w:div w:id="470709131">
      <w:bodyDiv w:val="1"/>
      <w:marLeft w:val="0"/>
      <w:marRight w:val="0"/>
      <w:marTop w:val="0"/>
      <w:marBottom w:val="0"/>
      <w:divBdr>
        <w:top w:val="none" w:sz="0" w:space="0" w:color="auto"/>
        <w:left w:val="none" w:sz="0" w:space="0" w:color="auto"/>
        <w:bottom w:val="none" w:sz="0" w:space="0" w:color="auto"/>
        <w:right w:val="none" w:sz="0" w:space="0" w:color="auto"/>
      </w:divBdr>
      <w:divsChild>
        <w:div w:id="1616861151">
          <w:marLeft w:val="0"/>
          <w:marRight w:val="0"/>
          <w:marTop w:val="120"/>
          <w:marBottom w:val="0"/>
          <w:divBdr>
            <w:top w:val="none" w:sz="0" w:space="0" w:color="auto"/>
            <w:left w:val="none" w:sz="0" w:space="0" w:color="auto"/>
            <w:bottom w:val="none" w:sz="0" w:space="0" w:color="auto"/>
            <w:right w:val="none" w:sz="0" w:space="0" w:color="auto"/>
          </w:divBdr>
        </w:div>
      </w:divsChild>
    </w:div>
    <w:div w:id="577638066">
      <w:bodyDiv w:val="1"/>
      <w:marLeft w:val="0"/>
      <w:marRight w:val="0"/>
      <w:marTop w:val="0"/>
      <w:marBottom w:val="0"/>
      <w:divBdr>
        <w:top w:val="none" w:sz="0" w:space="0" w:color="auto"/>
        <w:left w:val="none" w:sz="0" w:space="0" w:color="auto"/>
        <w:bottom w:val="none" w:sz="0" w:space="0" w:color="auto"/>
        <w:right w:val="none" w:sz="0" w:space="0" w:color="auto"/>
      </w:divBdr>
    </w:div>
    <w:div w:id="695354268">
      <w:bodyDiv w:val="1"/>
      <w:marLeft w:val="0"/>
      <w:marRight w:val="0"/>
      <w:marTop w:val="0"/>
      <w:marBottom w:val="0"/>
      <w:divBdr>
        <w:top w:val="none" w:sz="0" w:space="0" w:color="auto"/>
        <w:left w:val="none" w:sz="0" w:space="0" w:color="auto"/>
        <w:bottom w:val="none" w:sz="0" w:space="0" w:color="auto"/>
        <w:right w:val="none" w:sz="0" w:space="0" w:color="auto"/>
      </w:divBdr>
      <w:divsChild>
        <w:div w:id="378630206">
          <w:marLeft w:val="0"/>
          <w:marRight w:val="0"/>
          <w:marTop w:val="120"/>
          <w:marBottom w:val="0"/>
          <w:divBdr>
            <w:top w:val="none" w:sz="0" w:space="0" w:color="auto"/>
            <w:left w:val="none" w:sz="0" w:space="0" w:color="auto"/>
            <w:bottom w:val="none" w:sz="0" w:space="0" w:color="auto"/>
            <w:right w:val="none" w:sz="0" w:space="0" w:color="auto"/>
          </w:divBdr>
        </w:div>
      </w:divsChild>
    </w:div>
    <w:div w:id="748691209">
      <w:bodyDiv w:val="1"/>
      <w:marLeft w:val="0"/>
      <w:marRight w:val="0"/>
      <w:marTop w:val="0"/>
      <w:marBottom w:val="0"/>
      <w:divBdr>
        <w:top w:val="none" w:sz="0" w:space="0" w:color="auto"/>
        <w:left w:val="none" w:sz="0" w:space="0" w:color="auto"/>
        <w:bottom w:val="none" w:sz="0" w:space="0" w:color="auto"/>
        <w:right w:val="none" w:sz="0" w:space="0" w:color="auto"/>
      </w:divBdr>
    </w:div>
    <w:div w:id="754277685">
      <w:bodyDiv w:val="1"/>
      <w:marLeft w:val="0"/>
      <w:marRight w:val="0"/>
      <w:marTop w:val="0"/>
      <w:marBottom w:val="0"/>
      <w:divBdr>
        <w:top w:val="none" w:sz="0" w:space="0" w:color="auto"/>
        <w:left w:val="none" w:sz="0" w:space="0" w:color="auto"/>
        <w:bottom w:val="none" w:sz="0" w:space="0" w:color="auto"/>
        <w:right w:val="none" w:sz="0" w:space="0" w:color="auto"/>
      </w:divBdr>
      <w:divsChild>
        <w:div w:id="1978871582">
          <w:marLeft w:val="0"/>
          <w:marRight w:val="0"/>
          <w:marTop w:val="120"/>
          <w:marBottom w:val="0"/>
          <w:divBdr>
            <w:top w:val="none" w:sz="0" w:space="0" w:color="auto"/>
            <w:left w:val="none" w:sz="0" w:space="0" w:color="auto"/>
            <w:bottom w:val="none" w:sz="0" w:space="0" w:color="auto"/>
            <w:right w:val="none" w:sz="0" w:space="0" w:color="auto"/>
          </w:divBdr>
        </w:div>
      </w:divsChild>
    </w:div>
    <w:div w:id="831797722">
      <w:bodyDiv w:val="1"/>
      <w:marLeft w:val="0"/>
      <w:marRight w:val="0"/>
      <w:marTop w:val="0"/>
      <w:marBottom w:val="0"/>
      <w:divBdr>
        <w:top w:val="none" w:sz="0" w:space="0" w:color="auto"/>
        <w:left w:val="none" w:sz="0" w:space="0" w:color="auto"/>
        <w:bottom w:val="none" w:sz="0" w:space="0" w:color="auto"/>
        <w:right w:val="none" w:sz="0" w:space="0" w:color="auto"/>
      </w:divBdr>
    </w:div>
    <w:div w:id="884173333">
      <w:bodyDiv w:val="1"/>
      <w:marLeft w:val="0"/>
      <w:marRight w:val="0"/>
      <w:marTop w:val="0"/>
      <w:marBottom w:val="0"/>
      <w:divBdr>
        <w:top w:val="none" w:sz="0" w:space="0" w:color="auto"/>
        <w:left w:val="none" w:sz="0" w:space="0" w:color="auto"/>
        <w:bottom w:val="none" w:sz="0" w:space="0" w:color="auto"/>
        <w:right w:val="none" w:sz="0" w:space="0" w:color="auto"/>
      </w:divBdr>
    </w:div>
    <w:div w:id="946161494">
      <w:bodyDiv w:val="1"/>
      <w:marLeft w:val="0"/>
      <w:marRight w:val="0"/>
      <w:marTop w:val="0"/>
      <w:marBottom w:val="0"/>
      <w:divBdr>
        <w:top w:val="none" w:sz="0" w:space="0" w:color="auto"/>
        <w:left w:val="none" w:sz="0" w:space="0" w:color="auto"/>
        <w:bottom w:val="none" w:sz="0" w:space="0" w:color="auto"/>
        <w:right w:val="none" w:sz="0" w:space="0" w:color="auto"/>
      </w:divBdr>
    </w:div>
    <w:div w:id="967979022">
      <w:bodyDiv w:val="1"/>
      <w:marLeft w:val="0"/>
      <w:marRight w:val="0"/>
      <w:marTop w:val="0"/>
      <w:marBottom w:val="0"/>
      <w:divBdr>
        <w:top w:val="none" w:sz="0" w:space="0" w:color="auto"/>
        <w:left w:val="none" w:sz="0" w:space="0" w:color="auto"/>
        <w:bottom w:val="none" w:sz="0" w:space="0" w:color="auto"/>
        <w:right w:val="none" w:sz="0" w:space="0" w:color="auto"/>
      </w:divBdr>
    </w:div>
    <w:div w:id="1023016961">
      <w:bodyDiv w:val="1"/>
      <w:marLeft w:val="0"/>
      <w:marRight w:val="0"/>
      <w:marTop w:val="0"/>
      <w:marBottom w:val="0"/>
      <w:divBdr>
        <w:top w:val="none" w:sz="0" w:space="0" w:color="auto"/>
        <w:left w:val="none" w:sz="0" w:space="0" w:color="auto"/>
        <w:bottom w:val="none" w:sz="0" w:space="0" w:color="auto"/>
        <w:right w:val="none" w:sz="0" w:space="0" w:color="auto"/>
      </w:divBdr>
      <w:divsChild>
        <w:div w:id="1771971281">
          <w:marLeft w:val="0"/>
          <w:marRight w:val="0"/>
          <w:marTop w:val="120"/>
          <w:marBottom w:val="0"/>
          <w:divBdr>
            <w:top w:val="none" w:sz="0" w:space="0" w:color="auto"/>
            <w:left w:val="none" w:sz="0" w:space="0" w:color="auto"/>
            <w:bottom w:val="none" w:sz="0" w:space="0" w:color="auto"/>
            <w:right w:val="none" w:sz="0" w:space="0" w:color="auto"/>
          </w:divBdr>
        </w:div>
      </w:divsChild>
    </w:div>
    <w:div w:id="1055281298">
      <w:bodyDiv w:val="1"/>
      <w:marLeft w:val="0"/>
      <w:marRight w:val="0"/>
      <w:marTop w:val="0"/>
      <w:marBottom w:val="0"/>
      <w:divBdr>
        <w:top w:val="none" w:sz="0" w:space="0" w:color="auto"/>
        <w:left w:val="none" w:sz="0" w:space="0" w:color="auto"/>
        <w:bottom w:val="none" w:sz="0" w:space="0" w:color="auto"/>
        <w:right w:val="none" w:sz="0" w:space="0" w:color="auto"/>
      </w:divBdr>
    </w:div>
    <w:div w:id="1239513836">
      <w:bodyDiv w:val="1"/>
      <w:marLeft w:val="0"/>
      <w:marRight w:val="0"/>
      <w:marTop w:val="0"/>
      <w:marBottom w:val="0"/>
      <w:divBdr>
        <w:top w:val="none" w:sz="0" w:space="0" w:color="auto"/>
        <w:left w:val="none" w:sz="0" w:space="0" w:color="auto"/>
        <w:bottom w:val="none" w:sz="0" w:space="0" w:color="auto"/>
        <w:right w:val="none" w:sz="0" w:space="0" w:color="auto"/>
      </w:divBdr>
    </w:div>
    <w:div w:id="1590314114">
      <w:bodyDiv w:val="1"/>
      <w:marLeft w:val="0"/>
      <w:marRight w:val="0"/>
      <w:marTop w:val="0"/>
      <w:marBottom w:val="0"/>
      <w:divBdr>
        <w:top w:val="none" w:sz="0" w:space="0" w:color="auto"/>
        <w:left w:val="none" w:sz="0" w:space="0" w:color="auto"/>
        <w:bottom w:val="none" w:sz="0" w:space="0" w:color="auto"/>
        <w:right w:val="none" w:sz="0" w:space="0" w:color="auto"/>
      </w:divBdr>
    </w:div>
    <w:div w:id="1718702594">
      <w:bodyDiv w:val="1"/>
      <w:marLeft w:val="0"/>
      <w:marRight w:val="0"/>
      <w:marTop w:val="0"/>
      <w:marBottom w:val="0"/>
      <w:divBdr>
        <w:top w:val="none" w:sz="0" w:space="0" w:color="auto"/>
        <w:left w:val="none" w:sz="0" w:space="0" w:color="auto"/>
        <w:bottom w:val="none" w:sz="0" w:space="0" w:color="auto"/>
        <w:right w:val="none" w:sz="0" w:space="0" w:color="auto"/>
      </w:divBdr>
    </w:div>
    <w:div w:id="1767337880">
      <w:bodyDiv w:val="1"/>
      <w:marLeft w:val="0"/>
      <w:marRight w:val="0"/>
      <w:marTop w:val="0"/>
      <w:marBottom w:val="0"/>
      <w:divBdr>
        <w:top w:val="none" w:sz="0" w:space="0" w:color="auto"/>
        <w:left w:val="none" w:sz="0" w:space="0" w:color="auto"/>
        <w:bottom w:val="none" w:sz="0" w:space="0" w:color="auto"/>
        <w:right w:val="none" w:sz="0" w:space="0" w:color="auto"/>
      </w:divBdr>
    </w:div>
    <w:div w:id="1952055322">
      <w:bodyDiv w:val="1"/>
      <w:marLeft w:val="0"/>
      <w:marRight w:val="0"/>
      <w:marTop w:val="0"/>
      <w:marBottom w:val="0"/>
      <w:divBdr>
        <w:top w:val="none" w:sz="0" w:space="0" w:color="auto"/>
        <w:left w:val="none" w:sz="0" w:space="0" w:color="auto"/>
        <w:bottom w:val="none" w:sz="0" w:space="0" w:color="auto"/>
        <w:right w:val="none" w:sz="0" w:space="0" w:color="auto"/>
      </w:divBdr>
    </w:div>
    <w:div w:id="1953897678">
      <w:bodyDiv w:val="1"/>
      <w:marLeft w:val="0"/>
      <w:marRight w:val="0"/>
      <w:marTop w:val="0"/>
      <w:marBottom w:val="0"/>
      <w:divBdr>
        <w:top w:val="none" w:sz="0" w:space="0" w:color="auto"/>
        <w:left w:val="none" w:sz="0" w:space="0" w:color="auto"/>
        <w:bottom w:val="none" w:sz="0" w:space="0" w:color="auto"/>
        <w:right w:val="none" w:sz="0" w:space="0" w:color="auto"/>
      </w:divBdr>
      <w:divsChild>
        <w:div w:id="1461531708">
          <w:marLeft w:val="0"/>
          <w:marRight w:val="0"/>
          <w:marTop w:val="120"/>
          <w:marBottom w:val="0"/>
          <w:divBdr>
            <w:top w:val="none" w:sz="0" w:space="0" w:color="auto"/>
            <w:left w:val="none" w:sz="0" w:space="0" w:color="auto"/>
            <w:bottom w:val="none" w:sz="0" w:space="0" w:color="auto"/>
            <w:right w:val="none" w:sz="0" w:space="0" w:color="auto"/>
          </w:divBdr>
        </w:div>
      </w:divsChild>
    </w:div>
    <w:div w:id="1955363051">
      <w:bodyDiv w:val="1"/>
      <w:marLeft w:val="0"/>
      <w:marRight w:val="0"/>
      <w:marTop w:val="0"/>
      <w:marBottom w:val="0"/>
      <w:divBdr>
        <w:top w:val="none" w:sz="0" w:space="0" w:color="auto"/>
        <w:left w:val="none" w:sz="0" w:space="0" w:color="auto"/>
        <w:bottom w:val="none" w:sz="0" w:space="0" w:color="auto"/>
        <w:right w:val="none" w:sz="0" w:space="0" w:color="auto"/>
      </w:divBdr>
    </w:div>
    <w:div w:id="2090535596">
      <w:bodyDiv w:val="1"/>
      <w:marLeft w:val="0"/>
      <w:marRight w:val="0"/>
      <w:marTop w:val="0"/>
      <w:marBottom w:val="0"/>
      <w:divBdr>
        <w:top w:val="none" w:sz="0" w:space="0" w:color="auto"/>
        <w:left w:val="none" w:sz="0" w:space="0" w:color="auto"/>
        <w:bottom w:val="none" w:sz="0" w:space="0" w:color="auto"/>
        <w:right w:val="none" w:sz="0" w:space="0" w:color="auto"/>
      </w:divBdr>
      <w:divsChild>
        <w:div w:id="1224869081">
          <w:marLeft w:val="0"/>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768</TotalTime>
  <Pages>11</Pages>
  <Words>5222</Words>
  <Characters>29772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Aaman Ahmed</dc:creator>
  <cp:keywords/>
  <dc:description/>
  <cp:lastModifiedBy>Aaman Ahmed</cp:lastModifiedBy>
  <cp:revision>23</cp:revision>
  <dcterms:created xsi:type="dcterms:W3CDTF">2025-12-30T06:43:00Z</dcterms:created>
  <dcterms:modified xsi:type="dcterms:W3CDTF">2026-01-02T07:29:00Z</dcterms:modified>
</cp:coreProperties>
</file>