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1470E" w14:textId="6762BFDA" w:rsidR="00411F69" w:rsidRPr="008C7B95" w:rsidRDefault="008C7B95">
      <w:pPr>
        <w:rPr>
          <w:b/>
          <w:bCs/>
          <w:sz w:val="24"/>
          <w:szCs w:val="24"/>
          <w:lang w:val="en-US"/>
        </w:rPr>
      </w:pPr>
      <w:r w:rsidRPr="008C7B95">
        <w:rPr>
          <w:b/>
          <w:bCs/>
          <w:sz w:val="24"/>
          <w:szCs w:val="24"/>
          <w:lang w:val="en-US"/>
        </w:rPr>
        <w:t>Study Hub Points:</w:t>
      </w:r>
    </w:p>
    <w:p w14:paraId="1C096E84" w14:textId="77777777" w:rsidR="008C7B95" w:rsidRPr="008C7B95" w:rsidRDefault="008C7B95">
      <w:pPr>
        <w:rPr>
          <w:b/>
          <w:bCs/>
          <w:sz w:val="24"/>
          <w:szCs w:val="24"/>
          <w:u w:val="single"/>
          <w:lang w:val="en-US"/>
        </w:rPr>
      </w:pPr>
      <w:r w:rsidRPr="008C7B95">
        <w:rPr>
          <w:b/>
          <w:bCs/>
          <w:sz w:val="24"/>
          <w:szCs w:val="24"/>
          <w:u w:val="single"/>
          <w:lang w:val="en-US"/>
        </w:rPr>
        <w:t>IAS-16:</w:t>
      </w:r>
    </w:p>
    <w:p w14:paraId="638A2097" w14:textId="77777777" w:rsidR="00C9101C" w:rsidRDefault="008C7B95" w:rsidP="00C9101C">
      <w:pPr>
        <w:spacing w:after="0" w:line="240" w:lineRule="auto"/>
        <w:textAlignment w:val="baseline"/>
        <w:rPr>
          <w:rFonts w:ascii="Arial" w:eastAsia="Times New Roman" w:hAnsi="Arial" w:cs="Arial"/>
          <w:color w:val="000000"/>
          <w:bdr w:val="none" w:sz="0" w:space="0" w:color="auto" w:frame="1"/>
          <w:lang w:eastAsia="en-PK"/>
        </w:rPr>
      </w:pPr>
      <w:r w:rsidRPr="008C7B95">
        <w:rPr>
          <w:rFonts w:ascii="Arial" w:eastAsia="Times New Roman" w:hAnsi="Arial" w:cs="Arial"/>
          <w:color w:val="000000"/>
          <w:bdr w:val="none" w:sz="0" w:space="0" w:color="auto" w:frame="1"/>
          <w:lang w:eastAsia="en-PK"/>
        </w:rPr>
        <w:t>The maintenance contract is recognised in profit or loss over the period to which it relates.</w:t>
      </w:r>
    </w:p>
    <w:p w14:paraId="417B33D0" w14:textId="77777777" w:rsidR="00C9101C" w:rsidRDefault="00C9101C" w:rsidP="00C9101C">
      <w:pPr>
        <w:spacing w:after="0" w:line="240" w:lineRule="auto"/>
        <w:textAlignment w:val="baseline"/>
        <w:rPr>
          <w:rFonts w:ascii="Arial" w:eastAsia="Times New Roman" w:hAnsi="Arial" w:cs="Arial"/>
          <w:color w:val="000000"/>
          <w:bdr w:val="none" w:sz="0" w:space="0" w:color="auto" w:frame="1"/>
          <w:lang w:eastAsia="en-PK"/>
        </w:rPr>
      </w:pPr>
    </w:p>
    <w:p w14:paraId="70EAB373" w14:textId="76F32D9F" w:rsidR="00C9101C" w:rsidRPr="00C9101C" w:rsidRDefault="00C9101C" w:rsidP="00C9101C">
      <w:pPr>
        <w:spacing w:after="0" w:line="240" w:lineRule="auto"/>
        <w:textAlignment w:val="baseline"/>
        <w:rPr>
          <w:rFonts w:eastAsia="Times New Roman" w:cstheme="minorHAnsi"/>
          <w:b/>
          <w:bCs/>
          <w:sz w:val="24"/>
          <w:szCs w:val="24"/>
          <w:lang w:eastAsia="en-PK"/>
        </w:rPr>
      </w:pPr>
      <w:r w:rsidRPr="00C9101C">
        <w:rPr>
          <w:rFonts w:eastAsia="Times New Roman" w:cstheme="minorHAnsi"/>
          <w:b/>
          <w:bCs/>
          <w:sz w:val="24"/>
          <w:szCs w:val="24"/>
          <w:lang w:eastAsia="en-PK"/>
        </w:rPr>
        <w:t>Arguments for Non-depreciation</w:t>
      </w:r>
    </w:p>
    <w:p w14:paraId="2375A5E4" w14:textId="059B4113" w:rsidR="00C9101C" w:rsidRDefault="00C9101C" w:rsidP="00C9101C">
      <w:pPr>
        <w:shd w:val="clear" w:color="auto" w:fill="FFFFFF"/>
        <w:spacing w:after="0" w:line="240" w:lineRule="auto"/>
        <w:textAlignment w:val="baseline"/>
        <w:rPr>
          <w:rFonts w:eastAsia="Times New Roman" w:cstheme="minorHAnsi"/>
          <w:color w:val="000000"/>
          <w:sz w:val="24"/>
          <w:szCs w:val="24"/>
          <w:bdr w:val="none" w:sz="0" w:space="0" w:color="auto" w:frame="1"/>
          <w:lang w:val="en-US" w:eastAsia="en-PK"/>
        </w:rPr>
      </w:pPr>
      <w:r w:rsidRPr="00C9101C">
        <w:rPr>
          <w:rFonts w:eastAsia="Times New Roman" w:cstheme="minorHAnsi"/>
          <w:color w:val="000000"/>
          <w:sz w:val="24"/>
          <w:szCs w:val="24"/>
          <w:bdr w:val="none" w:sz="0" w:space="0" w:color="auto" w:frame="1"/>
          <w:lang w:eastAsia="en-PK"/>
        </w:rPr>
        <w:t>Assets are maintained to a very high standard. This maintenance cost is expensed in the statement of profit or loss in lieu of depreciation. To depreciate also would be “double counting” expense.</w:t>
      </w:r>
      <w:r>
        <w:rPr>
          <w:rFonts w:eastAsia="Times New Roman" w:cstheme="minorHAnsi"/>
          <w:color w:val="000000"/>
          <w:sz w:val="24"/>
          <w:szCs w:val="24"/>
          <w:bdr w:val="none" w:sz="0" w:space="0" w:color="auto" w:frame="1"/>
          <w:lang w:val="en-US" w:eastAsia="en-PK"/>
        </w:rPr>
        <w:t xml:space="preserve"> (</w:t>
      </w:r>
      <w:proofErr w:type="gramStart"/>
      <w:r>
        <w:rPr>
          <w:rFonts w:eastAsia="Times New Roman" w:cstheme="minorHAnsi"/>
          <w:color w:val="000000"/>
          <w:sz w:val="24"/>
          <w:szCs w:val="24"/>
          <w:bdr w:val="none" w:sz="0" w:space="0" w:color="auto" w:frame="1"/>
          <w:lang w:val="en-US" w:eastAsia="en-PK"/>
        </w:rPr>
        <w:t>e.g.</w:t>
      </w:r>
      <w:proofErr w:type="gramEnd"/>
      <w:r>
        <w:rPr>
          <w:rFonts w:eastAsia="Times New Roman" w:cstheme="minorHAnsi"/>
          <w:color w:val="000000"/>
          <w:sz w:val="24"/>
          <w:szCs w:val="24"/>
          <w:bdr w:val="none" w:sz="0" w:space="0" w:color="auto" w:frame="1"/>
          <w:lang w:val="en-US" w:eastAsia="en-PK"/>
        </w:rPr>
        <w:t xml:space="preserve"> hotels).</w:t>
      </w:r>
    </w:p>
    <w:p w14:paraId="301C1885" w14:textId="77777777" w:rsidR="00C9101C" w:rsidRPr="00C9101C" w:rsidRDefault="00C9101C" w:rsidP="00C9101C">
      <w:pPr>
        <w:shd w:val="clear" w:color="auto" w:fill="FFFFFF"/>
        <w:spacing w:after="0" w:line="240" w:lineRule="auto"/>
        <w:textAlignment w:val="baseline"/>
        <w:rPr>
          <w:rFonts w:eastAsia="Times New Roman" w:cstheme="minorHAnsi"/>
          <w:color w:val="CA0000"/>
          <w:sz w:val="24"/>
          <w:szCs w:val="24"/>
          <w:lang w:val="en-US" w:eastAsia="en-PK"/>
        </w:rPr>
      </w:pPr>
    </w:p>
    <w:p w14:paraId="7369DD3D" w14:textId="40E57D02" w:rsidR="00C9101C" w:rsidRDefault="00C9101C" w:rsidP="00C9101C">
      <w:pPr>
        <w:shd w:val="clear" w:color="auto" w:fill="FFFFFF"/>
        <w:spacing w:after="0" w:line="240" w:lineRule="auto"/>
        <w:textAlignment w:val="baseline"/>
        <w:rPr>
          <w:rFonts w:eastAsia="Times New Roman" w:cstheme="minorHAnsi"/>
          <w:color w:val="000000"/>
          <w:sz w:val="24"/>
          <w:szCs w:val="24"/>
          <w:bdr w:val="none" w:sz="0" w:space="0" w:color="auto" w:frame="1"/>
          <w:lang w:eastAsia="en-PK"/>
        </w:rPr>
      </w:pPr>
      <w:r w:rsidRPr="00C9101C">
        <w:rPr>
          <w:rFonts w:eastAsia="Times New Roman" w:cstheme="minorHAnsi"/>
          <w:color w:val="000000"/>
          <w:sz w:val="24"/>
          <w:szCs w:val="24"/>
          <w:bdr w:val="none" w:sz="0" w:space="0" w:color="auto" w:frame="1"/>
          <w:lang w:eastAsia="en-PK"/>
        </w:rPr>
        <w:t>The residual value is at least equal to the carrying amount (maybe due to maintenance).</w:t>
      </w:r>
    </w:p>
    <w:p w14:paraId="3EF995A3" w14:textId="77777777" w:rsidR="00C9101C" w:rsidRPr="00C9101C" w:rsidRDefault="00C9101C" w:rsidP="00C9101C">
      <w:pPr>
        <w:shd w:val="clear" w:color="auto" w:fill="FFFFFF"/>
        <w:spacing w:after="0" w:line="240" w:lineRule="auto"/>
        <w:textAlignment w:val="baseline"/>
        <w:rPr>
          <w:rFonts w:eastAsia="Times New Roman" w:cstheme="minorHAnsi"/>
          <w:color w:val="CA0000"/>
          <w:sz w:val="24"/>
          <w:szCs w:val="24"/>
          <w:lang w:eastAsia="en-PK"/>
        </w:rPr>
      </w:pPr>
    </w:p>
    <w:p w14:paraId="3F595CF4" w14:textId="07EE54E0" w:rsidR="00C9101C" w:rsidRDefault="00C9101C" w:rsidP="00C9101C">
      <w:pPr>
        <w:shd w:val="clear" w:color="auto" w:fill="FFFFFF"/>
        <w:spacing w:after="0" w:line="240" w:lineRule="auto"/>
        <w:textAlignment w:val="baseline"/>
        <w:rPr>
          <w:rFonts w:eastAsia="Times New Roman" w:cstheme="minorHAnsi"/>
          <w:color w:val="000000"/>
          <w:sz w:val="24"/>
          <w:szCs w:val="24"/>
          <w:bdr w:val="none" w:sz="0" w:space="0" w:color="auto" w:frame="1"/>
          <w:lang w:eastAsia="en-PK"/>
        </w:rPr>
      </w:pPr>
      <w:r w:rsidRPr="00C9101C">
        <w:rPr>
          <w:rFonts w:eastAsia="Times New Roman" w:cstheme="minorHAnsi"/>
          <w:color w:val="000000"/>
          <w:sz w:val="24"/>
          <w:szCs w:val="24"/>
          <w:bdr w:val="none" w:sz="0" w:space="0" w:color="auto" w:frame="1"/>
          <w:lang w:eastAsia="en-PK"/>
        </w:rPr>
        <w:t>Assets have a very long, useful life such that depreciation is not material.</w:t>
      </w:r>
    </w:p>
    <w:p w14:paraId="5D3AD3DD" w14:textId="77777777" w:rsidR="00C9101C" w:rsidRPr="00C9101C" w:rsidRDefault="00C9101C" w:rsidP="00C9101C">
      <w:pPr>
        <w:shd w:val="clear" w:color="auto" w:fill="FFFFFF"/>
        <w:spacing w:after="0" w:line="240" w:lineRule="auto"/>
        <w:textAlignment w:val="baseline"/>
        <w:rPr>
          <w:rFonts w:eastAsia="Times New Roman" w:cstheme="minorHAnsi"/>
          <w:color w:val="CA0000"/>
          <w:sz w:val="24"/>
          <w:szCs w:val="24"/>
          <w:lang w:eastAsia="en-PK"/>
        </w:rPr>
      </w:pPr>
    </w:p>
    <w:p w14:paraId="3E37CDE6" w14:textId="31578EA0" w:rsidR="008C7B95" w:rsidRDefault="00C9101C" w:rsidP="00BC7506">
      <w:pPr>
        <w:shd w:val="clear" w:color="auto" w:fill="FFFFFF"/>
        <w:spacing w:after="0" w:line="240" w:lineRule="auto"/>
        <w:textAlignment w:val="baseline"/>
        <w:rPr>
          <w:rFonts w:eastAsia="Times New Roman" w:cstheme="minorHAnsi"/>
          <w:color w:val="CA0000"/>
          <w:sz w:val="24"/>
          <w:szCs w:val="24"/>
          <w:lang w:eastAsia="en-PK"/>
        </w:rPr>
      </w:pPr>
      <w:r w:rsidRPr="00C9101C">
        <w:rPr>
          <w:rFonts w:eastAsia="Times New Roman" w:cstheme="minorHAnsi"/>
          <w:color w:val="000000"/>
          <w:sz w:val="24"/>
          <w:szCs w:val="24"/>
          <w:bdr w:val="none" w:sz="0" w:space="0" w:color="auto" w:frame="1"/>
          <w:lang w:eastAsia="en-PK"/>
        </w:rPr>
        <w:t>Asset is not currently in use.</w:t>
      </w:r>
    </w:p>
    <w:p w14:paraId="07076612" w14:textId="77777777" w:rsidR="00BC7506" w:rsidRPr="00BC7506" w:rsidRDefault="00BC7506" w:rsidP="00BC7506">
      <w:pPr>
        <w:shd w:val="clear" w:color="auto" w:fill="FFFFFF"/>
        <w:spacing w:after="0" w:line="240" w:lineRule="auto"/>
        <w:textAlignment w:val="baseline"/>
        <w:rPr>
          <w:rFonts w:eastAsia="Times New Roman" w:cstheme="minorHAnsi"/>
          <w:color w:val="CA0000"/>
          <w:sz w:val="24"/>
          <w:szCs w:val="24"/>
          <w:lang w:eastAsia="en-PK"/>
        </w:rPr>
      </w:pPr>
    </w:p>
    <w:p w14:paraId="256488AF" w14:textId="1F225840" w:rsidR="00C9101C" w:rsidRDefault="00C9101C">
      <w:pPr>
        <w:rPr>
          <w:rFonts w:cstheme="minorHAnsi"/>
          <w:color w:val="000000"/>
          <w:shd w:val="clear" w:color="auto" w:fill="FFFFFF"/>
          <w:lang w:val="en-US"/>
        </w:rPr>
      </w:pPr>
      <w:r w:rsidRPr="008E3759">
        <w:rPr>
          <w:rFonts w:cstheme="minorHAnsi"/>
          <w:color w:val="000000"/>
          <w:shd w:val="clear" w:color="auto" w:fill="FFFFFF"/>
        </w:rPr>
        <w:t>Most assets have a negligible residual value but some assets, such as buildings, may have a residual value that exceeds carrying amount; depreciation will then be zero until the residual value falls below the carrying amount</w:t>
      </w:r>
      <w:r w:rsidRPr="008E3759">
        <w:rPr>
          <w:rFonts w:cstheme="minorHAnsi"/>
          <w:color w:val="000000"/>
          <w:shd w:val="clear" w:color="auto" w:fill="FFFFFF"/>
          <w:lang w:val="en-US"/>
        </w:rPr>
        <w:t>.</w:t>
      </w:r>
    </w:p>
    <w:p w14:paraId="7A18E6AD" w14:textId="17D9CB99" w:rsidR="00DE747F" w:rsidRDefault="00DE747F" w:rsidP="00DE747F">
      <w:pPr>
        <w:rPr>
          <w:b/>
          <w:bCs/>
          <w:sz w:val="24"/>
          <w:szCs w:val="24"/>
          <w:u w:val="single"/>
          <w:lang w:val="en-US"/>
        </w:rPr>
      </w:pPr>
      <w:r w:rsidRPr="008C7B95">
        <w:rPr>
          <w:b/>
          <w:bCs/>
          <w:sz w:val="24"/>
          <w:szCs w:val="24"/>
          <w:u w:val="single"/>
          <w:lang w:val="en-US"/>
        </w:rPr>
        <w:t>IAS-</w:t>
      </w:r>
      <w:r>
        <w:rPr>
          <w:b/>
          <w:bCs/>
          <w:sz w:val="24"/>
          <w:szCs w:val="24"/>
          <w:u w:val="single"/>
          <w:lang w:val="en-US"/>
        </w:rPr>
        <w:t>36</w:t>
      </w:r>
      <w:r w:rsidRPr="008C7B95">
        <w:rPr>
          <w:b/>
          <w:bCs/>
          <w:sz w:val="24"/>
          <w:szCs w:val="24"/>
          <w:u w:val="single"/>
          <w:lang w:val="en-US"/>
        </w:rPr>
        <w:t>:</w:t>
      </w:r>
    </w:p>
    <w:p w14:paraId="19647B56" w14:textId="576AB104" w:rsidR="00DE747F" w:rsidRDefault="00DE747F" w:rsidP="00DE747F">
      <w:pPr>
        <w:rPr>
          <w:rFonts w:cstheme="minorHAnsi"/>
          <w:color w:val="000000"/>
          <w:shd w:val="clear" w:color="auto" w:fill="FFFFFF"/>
        </w:rPr>
      </w:pPr>
      <w:r w:rsidRPr="00DE747F">
        <w:rPr>
          <w:rFonts w:cstheme="minorHAnsi"/>
          <w:color w:val="000000"/>
          <w:shd w:val="clear" w:color="auto" w:fill="FFFFFF"/>
        </w:rPr>
        <w:t>You should be prepared to see IAS 36 examined in a scenario alongside at least one other IFRS Accounting Standard. Commonly, this may be IAS 16 </w:t>
      </w:r>
      <w:r w:rsidRPr="00DE747F">
        <w:rPr>
          <w:rStyle w:val="Emphasis"/>
          <w:rFonts w:cstheme="minorHAnsi"/>
          <w:color w:val="000000"/>
          <w:bdr w:val="none" w:sz="0" w:space="0" w:color="auto" w:frame="1"/>
          <w:shd w:val="clear" w:color="auto" w:fill="FFFFFF"/>
        </w:rPr>
        <w:t>Property, Plant and Equipment</w:t>
      </w:r>
      <w:r w:rsidRPr="00DE747F">
        <w:rPr>
          <w:rFonts w:cstheme="minorHAnsi"/>
          <w:color w:val="000000"/>
          <w:shd w:val="clear" w:color="auto" w:fill="FFFFFF"/>
        </w:rPr>
        <w:t>, IAS 38 </w:t>
      </w:r>
      <w:r w:rsidRPr="00DE747F">
        <w:rPr>
          <w:rStyle w:val="Emphasis"/>
          <w:rFonts w:cstheme="minorHAnsi"/>
          <w:color w:val="000000"/>
          <w:bdr w:val="none" w:sz="0" w:space="0" w:color="auto" w:frame="1"/>
          <w:shd w:val="clear" w:color="auto" w:fill="FFFFFF"/>
        </w:rPr>
        <w:t>Intangible Assets</w:t>
      </w:r>
      <w:r w:rsidRPr="00DE747F">
        <w:rPr>
          <w:rFonts w:cstheme="minorHAnsi"/>
          <w:color w:val="000000"/>
          <w:shd w:val="clear" w:color="auto" w:fill="FFFFFF"/>
        </w:rPr>
        <w:t>, IAS 40 </w:t>
      </w:r>
      <w:r w:rsidRPr="00DE747F">
        <w:rPr>
          <w:rStyle w:val="Emphasis"/>
          <w:rFonts w:cstheme="minorHAnsi"/>
          <w:color w:val="000000"/>
          <w:bdr w:val="none" w:sz="0" w:space="0" w:color="auto" w:frame="1"/>
          <w:shd w:val="clear" w:color="auto" w:fill="FFFFFF"/>
        </w:rPr>
        <w:t>Investment Property</w:t>
      </w:r>
      <w:r w:rsidRPr="00DE747F">
        <w:rPr>
          <w:rFonts w:cstheme="minorHAnsi"/>
          <w:color w:val="000000"/>
          <w:shd w:val="clear" w:color="auto" w:fill="FFFFFF"/>
        </w:rPr>
        <w:t>, IFRS 16 </w:t>
      </w:r>
      <w:r w:rsidRPr="00DE747F">
        <w:rPr>
          <w:rStyle w:val="Emphasis"/>
          <w:rFonts w:cstheme="minorHAnsi"/>
          <w:color w:val="000000"/>
          <w:bdr w:val="none" w:sz="0" w:space="0" w:color="auto" w:frame="1"/>
          <w:shd w:val="clear" w:color="auto" w:fill="FFFFFF"/>
        </w:rPr>
        <w:t>Leases</w:t>
      </w:r>
      <w:r w:rsidRPr="00DE747F">
        <w:rPr>
          <w:rFonts w:cstheme="minorHAnsi"/>
          <w:color w:val="000000"/>
          <w:shd w:val="clear" w:color="auto" w:fill="FFFFFF"/>
        </w:rPr>
        <w:t xml:space="preserve"> or within a consolidation scenario.</w:t>
      </w:r>
    </w:p>
    <w:p w14:paraId="3315D26D" w14:textId="1ADBD675" w:rsidR="00DE747F" w:rsidRDefault="008C1107" w:rsidP="00DE747F">
      <w:pPr>
        <w:rPr>
          <w:rFonts w:cstheme="minorHAnsi"/>
          <w:color w:val="000000"/>
          <w:shd w:val="clear" w:color="auto" w:fill="FFFFFF"/>
        </w:rPr>
      </w:pPr>
      <w:r w:rsidRPr="008C1107">
        <w:rPr>
          <w:rFonts w:cstheme="minorHAnsi"/>
          <w:color w:val="000000"/>
          <w:shd w:val="clear" w:color="auto" w:fill="FFFFFF"/>
        </w:rPr>
        <w:t>Where there is an indication that an asset may be impaired, this may indicate that the remaining useful life, the depreciation (amortisation) method or the residual value for the asset needs to be reviewed and adjusted, even if no impairment loss is recognised for the asset.</w:t>
      </w:r>
    </w:p>
    <w:p w14:paraId="7CBFDBD2" w14:textId="77777777" w:rsidR="00171D65" w:rsidRPr="00171D65" w:rsidRDefault="00171D65" w:rsidP="00171D65">
      <w:pPr>
        <w:pStyle w:val="NormalWeb"/>
        <w:shd w:val="clear" w:color="auto" w:fill="FFFFFF"/>
        <w:spacing w:before="0" w:beforeAutospacing="0" w:after="150" w:afterAutospacing="0"/>
        <w:textAlignment w:val="baseline"/>
        <w:rPr>
          <w:rFonts w:asciiTheme="minorHAnsi" w:hAnsiTheme="minorHAnsi" w:cstheme="minorHAnsi"/>
          <w:color w:val="000000"/>
          <w:sz w:val="22"/>
          <w:szCs w:val="22"/>
        </w:rPr>
      </w:pPr>
      <w:r w:rsidRPr="00171D65">
        <w:rPr>
          <w:rFonts w:asciiTheme="minorHAnsi" w:hAnsiTheme="minorHAnsi" w:cstheme="minorHAnsi"/>
          <w:color w:val="000000"/>
          <w:sz w:val="22"/>
          <w:szCs w:val="22"/>
        </w:rPr>
        <w:t>If there is no reason to believe that the asset's value in use materially exceeds its fair value less cost of disposal, the asset's recoverable amount is its fair value less costs of disposal.</w:t>
      </w:r>
    </w:p>
    <w:p w14:paraId="6760F5F5" w14:textId="77777777" w:rsidR="00171D65" w:rsidRPr="00171D65" w:rsidRDefault="00171D65" w:rsidP="00171D65">
      <w:pPr>
        <w:pStyle w:val="NormalWeb"/>
        <w:shd w:val="clear" w:color="auto" w:fill="FFFFFF"/>
        <w:spacing w:before="0" w:beforeAutospacing="0" w:after="150" w:afterAutospacing="0"/>
        <w:textAlignment w:val="baseline"/>
        <w:rPr>
          <w:rFonts w:asciiTheme="minorHAnsi" w:hAnsiTheme="minorHAnsi" w:cstheme="minorHAnsi"/>
          <w:color w:val="000000"/>
          <w:sz w:val="22"/>
          <w:szCs w:val="22"/>
        </w:rPr>
      </w:pPr>
      <w:r w:rsidRPr="00171D65">
        <w:rPr>
          <w:rFonts w:asciiTheme="minorHAnsi" w:hAnsiTheme="minorHAnsi" w:cstheme="minorHAnsi"/>
          <w:color w:val="000000"/>
          <w:sz w:val="22"/>
          <w:szCs w:val="22"/>
        </w:rPr>
        <w:t>When an asset is held for imminent disposal, value in use is essentially the sale proceeds as cash flows from continuing use are likely to be negligible.</w:t>
      </w:r>
    </w:p>
    <w:p w14:paraId="7EBF19D2" w14:textId="379B1379" w:rsidR="008C1107" w:rsidRDefault="00171D65" w:rsidP="00DE747F">
      <w:pPr>
        <w:rPr>
          <w:rFonts w:cstheme="minorHAnsi"/>
          <w:color w:val="000000"/>
          <w:shd w:val="clear" w:color="auto" w:fill="FFFFFF"/>
          <w:lang w:val="en-US"/>
        </w:rPr>
      </w:pPr>
      <w:r w:rsidRPr="00171D65">
        <w:rPr>
          <w:rFonts w:cstheme="minorHAnsi"/>
          <w:color w:val="000000"/>
          <w:shd w:val="clear" w:color="auto" w:fill="FFFFFF"/>
        </w:rPr>
        <w:t>The professional valuer's fee is not included in the calculation as it is not a directly attributable cost of selling the asset.</w:t>
      </w:r>
      <w:r w:rsidRPr="00171D65">
        <w:rPr>
          <w:rFonts w:cstheme="minorHAnsi"/>
          <w:color w:val="000000"/>
          <w:shd w:val="clear" w:color="auto" w:fill="FFFFFF"/>
          <w:lang w:val="en-US"/>
        </w:rPr>
        <w:t xml:space="preserve"> In FV-CTS calculation</w:t>
      </w:r>
    </w:p>
    <w:p w14:paraId="1191929E" w14:textId="77777777" w:rsidR="00171D65" w:rsidRPr="00171D65" w:rsidRDefault="00171D65" w:rsidP="00171D65">
      <w:pPr>
        <w:shd w:val="clear" w:color="auto" w:fill="FFFFFF"/>
        <w:spacing w:after="150" w:line="240" w:lineRule="auto"/>
        <w:textAlignment w:val="baseline"/>
        <w:rPr>
          <w:rFonts w:eastAsia="Times New Roman" w:cstheme="minorHAnsi"/>
          <w:color w:val="000000"/>
          <w:lang w:eastAsia="en-PK"/>
        </w:rPr>
      </w:pPr>
      <w:r w:rsidRPr="00171D65">
        <w:rPr>
          <w:rFonts w:eastAsia="Times New Roman" w:cstheme="minorHAnsi"/>
          <w:color w:val="000000"/>
          <w:lang w:eastAsia="en-PK"/>
        </w:rPr>
        <w:t>Fair value differs from value in use. For example, fair value would not reflect the following factors that are not generally available to market participants:</w:t>
      </w:r>
    </w:p>
    <w:p w14:paraId="18B273DE" w14:textId="77777777" w:rsidR="00171D65" w:rsidRPr="00171D65" w:rsidRDefault="00171D65" w:rsidP="00171D65">
      <w:pPr>
        <w:numPr>
          <w:ilvl w:val="0"/>
          <w:numId w:val="3"/>
        </w:numPr>
        <w:shd w:val="clear" w:color="auto" w:fill="FFFFFF"/>
        <w:spacing w:after="0" w:line="240" w:lineRule="auto"/>
        <w:ind w:left="1080"/>
        <w:textAlignment w:val="baseline"/>
        <w:rPr>
          <w:rFonts w:eastAsia="Times New Roman" w:cstheme="minorHAnsi"/>
          <w:color w:val="CA0000"/>
          <w:lang w:eastAsia="en-PK"/>
        </w:rPr>
      </w:pPr>
      <w:r w:rsidRPr="00171D65">
        <w:rPr>
          <w:rFonts w:eastAsia="Times New Roman" w:cstheme="minorHAnsi"/>
          <w:color w:val="000000"/>
          <w:bdr w:val="none" w:sz="0" w:space="0" w:color="auto" w:frame="1"/>
          <w:lang w:eastAsia="en-PK"/>
        </w:rPr>
        <w:t>additional value derived from the grouping of assets;</w:t>
      </w:r>
    </w:p>
    <w:p w14:paraId="1113D588" w14:textId="77777777" w:rsidR="00171D65" w:rsidRPr="00171D65" w:rsidRDefault="00171D65" w:rsidP="00171D65">
      <w:pPr>
        <w:numPr>
          <w:ilvl w:val="0"/>
          <w:numId w:val="3"/>
        </w:numPr>
        <w:shd w:val="clear" w:color="auto" w:fill="FFFFFF"/>
        <w:spacing w:after="0" w:line="240" w:lineRule="auto"/>
        <w:ind w:left="1080"/>
        <w:textAlignment w:val="baseline"/>
        <w:rPr>
          <w:rFonts w:eastAsia="Times New Roman" w:cstheme="minorHAnsi"/>
          <w:color w:val="CA0000"/>
          <w:lang w:eastAsia="en-PK"/>
        </w:rPr>
      </w:pPr>
      <w:r w:rsidRPr="00171D65">
        <w:rPr>
          <w:rFonts w:eastAsia="Times New Roman" w:cstheme="minorHAnsi"/>
          <w:color w:val="000000"/>
          <w:bdr w:val="none" w:sz="0" w:space="0" w:color="auto" w:frame="1"/>
          <w:lang w:eastAsia="en-PK"/>
        </w:rPr>
        <w:t>synergies between the asset being measured and other assets;</w:t>
      </w:r>
    </w:p>
    <w:p w14:paraId="40F379A1" w14:textId="77777777" w:rsidR="00171D65" w:rsidRPr="00171D65" w:rsidRDefault="00171D65" w:rsidP="00171D65">
      <w:pPr>
        <w:numPr>
          <w:ilvl w:val="0"/>
          <w:numId w:val="3"/>
        </w:numPr>
        <w:shd w:val="clear" w:color="auto" w:fill="FFFFFF"/>
        <w:spacing w:after="0" w:line="240" w:lineRule="auto"/>
        <w:ind w:left="1080"/>
        <w:textAlignment w:val="baseline"/>
        <w:rPr>
          <w:rFonts w:eastAsia="Times New Roman" w:cstheme="minorHAnsi"/>
          <w:color w:val="CA0000"/>
          <w:lang w:eastAsia="en-PK"/>
        </w:rPr>
      </w:pPr>
      <w:r w:rsidRPr="00171D65">
        <w:rPr>
          <w:rFonts w:eastAsia="Times New Roman" w:cstheme="minorHAnsi"/>
          <w:color w:val="000000"/>
          <w:bdr w:val="none" w:sz="0" w:space="0" w:color="auto" w:frame="1"/>
          <w:lang w:eastAsia="en-PK"/>
        </w:rPr>
        <w:t>legal rights or restrictions that are specific to the current owner of the asset; and</w:t>
      </w:r>
    </w:p>
    <w:p w14:paraId="5346DD7A" w14:textId="6C765960" w:rsidR="00171D65" w:rsidRDefault="00171D65" w:rsidP="00DE747F">
      <w:pPr>
        <w:numPr>
          <w:ilvl w:val="0"/>
          <w:numId w:val="3"/>
        </w:numPr>
        <w:shd w:val="clear" w:color="auto" w:fill="FFFFFF"/>
        <w:spacing w:after="0" w:line="240" w:lineRule="auto"/>
        <w:ind w:left="1080"/>
        <w:textAlignment w:val="baseline"/>
        <w:rPr>
          <w:rFonts w:eastAsia="Times New Roman" w:cstheme="minorHAnsi"/>
          <w:color w:val="CA0000"/>
          <w:lang w:eastAsia="en-PK"/>
        </w:rPr>
      </w:pPr>
      <w:r w:rsidRPr="00171D65">
        <w:rPr>
          <w:rFonts w:eastAsia="Times New Roman" w:cstheme="minorHAnsi"/>
          <w:color w:val="000000"/>
          <w:bdr w:val="none" w:sz="0" w:space="0" w:color="auto" w:frame="1"/>
          <w:lang w:eastAsia="en-PK"/>
        </w:rPr>
        <w:t>tax benefits or burdens that is specific to the current owner of the asset.</w:t>
      </w:r>
    </w:p>
    <w:p w14:paraId="134FA366" w14:textId="77777777" w:rsidR="00BC7506" w:rsidRPr="00BC7506" w:rsidRDefault="00BC7506" w:rsidP="00626991">
      <w:pPr>
        <w:shd w:val="clear" w:color="auto" w:fill="FFFFFF"/>
        <w:spacing w:after="0" w:line="240" w:lineRule="auto"/>
        <w:ind w:left="1080"/>
        <w:textAlignment w:val="baseline"/>
        <w:rPr>
          <w:rFonts w:eastAsia="Times New Roman" w:cstheme="minorHAnsi"/>
          <w:color w:val="CA0000"/>
          <w:lang w:eastAsia="en-PK"/>
        </w:rPr>
      </w:pPr>
    </w:p>
    <w:p w14:paraId="2D0D1D0F" w14:textId="77777777" w:rsidR="00BC7506" w:rsidRPr="00BC7506" w:rsidRDefault="00BC7506" w:rsidP="00BC7506">
      <w:pPr>
        <w:shd w:val="clear" w:color="auto" w:fill="FFFFFF"/>
        <w:spacing w:after="150" w:line="240" w:lineRule="auto"/>
        <w:textAlignment w:val="baseline"/>
        <w:rPr>
          <w:rFonts w:eastAsia="Times New Roman" w:cstheme="minorHAnsi"/>
          <w:color w:val="000000"/>
          <w:lang w:val="en-PK" w:eastAsia="en-PK"/>
        </w:rPr>
      </w:pPr>
      <w:r w:rsidRPr="00BC7506">
        <w:rPr>
          <w:rFonts w:eastAsia="Times New Roman" w:cstheme="minorHAnsi"/>
          <w:color w:val="000000"/>
          <w:lang w:val="en-PK" w:eastAsia="en-PK"/>
        </w:rPr>
        <w:t>The carrying amount of a CGU should be measured on a consistent basis with recoverable amount; both should include the same assets.</w:t>
      </w:r>
    </w:p>
    <w:p w14:paraId="6B209DF1" w14:textId="77777777" w:rsidR="00BC7506" w:rsidRPr="00BC7506" w:rsidRDefault="00BC7506" w:rsidP="00BC7506">
      <w:pPr>
        <w:shd w:val="clear" w:color="auto" w:fill="FFFFFF"/>
        <w:spacing w:after="150" w:line="240" w:lineRule="auto"/>
        <w:textAlignment w:val="baseline"/>
        <w:rPr>
          <w:rFonts w:eastAsia="Times New Roman" w:cstheme="minorHAnsi"/>
          <w:color w:val="000000"/>
          <w:lang w:val="en-PK" w:eastAsia="en-PK"/>
        </w:rPr>
      </w:pPr>
      <w:r w:rsidRPr="00BC7506">
        <w:rPr>
          <w:rFonts w:eastAsia="Times New Roman" w:cstheme="minorHAnsi"/>
          <w:color w:val="000000"/>
          <w:lang w:val="en-PK" w:eastAsia="en-PK"/>
        </w:rPr>
        <w:t>Benefits associated with certain assets may be reflected in the recoverable amount of a CGU when the asset itself is held at a group or company level and shared between several CGUs (</w:t>
      </w:r>
      <w:proofErr w:type="gramStart"/>
      <w:r w:rsidRPr="00BC7506">
        <w:rPr>
          <w:rFonts w:eastAsia="Times New Roman" w:cstheme="minorHAnsi"/>
          <w:color w:val="000000"/>
          <w:lang w:val="en-PK" w:eastAsia="en-PK"/>
        </w:rPr>
        <w:t>e.g.</w:t>
      </w:r>
      <w:proofErr w:type="gramEnd"/>
      <w:r w:rsidRPr="00BC7506">
        <w:rPr>
          <w:rFonts w:eastAsia="Times New Roman" w:cstheme="minorHAnsi"/>
          <w:color w:val="000000"/>
          <w:lang w:val="en-PK" w:eastAsia="en-PK"/>
        </w:rPr>
        <w:t xml:space="preserve"> a shared item of plant). In this case the carrying amount of the CGU must be adjusted to include an allocation of the shared asset for the purpose of impairment testing.</w:t>
      </w:r>
    </w:p>
    <w:p w14:paraId="547FED8E" w14:textId="26F97492" w:rsidR="008C1107" w:rsidRPr="00BC7506" w:rsidRDefault="00BC7506" w:rsidP="00DE747F">
      <w:pPr>
        <w:rPr>
          <w:rFonts w:cstheme="minorHAnsi"/>
          <w:color w:val="000000"/>
          <w:shd w:val="clear" w:color="auto" w:fill="FFFFFF"/>
        </w:rPr>
      </w:pPr>
      <w:r w:rsidRPr="00BC7506">
        <w:rPr>
          <w:rFonts w:cstheme="minorHAnsi"/>
          <w:color w:val="000000"/>
          <w:shd w:val="clear" w:color="auto" w:fill="FFFFFF"/>
        </w:rPr>
        <w:t>Liabilities are included in fair value less costs of disposal (and so in value in use and carrying amount) of a CGU where a prospective purchaser would be required to assume the liabilities.</w:t>
      </w:r>
    </w:p>
    <w:p w14:paraId="60F447DC" w14:textId="77777777" w:rsidR="00DE747F" w:rsidRPr="00DE747F" w:rsidRDefault="00DE747F" w:rsidP="00DE747F">
      <w:pPr>
        <w:rPr>
          <w:rFonts w:cstheme="minorHAnsi"/>
          <w:b/>
          <w:bCs/>
          <w:sz w:val="24"/>
          <w:szCs w:val="24"/>
          <w:u w:val="single"/>
          <w:lang w:val="en-US"/>
        </w:rPr>
      </w:pPr>
    </w:p>
    <w:p w14:paraId="4095AA2C" w14:textId="77777777" w:rsidR="000F0BC2" w:rsidRPr="000F0BC2" w:rsidRDefault="000F0BC2" w:rsidP="000F0BC2">
      <w:pPr>
        <w:shd w:val="clear" w:color="auto" w:fill="FFFFFF"/>
        <w:spacing w:after="150" w:line="240" w:lineRule="auto"/>
        <w:textAlignment w:val="baseline"/>
        <w:rPr>
          <w:rFonts w:eastAsia="Times New Roman" w:cstheme="minorHAnsi"/>
          <w:color w:val="000000"/>
          <w:lang w:val="en-PK" w:eastAsia="en-PK"/>
        </w:rPr>
      </w:pPr>
      <w:r w:rsidRPr="000F0BC2">
        <w:rPr>
          <w:rFonts w:eastAsia="Times New Roman" w:cstheme="minorHAnsi"/>
          <w:color w:val="000000"/>
          <w:lang w:val="en-PK" w:eastAsia="en-PK"/>
        </w:rPr>
        <w:lastRenderedPageBreak/>
        <w:t>An impairment loss is recognised as an expense in profit or loss immediately, unless the asset is carried at revalued amount under another IFRS Accounting Standard.</w:t>
      </w:r>
    </w:p>
    <w:p w14:paraId="48AE303A" w14:textId="77777777" w:rsidR="000F0BC2" w:rsidRPr="000F0BC2" w:rsidRDefault="000F0BC2" w:rsidP="000F0BC2">
      <w:pPr>
        <w:shd w:val="clear" w:color="auto" w:fill="FFFFFF"/>
        <w:spacing w:after="150" w:line="240" w:lineRule="auto"/>
        <w:textAlignment w:val="baseline"/>
        <w:rPr>
          <w:rFonts w:eastAsia="Times New Roman" w:cstheme="minorHAnsi"/>
          <w:color w:val="000000"/>
          <w:lang w:val="en-PK" w:eastAsia="en-PK"/>
        </w:rPr>
      </w:pPr>
      <w:r w:rsidRPr="000F0BC2">
        <w:rPr>
          <w:rFonts w:eastAsia="Times New Roman" w:cstheme="minorHAnsi"/>
          <w:color w:val="000000"/>
          <w:lang w:val="en-PK" w:eastAsia="en-PK"/>
        </w:rPr>
        <w:t>Any impairment loss of a revalued asset should be treated as a revaluation decrease under that other IFRS Accounting Standard.</w:t>
      </w:r>
    </w:p>
    <w:p w14:paraId="5D7CFD88" w14:textId="77777777" w:rsidR="000F0BC2" w:rsidRPr="000F0BC2" w:rsidRDefault="000F0BC2" w:rsidP="000F0BC2">
      <w:pPr>
        <w:shd w:val="clear" w:color="auto" w:fill="FFFFFF"/>
        <w:spacing w:after="150" w:line="240" w:lineRule="auto"/>
        <w:textAlignment w:val="baseline"/>
        <w:rPr>
          <w:rFonts w:eastAsia="Times New Roman" w:cstheme="minorHAnsi"/>
          <w:color w:val="000000"/>
          <w:lang w:val="en-PK" w:eastAsia="en-PK"/>
        </w:rPr>
      </w:pPr>
      <w:r w:rsidRPr="000F0BC2">
        <w:rPr>
          <w:rFonts w:eastAsia="Times New Roman" w:cstheme="minorHAnsi"/>
          <w:color w:val="000000"/>
          <w:lang w:val="en-PK" w:eastAsia="en-PK"/>
        </w:rPr>
        <w:t>An impairment loss of a revalued asset will usually mean:</w:t>
      </w:r>
    </w:p>
    <w:p w14:paraId="1F1729CB" w14:textId="77777777" w:rsidR="000F0BC2" w:rsidRPr="000F0BC2" w:rsidRDefault="000F0BC2" w:rsidP="000F0BC2">
      <w:pPr>
        <w:numPr>
          <w:ilvl w:val="0"/>
          <w:numId w:val="4"/>
        </w:numPr>
        <w:shd w:val="clear" w:color="auto" w:fill="FFFFFF"/>
        <w:spacing w:after="0" w:line="240" w:lineRule="auto"/>
        <w:ind w:left="1080"/>
        <w:textAlignment w:val="baseline"/>
        <w:rPr>
          <w:rFonts w:eastAsia="Times New Roman" w:cstheme="minorHAnsi"/>
          <w:color w:val="CA0000"/>
          <w:lang w:val="en-PK" w:eastAsia="en-PK"/>
        </w:rPr>
      </w:pPr>
      <w:r w:rsidRPr="000F0BC2">
        <w:rPr>
          <w:rFonts w:eastAsia="Times New Roman" w:cstheme="minorHAnsi"/>
          <w:color w:val="000000"/>
          <w:bdr w:val="none" w:sz="0" w:space="0" w:color="auto" w:frame="1"/>
          <w:lang w:val="en-PK" w:eastAsia="en-PK"/>
        </w:rPr>
        <w:t>A charge in OCI against the revaluation surplus (to the extent that the loss is covered by the surplus);</w:t>
      </w:r>
    </w:p>
    <w:p w14:paraId="0FA4D733" w14:textId="3B1A01E9" w:rsidR="000F0BC2" w:rsidRDefault="000F0BC2" w:rsidP="000F0BC2">
      <w:pPr>
        <w:numPr>
          <w:ilvl w:val="0"/>
          <w:numId w:val="4"/>
        </w:numPr>
        <w:shd w:val="clear" w:color="auto" w:fill="FFFFFF"/>
        <w:spacing w:after="0" w:line="240" w:lineRule="auto"/>
        <w:ind w:left="1080"/>
        <w:textAlignment w:val="baseline"/>
        <w:rPr>
          <w:rFonts w:eastAsia="Times New Roman" w:cstheme="minorHAnsi"/>
          <w:color w:val="CA0000"/>
          <w:lang w:val="en-PK" w:eastAsia="en-PK"/>
        </w:rPr>
      </w:pPr>
      <w:r w:rsidRPr="000F0BC2">
        <w:rPr>
          <w:rFonts w:eastAsia="Times New Roman" w:cstheme="minorHAnsi"/>
          <w:color w:val="000000"/>
          <w:bdr w:val="none" w:sz="0" w:space="0" w:color="auto" w:frame="1"/>
          <w:lang w:val="en-PK" w:eastAsia="en-PK"/>
        </w:rPr>
        <w:t>Any amount not so covered is then recognised as an operating expense in the statement of profit or loss.</w:t>
      </w:r>
    </w:p>
    <w:p w14:paraId="3485CF8B" w14:textId="0C77C76A" w:rsidR="000F0BC2" w:rsidRDefault="000F0BC2" w:rsidP="000F0BC2">
      <w:pPr>
        <w:shd w:val="clear" w:color="auto" w:fill="FFFFFF"/>
        <w:spacing w:after="0" w:line="240" w:lineRule="auto"/>
        <w:textAlignment w:val="baseline"/>
        <w:rPr>
          <w:rFonts w:eastAsia="Times New Roman" w:cstheme="minorHAnsi"/>
          <w:color w:val="CA0000"/>
          <w:lang w:val="en-PK" w:eastAsia="en-PK"/>
        </w:rPr>
      </w:pPr>
    </w:p>
    <w:p w14:paraId="66DEF1BD" w14:textId="77777777" w:rsidR="000F0BC2" w:rsidRPr="000F0BC2" w:rsidRDefault="000F0BC2" w:rsidP="000F0BC2">
      <w:pPr>
        <w:shd w:val="clear" w:color="auto" w:fill="FFFFFF"/>
        <w:spacing w:after="150" w:line="240" w:lineRule="auto"/>
        <w:textAlignment w:val="baseline"/>
        <w:rPr>
          <w:rFonts w:eastAsia="Times New Roman" w:cstheme="minorHAnsi"/>
          <w:color w:val="000000"/>
          <w:lang w:val="en-PK" w:eastAsia="en-PK"/>
        </w:rPr>
      </w:pPr>
      <w:r w:rsidRPr="000F0BC2">
        <w:rPr>
          <w:rFonts w:eastAsia="Times New Roman" w:cstheme="minorHAnsi"/>
          <w:color w:val="000000"/>
          <w:lang w:val="en-PK" w:eastAsia="en-PK"/>
        </w:rPr>
        <w:t>In allocating an impairment loss the carrying amount of an asset should not be reduced below the highest of:</w:t>
      </w:r>
    </w:p>
    <w:p w14:paraId="11ECD633" w14:textId="77777777" w:rsidR="000F0BC2" w:rsidRPr="000F0BC2" w:rsidRDefault="000F0BC2" w:rsidP="000F0BC2">
      <w:pPr>
        <w:numPr>
          <w:ilvl w:val="0"/>
          <w:numId w:val="5"/>
        </w:numPr>
        <w:shd w:val="clear" w:color="auto" w:fill="FFFFFF"/>
        <w:spacing w:after="0" w:line="240" w:lineRule="auto"/>
        <w:ind w:left="1080"/>
        <w:textAlignment w:val="baseline"/>
        <w:rPr>
          <w:rFonts w:eastAsia="Times New Roman" w:cstheme="minorHAnsi"/>
          <w:color w:val="CA0000"/>
          <w:lang w:val="en-PK" w:eastAsia="en-PK"/>
        </w:rPr>
      </w:pPr>
      <w:r w:rsidRPr="000F0BC2">
        <w:rPr>
          <w:rFonts w:eastAsia="Times New Roman" w:cstheme="minorHAnsi"/>
          <w:color w:val="000000"/>
          <w:bdr w:val="none" w:sz="0" w:space="0" w:color="auto" w:frame="1"/>
          <w:lang w:val="en-PK" w:eastAsia="en-PK"/>
        </w:rPr>
        <w:t>its fair value less costs of disposal (if measurable);</w:t>
      </w:r>
    </w:p>
    <w:p w14:paraId="45E223A4" w14:textId="77777777" w:rsidR="000F0BC2" w:rsidRPr="000F0BC2" w:rsidRDefault="000F0BC2" w:rsidP="000F0BC2">
      <w:pPr>
        <w:numPr>
          <w:ilvl w:val="0"/>
          <w:numId w:val="5"/>
        </w:numPr>
        <w:shd w:val="clear" w:color="auto" w:fill="FFFFFF"/>
        <w:spacing w:after="0" w:line="240" w:lineRule="auto"/>
        <w:ind w:left="1080"/>
        <w:textAlignment w:val="baseline"/>
        <w:rPr>
          <w:rFonts w:eastAsia="Times New Roman" w:cstheme="minorHAnsi"/>
          <w:color w:val="CA0000"/>
          <w:lang w:val="en-PK" w:eastAsia="en-PK"/>
        </w:rPr>
      </w:pPr>
      <w:r w:rsidRPr="000F0BC2">
        <w:rPr>
          <w:rFonts w:eastAsia="Times New Roman" w:cstheme="minorHAnsi"/>
          <w:color w:val="000000"/>
          <w:bdr w:val="none" w:sz="0" w:space="0" w:color="auto" w:frame="1"/>
          <w:lang w:val="en-PK" w:eastAsia="en-PK"/>
        </w:rPr>
        <w:t>its value in use (if determinable); and</w:t>
      </w:r>
    </w:p>
    <w:p w14:paraId="0F7E1E80" w14:textId="77777777" w:rsidR="000F0BC2" w:rsidRPr="000F0BC2" w:rsidRDefault="000F0BC2" w:rsidP="000F0BC2">
      <w:pPr>
        <w:numPr>
          <w:ilvl w:val="0"/>
          <w:numId w:val="5"/>
        </w:numPr>
        <w:shd w:val="clear" w:color="auto" w:fill="FFFFFF"/>
        <w:spacing w:after="0" w:line="240" w:lineRule="auto"/>
        <w:ind w:left="1080"/>
        <w:textAlignment w:val="baseline"/>
        <w:rPr>
          <w:rFonts w:eastAsia="Times New Roman" w:cstheme="minorHAnsi"/>
          <w:color w:val="CA0000"/>
          <w:lang w:val="en-PK" w:eastAsia="en-PK"/>
        </w:rPr>
      </w:pPr>
      <w:r w:rsidRPr="000F0BC2">
        <w:rPr>
          <w:rFonts w:eastAsia="Times New Roman" w:cstheme="minorHAnsi"/>
          <w:color w:val="000000"/>
          <w:bdr w:val="none" w:sz="0" w:space="0" w:color="auto" w:frame="1"/>
          <w:lang w:val="en-PK" w:eastAsia="en-PK"/>
        </w:rPr>
        <w:t>zero.</w:t>
      </w:r>
    </w:p>
    <w:p w14:paraId="6A29DEA9" w14:textId="77777777" w:rsidR="000F0BC2" w:rsidRPr="000F0BC2" w:rsidRDefault="000F0BC2" w:rsidP="000F0BC2">
      <w:pPr>
        <w:shd w:val="clear" w:color="auto" w:fill="FFFFFF"/>
        <w:spacing w:after="0" w:line="240" w:lineRule="auto"/>
        <w:textAlignment w:val="baseline"/>
        <w:rPr>
          <w:rFonts w:eastAsia="Times New Roman" w:cstheme="minorHAnsi"/>
          <w:color w:val="CA0000"/>
          <w:lang w:val="en-PK" w:eastAsia="en-PK"/>
        </w:rPr>
      </w:pPr>
    </w:p>
    <w:p w14:paraId="4DF51973" w14:textId="77777777" w:rsidR="001D1B64" w:rsidRDefault="001D1B64" w:rsidP="001D1B64">
      <w:pPr>
        <w:rPr>
          <w:rFonts w:cstheme="minorHAnsi"/>
          <w:color w:val="000000"/>
          <w:shd w:val="clear" w:color="auto" w:fill="FFFFFF"/>
        </w:rPr>
      </w:pPr>
      <w:r w:rsidRPr="001D1B64">
        <w:rPr>
          <w:rFonts w:cstheme="minorHAnsi"/>
          <w:color w:val="000000"/>
          <w:shd w:val="clear" w:color="auto" w:fill="FFFFFF"/>
        </w:rPr>
        <w:t>The amount of the impairment loss which would otherwise have been allocated to the asset should be allocated to the other assets of the unit on a pro rata basis.</w:t>
      </w:r>
    </w:p>
    <w:p w14:paraId="4B0AD623" w14:textId="1B274E57" w:rsidR="001D1B64" w:rsidRPr="001D1B64" w:rsidRDefault="001D1B64" w:rsidP="001D1B64">
      <w:pPr>
        <w:rPr>
          <w:rFonts w:cstheme="minorHAnsi"/>
          <w:color w:val="000000"/>
          <w:shd w:val="clear" w:color="auto" w:fill="FFFFFF"/>
          <w:lang w:val="en-US"/>
        </w:rPr>
      </w:pPr>
      <w:r w:rsidRPr="001D1B64">
        <w:rPr>
          <w:rFonts w:cstheme="minorHAnsi"/>
          <w:color w:val="CA0000"/>
        </w:rPr>
        <w:t>Activity 1 Impairment Loss – Part 1</w:t>
      </w:r>
    </w:p>
    <w:p w14:paraId="79C5E623" w14:textId="77777777" w:rsidR="001D1B64" w:rsidRPr="001D1B64" w:rsidRDefault="001D1B64" w:rsidP="001D1B64">
      <w:pPr>
        <w:pStyle w:val="NormalWeb"/>
        <w:spacing w:before="0" w:beforeAutospacing="0" w:after="150" w:afterAutospacing="0"/>
        <w:textAlignment w:val="baseline"/>
        <w:rPr>
          <w:rFonts w:asciiTheme="minorHAnsi" w:hAnsiTheme="minorHAnsi" w:cstheme="minorHAnsi"/>
          <w:color w:val="000000"/>
          <w:sz w:val="22"/>
          <w:szCs w:val="22"/>
        </w:rPr>
      </w:pPr>
      <w:r w:rsidRPr="001D1B64">
        <w:rPr>
          <w:rFonts w:asciiTheme="minorHAnsi" w:hAnsiTheme="minorHAnsi" w:cstheme="minorHAnsi"/>
          <w:color w:val="000000"/>
          <w:sz w:val="22"/>
          <w:szCs w:val="22"/>
        </w:rPr>
        <w:t>At 1 January, Aldan Co paid $600,000 to gain control of an unincorporated business whose main activity consists of refuse collection. The acquired business has since been identified as a CGU of Aldan Co. It owns four refuse collection vehicles and a local government licence, without which it could not operate. At 1 January, the fair value of each lorry and of the licence was $100,000. On 1 February, one lorry crashed and is a write-off. Aldan Co has not yet included the acquired lorries in its insurance cover. Because of its reduced capacity, Aldan Co estimates the recoverable amount of the acquired business at $450,000.</w:t>
      </w:r>
    </w:p>
    <w:p w14:paraId="74B8E1C5" w14:textId="3D633212" w:rsidR="001D1B64" w:rsidRPr="001D1B64" w:rsidRDefault="001D1B64" w:rsidP="001D1B64">
      <w:pPr>
        <w:pStyle w:val="NormalWeb"/>
        <w:spacing w:before="0" w:beforeAutospacing="0" w:after="0" w:afterAutospacing="0"/>
        <w:textAlignment w:val="baseline"/>
        <w:rPr>
          <w:rFonts w:asciiTheme="minorHAnsi" w:hAnsiTheme="minorHAnsi" w:cstheme="minorHAnsi"/>
          <w:color w:val="000000"/>
          <w:sz w:val="22"/>
          <w:szCs w:val="22"/>
        </w:rPr>
      </w:pPr>
      <w:r w:rsidRPr="001D1B64">
        <w:rPr>
          <w:rStyle w:val="acca-red"/>
          <w:rFonts w:asciiTheme="minorHAnsi" w:eastAsiaTheme="majorEastAsia" w:hAnsiTheme="minorHAnsi" w:cstheme="minorHAnsi"/>
          <w:b/>
          <w:bCs/>
          <w:color w:val="000000"/>
          <w:sz w:val="22"/>
          <w:szCs w:val="22"/>
          <w:bdr w:val="none" w:sz="0" w:space="0" w:color="auto" w:frame="1"/>
        </w:rPr>
        <w:t>Required</w:t>
      </w:r>
    </w:p>
    <w:p w14:paraId="73BA464A" w14:textId="77777777" w:rsidR="001D1B64" w:rsidRPr="001D1B64" w:rsidRDefault="001D1B64" w:rsidP="001D1B64">
      <w:pPr>
        <w:pStyle w:val="NormalWeb"/>
        <w:spacing w:before="0" w:beforeAutospacing="0" w:after="0" w:afterAutospacing="0"/>
        <w:textAlignment w:val="baseline"/>
        <w:rPr>
          <w:rFonts w:asciiTheme="minorHAnsi" w:hAnsiTheme="minorHAnsi" w:cstheme="minorHAnsi"/>
          <w:color w:val="000000"/>
          <w:sz w:val="22"/>
          <w:szCs w:val="22"/>
        </w:rPr>
      </w:pPr>
      <w:r w:rsidRPr="001D1B64">
        <w:rPr>
          <w:rStyle w:val="Strong"/>
          <w:rFonts w:asciiTheme="minorHAnsi" w:hAnsiTheme="minorHAnsi" w:cstheme="minorHAnsi"/>
          <w:color w:val="000000"/>
          <w:sz w:val="22"/>
          <w:szCs w:val="22"/>
          <w:bdr w:val="none" w:sz="0" w:space="0" w:color="auto" w:frame="1"/>
        </w:rPr>
        <w:t>Discuss how Aldan should apply the requirements of IAS 36 to the business.</w:t>
      </w:r>
    </w:p>
    <w:p w14:paraId="4C276B4F" w14:textId="03585324" w:rsidR="001D1B64" w:rsidRPr="001D1B64" w:rsidRDefault="001D1B64" w:rsidP="001D1B64">
      <w:pPr>
        <w:pStyle w:val="NormalWeb"/>
        <w:spacing w:before="0" w:beforeAutospacing="0" w:after="0" w:afterAutospacing="0"/>
        <w:textAlignment w:val="baseline"/>
        <w:rPr>
          <w:rFonts w:asciiTheme="minorHAnsi" w:hAnsiTheme="minorHAnsi" w:cstheme="minorHAnsi"/>
          <w:color w:val="000000"/>
          <w:sz w:val="22"/>
          <w:szCs w:val="22"/>
        </w:rPr>
      </w:pPr>
    </w:p>
    <w:p w14:paraId="1F4C9B3B" w14:textId="77777777" w:rsidR="001D1B64" w:rsidRPr="001D1B64" w:rsidRDefault="001D1B64" w:rsidP="001D1B64">
      <w:pPr>
        <w:pStyle w:val="NormalWeb"/>
        <w:shd w:val="clear" w:color="auto" w:fill="DCDDDD"/>
        <w:spacing w:before="0" w:beforeAutospacing="0" w:after="0" w:afterAutospacing="0"/>
        <w:textAlignment w:val="baseline"/>
        <w:rPr>
          <w:rFonts w:asciiTheme="minorHAnsi" w:hAnsiTheme="minorHAnsi" w:cstheme="minorHAnsi"/>
          <w:color w:val="000000"/>
          <w:sz w:val="22"/>
          <w:szCs w:val="22"/>
        </w:rPr>
      </w:pPr>
      <w:r w:rsidRPr="001D1B64">
        <w:rPr>
          <w:rFonts w:asciiTheme="minorHAnsi" w:hAnsiTheme="minorHAnsi" w:cstheme="minorHAnsi"/>
          <w:color w:val="000000"/>
          <w:sz w:val="22"/>
          <w:szCs w:val="22"/>
        </w:rPr>
        <w:t xml:space="preserve">Aldan acquired the business on 1 January and should apply IFRS 3 Business Combinations to the acquisition. As a </w:t>
      </w:r>
      <w:proofErr w:type="gramStart"/>
      <w:r w:rsidRPr="001D1B64">
        <w:rPr>
          <w:rFonts w:asciiTheme="minorHAnsi" w:hAnsiTheme="minorHAnsi" w:cstheme="minorHAnsi"/>
          <w:color w:val="000000"/>
          <w:sz w:val="22"/>
          <w:szCs w:val="22"/>
        </w:rPr>
        <w:t>result</w:t>
      </w:r>
      <w:proofErr w:type="gramEnd"/>
      <w:r w:rsidRPr="001D1B64">
        <w:rPr>
          <w:rFonts w:asciiTheme="minorHAnsi" w:hAnsiTheme="minorHAnsi" w:cstheme="minorHAnsi"/>
          <w:color w:val="000000"/>
          <w:sz w:val="22"/>
          <w:szCs w:val="22"/>
        </w:rPr>
        <w:t xml:space="preserve"> the four lorries and the licence are each initially recognised in Aldan’s financial statements at their fair values of $100,000. The consideration of $600,000 exceeds the fair value of assets acquired of $500,000 by $100,000, and this amount is recognised by Aldan as goodwill.</w:t>
      </w:r>
    </w:p>
    <w:p w14:paraId="58EBDEA1" w14:textId="77777777" w:rsidR="001D1B64" w:rsidRPr="001D1B64" w:rsidRDefault="001D1B64" w:rsidP="001D1B64">
      <w:pPr>
        <w:pStyle w:val="NormalWeb"/>
        <w:shd w:val="clear" w:color="auto" w:fill="DCDDDD"/>
        <w:spacing w:before="0" w:beforeAutospacing="0" w:after="0" w:afterAutospacing="0"/>
        <w:textAlignment w:val="baseline"/>
        <w:rPr>
          <w:rFonts w:asciiTheme="minorHAnsi" w:hAnsiTheme="minorHAnsi" w:cstheme="minorHAnsi"/>
          <w:color w:val="000000"/>
          <w:sz w:val="22"/>
          <w:szCs w:val="22"/>
        </w:rPr>
      </w:pPr>
      <w:r w:rsidRPr="001D1B64">
        <w:rPr>
          <w:rFonts w:asciiTheme="minorHAnsi" w:hAnsiTheme="minorHAnsi" w:cstheme="minorHAnsi"/>
          <w:color w:val="000000"/>
          <w:sz w:val="22"/>
          <w:szCs w:val="22"/>
        </w:rPr>
        <w:t xml:space="preserve">The crash a month after the acquisition of the business is an indicator that one lorry is impaired. The lorry is a write off and its recoverable amount is nil. </w:t>
      </w:r>
      <w:proofErr w:type="gramStart"/>
      <w:r w:rsidRPr="001D1B64">
        <w:rPr>
          <w:rFonts w:asciiTheme="minorHAnsi" w:hAnsiTheme="minorHAnsi" w:cstheme="minorHAnsi"/>
          <w:color w:val="000000"/>
          <w:sz w:val="22"/>
          <w:szCs w:val="22"/>
        </w:rPr>
        <w:t>Therefore</w:t>
      </w:r>
      <w:proofErr w:type="gramEnd"/>
      <w:r w:rsidRPr="001D1B64">
        <w:rPr>
          <w:rFonts w:asciiTheme="minorHAnsi" w:hAnsiTheme="minorHAnsi" w:cstheme="minorHAnsi"/>
          <w:color w:val="000000"/>
          <w:sz w:val="22"/>
          <w:szCs w:val="22"/>
        </w:rPr>
        <w:t xml:space="preserve"> assuming that depreciation since acquisition is negligible, an impairment loss of $100,000 is recognised in profit or loss.</w:t>
      </w:r>
    </w:p>
    <w:tbl>
      <w:tblPr>
        <w:tblpPr w:leftFromText="180" w:rightFromText="180" w:vertAnchor="text" w:horzAnchor="margin" w:tblpXSpec="center" w:tblpY="2011"/>
        <w:tblW w:w="7493" w:type="dxa"/>
        <w:tblCellMar>
          <w:left w:w="0" w:type="dxa"/>
          <w:right w:w="0" w:type="dxa"/>
        </w:tblCellMar>
        <w:tblLook w:val="04A0" w:firstRow="1" w:lastRow="0" w:firstColumn="1" w:lastColumn="0" w:noHBand="0" w:noVBand="1"/>
      </w:tblPr>
      <w:tblGrid>
        <w:gridCol w:w="2105"/>
        <w:gridCol w:w="1498"/>
        <w:gridCol w:w="2278"/>
        <w:gridCol w:w="1612"/>
      </w:tblGrid>
      <w:tr w:rsidR="001D1B64" w:rsidRPr="001D1B64" w14:paraId="0AC142BC" w14:textId="77777777" w:rsidTr="001D1B64">
        <w:trPr>
          <w:trHeight w:val="342"/>
        </w:trPr>
        <w:tc>
          <w:tcPr>
            <w:tcW w:w="0" w:type="auto"/>
            <w:tcBorders>
              <w:top w:val="nil"/>
              <w:left w:val="nil"/>
              <w:bottom w:val="nil"/>
              <w:right w:val="nil"/>
            </w:tcBorders>
            <w:tcMar>
              <w:top w:w="0" w:type="dxa"/>
              <w:left w:w="120" w:type="dxa"/>
              <w:bottom w:w="0" w:type="dxa"/>
              <w:right w:w="120" w:type="dxa"/>
            </w:tcMar>
            <w:vAlign w:val="bottom"/>
            <w:hideMark/>
          </w:tcPr>
          <w:p w14:paraId="699FC1A3" w14:textId="77777777" w:rsidR="001D1B64" w:rsidRPr="001D1B64" w:rsidRDefault="001D1B64" w:rsidP="001D1B64">
            <w:pPr>
              <w:rPr>
                <w:rFonts w:ascii="Arial" w:hAnsi="Arial" w:cs="Arial"/>
                <w:color w:val="000000"/>
              </w:rPr>
            </w:pPr>
            <w:r w:rsidRPr="001D1B64">
              <w:rPr>
                <w:rFonts w:ascii="Arial" w:hAnsi="Arial" w:cs="Arial"/>
                <w:color w:val="000000"/>
              </w:rPr>
              <w:t>$000</w:t>
            </w:r>
          </w:p>
        </w:tc>
        <w:tc>
          <w:tcPr>
            <w:tcW w:w="0" w:type="auto"/>
            <w:tcBorders>
              <w:top w:val="nil"/>
              <w:left w:val="nil"/>
              <w:bottom w:val="nil"/>
              <w:right w:val="nil"/>
            </w:tcBorders>
            <w:tcMar>
              <w:top w:w="0" w:type="dxa"/>
              <w:left w:w="120" w:type="dxa"/>
              <w:bottom w:w="60" w:type="dxa"/>
              <w:right w:w="120" w:type="dxa"/>
            </w:tcMar>
            <w:vAlign w:val="bottom"/>
            <w:hideMark/>
          </w:tcPr>
          <w:p w14:paraId="30D46B06" w14:textId="77777777" w:rsidR="001D1B64" w:rsidRPr="001D1B64" w:rsidRDefault="001D1B64" w:rsidP="001D1B64">
            <w:pPr>
              <w:jc w:val="right"/>
              <w:rPr>
                <w:rFonts w:ascii="Arial" w:hAnsi="Arial" w:cs="Arial"/>
                <w:color w:val="000000"/>
              </w:rPr>
            </w:pPr>
            <w:r w:rsidRPr="001D1B64">
              <w:rPr>
                <w:rStyle w:val="Strong"/>
                <w:rFonts w:ascii="Arial" w:hAnsi="Arial" w:cs="Arial"/>
                <w:color w:val="000000"/>
                <w:bdr w:val="none" w:sz="0" w:space="0" w:color="auto" w:frame="1"/>
              </w:rPr>
              <w:t>1 January</w:t>
            </w:r>
          </w:p>
        </w:tc>
        <w:tc>
          <w:tcPr>
            <w:tcW w:w="0" w:type="auto"/>
            <w:tcBorders>
              <w:top w:val="nil"/>
              <w:left w:val="nil"/>
              <w:bottom w:val="nil"/>
              <w:right w:val="nil"/>
            </w:tcBorders>
            <w:tcMar>
              <w:top w:w="0" w:type="dxa"/>
              <w:left w:w="120" w:type="dxa"/>
              <w:bottom w:w="60" w:type="dxa"/>
              <w:right w:w="120" w:type="dxa"/>
            </w:tcMar>
            <w:vAlign w:val="bottom"/>
            <w:hideMark/>
          </w:tcPr>
          <w:p w14:paraId="601A92BB" w14:textId="77777777" w:rsidR="001D1B64" w:rsidRPr="001D1B64" w:rsidRDefault="001D1B64" w:rsidP="001D1B64">
            <w:pPr>
              <w:jc w:val="right"/>
              <w:rPr>
                <w:rFonts w:ascii="Arial" w:hAnsi="Arial" w:cs="Arial"/>
                <w:color w:val="000000"/>
              </w:rPr>
            </w:pPr>
            <w:r w:rsidRPr="001D1B64">
              <w:rPr>
                <w:rStyle w:val="Strong"/>
                <w:rFonts w:ascii="Arial" w:hAnsi="Arial" w:cs="Arial"/>
                <w:color w:val="000000"/>
                <w:bdr w:val="none" w:sz="0" w:space="0" w:color="auto" w:frame="1"/>
              </w:rPr>
              <w:t>Impairment loss</w:t>
            </w:r>
          </w:p>
        </w:tc>
        <w:tc>
          <w:tcPr>
            <w:tcW w:w="0" w:type="auto"/>
            <w:tcBorders>
              <w:top w:val="nil"/>
              <w:left w:val="nil"/>
              <w:bottom w:val="nil"/>
              <w:right w:val="nil"/>
            </w:tcBorders>
            <w:tcMar>
              <w:top w:w="0" w:type="dxa"/>
              <w:left w:w="120" w:type="dxa"/>
              <w:bottom w:w="60" w:type="dxa"/>
              <w:right w:w="120" w:type="dxa"/>
            </w:tcMar>
            <w:vAlign w:val="bottom"/>
            <w:hideMark/>
          </w:tcPr>
          <w:p w14:paraId="767BE9B2" w14:textId="77777777" w:rsidR="001D1B64" w:rsidRPr="001D1B64" w:rsidRDefault="001D1B64" w:rsidP="001D1B64">
            <w:pPr>
              <w:jc w:val="right"/>
              <w:rPr>
                <w:rFonts w:ascii="Arial" w:hAnsi="Arial" w:cs="Arial"/>
                <w:color w:val="000000"/>
              </w:rPr>
            </w:pPr>
            <w:r w:rsidRPr="001D1B64">
              <w:rPr>
                <w:rStyle w:val="Strong"/>
                <w:rFonts w:ascii="Arial" w:hAnsi="Arial" w:cs="Arial"/>
                <w:color w:val="000000"/>
                <w:bdr w:val="none" w:sz="0" w:space="0" w:color="auto" w:frame="1"/>
              </w:rPr>
              <w:t>1 February</w:t>
            </w:r>
          </w:p>
        </w:tc>
      </w:tr>
      <w:tr w:rsidR="001D1B64" w:rsidRPr="001D1B64" w14:paraId="3347D3CC" w14:textId="77777777" w:rsidTr="001D1B64">
        <w:trPr>
          <w:trHeight w:val="355"/>
        </w:trPr>
        <w:tc>
          <w:tcPr>
            <w:tcW w:w="0" w:type="auto"/>
            <w:tcBorders>
              <w:top w:val="nil"/>
              <w:left w:val="nil"/>
              <w:bottom w:val="nil"/>
              <w:right w:val="nil"/>
            </w:tcBorders>
            <w:tcMar>
              <w:top w:w="0" w:type="dxa"/>
              <w:left w:w="120" w:type="dxa"/>
              <w:bottom w:w="0" w:type="dxa"/>
              <w:right w:w="120" w:type="dxa"/>
            </w:tcMar>
            <w:vAlign w:val="bottom"/>
            <w:hideMark/>
          </w:tcPr>
          <w:p w14:paraId="3329DD85" w14:textId="77777777" w:rsidR="001D1B64" w:rsidRPr="001D1B64" w:rsidRDefault="001D1B64" w:rsidP="001D1B64">
            <w:pPr>
              <w:rPr>
                <w:rFonts w:ascii="Arial" w:hAnsi="Arial" w:cs="Arial"/>
                <w:color w:val="000000"/>
              </w:rPr>
            </w:pPr>
            <w:r w:rsidRPr="001D1B64">
              <w:rPr>
                <w:rFonts w:ascii="Arial" w:hAnsi="Arial" w:cs="Arial"/>
                <w:color w:val="000000"/>
              </w:rPr>
              <w:t>Goodwill</w:t>
            </w:r>
          </w:p>
        </w:tc>
        <w:tc>
          <w:tcPr>
            <w:tcW w:w="0" w:type="auto"/>
            <w:tcBorders>
              <w:top w:val="nil"/>
              <w:left w:val="nil"/>
              <w:bottom w:val="nil"/>
              <w:right w:val="nil"/>
            </w:tcBorders>
            <w:tcMar>
              <w:top w:w="0" w:type="dxa"/>
              <w:left w:w="120" w:type="dxa"/>
              <w:bottom w:w="60" w:type="dxa"/>
              <w:right w:w="120" w:type="dxa"/>
            </w:tcMar>
            <w:vAlign w:val="bottom"/>
            <w:hideMark/>
          </w:tcPr>
          <w:p w14:paraId="68240C22" w14:textId="77777777" w:rsidR="001D1B64" w:rsidRPr="001D1B64" w:rsidRDefault="001D1B64" w:rsidP="001D1B64">
            <w:pPr>
              <w:jc w:val="right"/>
              <w:rPr>
                <w:rFonts w:ascii="Arial" w:hAnsi="Arial" w:cs="Arial"/>
                <w:color w:val="000000"/>
              </w:rPr>
            </w:pPr>
            <w:r w:rsidRPr="001D1B64">
              <w:rPr>
                <w:rFonts w:ascii="Arial" w:hAnsi="Arial" w:cs="Arial"/>
                <w:color w:val="000000"/>
              </w:rPr>
              <w:t>100</w:t>
            </w:r>
          </w:p>
        </w:tc>
        <w:tc>
          <w:tcPr>
            <w:tcW w:w="0" w:type="auto"/>
            <w:tcBorders>
              <w:top w:val="nil"/>
              <w:left w:val="nil"/>
              <w:bottom w:val="nil"/>
              <w:right w:val="nil"/>
            </w:tcBorders>
            <w:tcMar>
              <w:top w:w="0" w:type="dxa"/>
              <w:left w:w="120" w:type="dxa"/>
              <w:bottom w:w="60" w:type="dxa"/>
              <w:right w:w="120" w:type="dxa"/>
            </w:tcMar>
            <w:vAlign w:val="bottom"/>
            <w:hideMark/>
          </w:tcPr>
          <w:p w14:paraId="49F265DE" w14:textId="77777777" w:rsidR="001D1B64" w:rsidRPr="001D1B64" w:rsidRDefault="001D1B64" w:rsidP="001D1B64">
            <w:pPr>
              <w:jc w:val="right"/>
              <w:rPr>
                <w:rFonts w:ascii="Arial" w:hAnsi="Arial" w:cs="Arial"/>
                <w:color w:val="000000"/>
              </w:rPr>
            </w:pPr>
            <w:r w:rsidRPr="001D1B64">
              <w:rPr>
                <w:rFonts w:ascii="Arial" w:hAnsi="Arial" w:cs="Arial"/>
                <w:color w:val="000000"/>
              </w:rPr>
              <w:t>(50)</w:t>
            </w:r>
          </w:p>
        </w:tc>
        <w:tc>
          <w:tcPr>
            <w:tcW w:w="0" w:type="auto"/>
            <w:tcBorders>
              <w:top w:val="nil"/>
              <w:left w:val="nil"/>
              <w:bottom w:val="nil"/>
              <w:right w:val="nil"/>
            </w:tcBorders>
            <w:tcMar>
              <w:top w:w="0" w:type="dxa"/>
              <w:left w:w="120" w:type="dxa"/>
              <w:bottom w:w="60" w:type="dxa"/>
              <w:right w:w="120" w:type="dxa"/>
            </w:tcMar>
            <w:vAlign w:val="bottom"/>
            <w:hideMark/>
          </w:tcPr>
          <w:p w14:paraId="733AD69A" w14:textId="77777777" w:rsidR="001D1B64" w:rsidRPr="001D1B64" w:rsidRDefault="001D1B64" w:rsidP="001D1B64">
            <w:pPr>
              <w:jc w:val="right"/>
              <w:rPr>
                <w:rFonts w:ascii="Arial" w:hAnsi="Arial" w:cs="Arial"/>
                <w:color w:val="000000"/>
              </w:rPr>
            </w:pPr>
            <w:r w:rsidRPr="001D1B64">
              <w:rPr>
                <w:rFonts w:ascii="Arial" w:hAnsi="Arial" w:cs="Arial"/>
                <w:color w:val="000000"/>
              </w:rPr>
              <w:t>50</w:t>
            </w:r>
          </w:p>
        </w:tc>
      </w:tr>
      <w:tr w:rsidR="001D1B64" w:rsidRPr="001D1B64" w14:paraId="506C017F" w14:textId="77777777" w:rsidTr="001D1B64">
        <w:trPr>
          <w:trHeight w:val="342"/>
        </w:trPr>
        <w:tc>
          <w:tcPr>
            <w:tcW w:w="0" w:type="auto"/>
            <w:tcBorders>
              <w:top w:val="nil"/>
              <w:left w:val="nil"/>
              <w:bottom w:val="nil"/>
              <w:right w:val="nil"/>
            </w:tcBorders>
            <w:tcMar>
              <w:top w:w="0" w:type="dxa"/>
              <w:left w:w="120" w:type="dxa"/>
              <w:bottom w:w="0" w:type="dxa"/>
              <w:right w:w="120" w:type="dxa"/>
            </w:tcMar>
            <w:vAlign w:val="bottom"/>
            <w:hideMark/>
          </w:tcPr>
          <w:p w14:paraId="65950AB4" w14:textId="77777777" w:rsidR="001D1B64" w:rsidRPr="001D1B64" w:rsidRDefault="001D1B64" w:rsidP="001D1B64">
            <w:pPr>
              <w:rPr>
                <w:rFonts w:ascii="Arial" w:hAnsi="Arial" w:cs="Arial"/>
                <w:color w:val="000000"/>
              </w:rPr>
            </w:pPr>
            <w:r w:rsidRPr="001D1B64">
              <w:rPr>
                <w:rFonts w:ascii="Arial" w:hAnsi="Arial" w:cs="Arial"/>
                <w:color w:val="000000"/>
              </w:rPr>
              <w:t>Intangible asset</w:t>
            </w:r>
          </w:p>
        </w:tc>
        <w:tc>
          <w:tcPr>
            <w:tcW w:w="0" w:type="auto"/>
            <w:tcBorders>
              <w:top w:val="nil"/>
              <w:left w:val="nil"/>
              <w:bottom w:val="nil"/>
              <w:right w:val="nil"/>
            </w:tcBorders>
            <w:tcMar>
              <w:top w:w="0" w:type="dxa"/>
              <w:left w:w="120" w:type="dxa"/>
              <w:bottom w:w="60" w:type="dxa"/>
              <w:right w:w="120" w:type="dxa"/>
            </w:tcMar>
            <w:vAlign w:val="bottom"/>
            <w:hideMark/>
          </w:tcPr>
          <w:p w14:paraId="21C8942D" w14:textId="77777777" w:rsidR="001D1B64" w:rsidRPr="001D1B64" w:rsidRDefault="001D1B64" w:rsidP="001D1B64">
            <w:pPr>
              <w:jc w:val="right"/>
              <w:rPr>
                <w:rFonts w:ascii="Arial" w:hAnsi="Arial" w:cs="Arial"/>
                <w:color w:val="000000"/>
              </w:rPr>
            </w:pPr>
            <w:r w:rsidRPr="001D1B64">
              <w:rPr>
                <w:rFonts w:ascii="Arial" w:hAnsi="Arial" w:cs="Arial"/>
                <w:color w:val="000000"/>
              </w:rPr>
              <w:t>100</w:t>
            </w:r>
          </w:p>
        </w:tc>
        <w:tc>
          <w:tcPr>
            <w:tcW w:w="0" w:type="auto"/>
            <w:tcBorders>
              <w:top w:val="nil"/>
              <w:left w:val="nil"/>
              <w:bottom w:val="nil"/>
              <w:right w:val="nil"/>
            </w:tcBorders>
            <w:tcMar>
              <w:top w:w="0" w:type="dxa"/>
              <w:left w:w="120" w:type="dxa"/>
              <w:bottom w:w="60" w:type="dxa"/>
              <w:right w:w="120" w:type="dxa"/>
            </w:tcMar>
            <w:vAlign w:val="bottom"/>
            <w:hideMark/>
          </w:tcPr>
          <w:p w14:paraId="26E954B2" w14:textId="77777777" w:rsidR="001D1B64" w:rsidRPr="001D1B64" w:rsidRDefault="001D1B64" w:rsidP="001D1B64">
            <w:pPr>
              <w:jc w:val="right"/>
              <w:rPr>
                <w:rFonts w:ascii="Arial" w:hAnsi="Arial" w:cs="Arial"/>
                <w:color w:val="000000"/>
              </w:rPr>
            </w:pPr>
            <w:r w:rsidRPr="001D1B64">
              <w:rPr>
                <w:rFonts w:ascii="Arial" w:hAnsi="Arial" w:cs="Arial"/>
                <w:color w:val="000000"/>
              </w:rPr>
              <w:t>–</w:t>
            </w:r>
          </w:p>
        </w:tc>
        <w:tc>
          <w:tcPr>
            <w:tcW w:w="0" w:type="auto"/>
            <w:tcBorders>
              <w:top w:val="nil"/>
              <w:left w:val="nil"/>
              <w:bottom w:val="nil"/>
              <w:right w:val="nil"/>
            </w:tcBorders>
            <w:tcMar>
              <w:top w:w="0" w:type="dxa"/>
              <w:left w:w="120" w:type="dxa"/>
              <w:bottom w:w="60" w:type="dxa"/>
              <w:right w:w="120" w:type="dxa"/>
            </w:tcMar>
            <w:vAlign w:val="bottom"/>
            <w:hideMark/>
          </w:tcPr>
          <w:p w14:paraId="6062FC0A" w14:textId="77777777" w:rsidR="001D1B64" w:rsidRPr="001D1B64" w:rsidRDefault="001D1B64" w:rsidP="001D1B64">
            <w:pPr>
              <w:jc w:val="right"/>
              <w:rPr>
                <w:rFonts w:ascii="Arial" w:hAnsi="Arial" w:cs="Arial"/>
                <w:color w:val="000000"/>
              </w:rPr>
            </w:pPr>
            <w:r w:rsidRPr="001D1B64">
              <w:rPr>
                <w:rFonts w:ascii="Arial" w:hAnsi="Arial" w:cs="Arial"/>
                <w:color w:val="000000"/>
              </w:rPr>
              <w:t>100</w:t>
            </w:r>
          </w:p>
        </w:tc>
      </w:tr>
      <w:tr w:rsidR="001D1B64" w:rsidRPr="001D1B64" w14:paraId="04680109" w14:textId="77777777" w:rsidTr="001D1B64">
        <w:trPr>
          <w:trHeight w:val="355"/>
        </w:trPr>
        <w:tc>
          <w:tcPr>
            <w:tcW w:w="0" w:type="auto"/>
            <w:tcBorders>
              <w:top w:val="nil"/>
              <w:left w:val="nil"/>
              <w:bottom w:val="nil"/>
              <w:right w:val="nil"/>
            </w:tcBorders>
            <w:tcMar>
              <w:top w:w="0" w:type="dxa"/>
              <w:left w:w="120" w:type="dxa"/>
              <w:bottom w:w="0" w:type="dxa"/>
              <w:right w:w="120" w:type="dxa"/>
            </w:tcMar>
            <w:vAlign w:val="bottom"/>
            <w:hideMark/>
          </w:tcPr>
          <w:p w14:paraId="5A823442" w14:textId="77777777" w:rsidR="001D1B64" w:rsidRPr="001D1B64" w:rsidRDefault="001D1B64" w:rsidP="001D1B64">
            <w:pPr>
              <w:rPr>
                <w:rFonts w:ascii="Arial" w:hAnsi="Arial" w:cs="Arial"/>
                <w:color w:val="000000"/>
              </w:rPr>
            </w:pPr>
            <w:r w:rsidRPr="001D1B64">
              <w:rPr>
                <w:rFonts w:ascii="Arial" w:hAnsi="Arial" w:cs="Arial"/>
                <w:color w:val="000000"/>
              </w:rPr>
              <w:t>Lorries</w:t>
            </w: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501BC0FC" w14:textId="77777777" w:rsidR="001D1B64" w:rsidRPr="001D1B64" w:rsidRDefault="001D1B64" w:rsidP="001D1B64">
            <w:pPr>
              <w:jc w:val="right"/>
              <w:rPr>
                <w:rFonts w:ascii="Arial" w:hAnsi="Arial" w:cs="Arial"/>
                <w:color w:val="000000"/>
              </w:rPr>
            </w:pPr>
            <w:r w:rsidRPr="001D1B64">
              <w:rPr>
                <w:rFonts w:ascii="Arial" w:hAnsi="Arial" w:cs="Arial"/>
                <w:color w:val="000000"/>
              </w:rPr>
              <w:t>300</w:t>
            </w: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53C76ACC" w14:textId="77777777" w:rsidR="001D1B64" w:rsidRPr="001D1B64" w:rsidRDefault="001D1B64" w:rsidP="001D1B64">
            <w:pPr>
              <w:jc w:val="right"/>
              <w:rPr>
                <w:rFonts w:ascii="Arial" w:hAnsi="Arial" w:cs="Arial"/>
                <w:color w:val="000000"/>
              </w:rPr>
            </w:pP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2458F97D" w14:textId="77777777" w:rsidR="001D1B64" w:rsidRPr="001D1B64" w:rsidRDefault="001D1B64" w:rsidP="001D1B64">
            <w:pPr>
              <w:jc w:val="right"/>
              <w:rPr>
                <w:rFonts w:ascii="Arial" w:hAnsi="Arial" w:cs="Arial"/>
                <w:color w:val="000000"/>
              </w:rPr>
            </w:pPr>
            <w:r w:rsidRPr="001D1B64">
              <w:rPr>
                <w:rFonts w:ascii="Arial" w:hAnsi="Arial" w:cs="Arial"/>
                <w:color w:val="000000"/>
              </w:rPr>
              <w:t>300</w:t>
            </w:r>
          </w:p>
        </w:tc>
      </w:tr>
      <w:tr w:rsidR="001D1B64" w:rsidRPr="001D1B64" w14:paraId="47924CC3" w14:textId="77777777" w:rsidTr="001D1B64">
        <w:trPr>
          <w:trHeight w:val="355"/>
        </w:trPr>
        <w:tc>
          <w:tcPr>
            <w:tcW w:w="0" w:type="auto"/>
            <w:tcBorders>
              <w:top w:val="nil"/>
              <w:left w:val="nil"/>
              <w:bottom w:val="nil"/>
              <w:right w:val="nil"/>
            </w:tcBorders>
            <w:tcMar>
              <w:top w:w="0" w:type="dxa"/>
              <w:left w:w="120" w:type="dxa"/>
              <w:bottom w:w="0" w:type="dxa"/>
              <w:right w:w="120" w:type="dxa"/>
            </w:tcMar>
            <w:vAlign w:val="bottom"/>
            <w:hideMark/>
          </w:tcPr>
          <w:p w14:paraId="24FC7AD5" w14:textId="77777777" w:rsidR="001D1B64" w:rsidRPr="001D1B64" w:rsidRDefault="001D1B64" w:rsidP="001D1B64">
            <w:pPr>
              <w:jc w:val="right"/>
              <w:rPr>
                <w:rFonts w:ascii="Arial" w:hAnsi="Arial" w:cs="Arial"/>
                <w:color w:val="000000"/>
              </w:rPr>
            </w:pP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0500F894" w14:textId="77777777" w:rsidR="001D1B64" w:rsidRPr="001D1B64" w:rsidRDefault="001D1B64" w:rsidP="001D1B64">
            <w:pPr>
              <w:jc w:val="right"/>
              <w:rPr>
                <w:rFonts w:ascii="Arial" w:hAnsi="Arial" w:cs="Arial"/>
                <w:color w:val="000000"/>
              </w:rPr>
            </w:pPr>
            <w:r w:rsidRPr="001D1B64">
              <w:rPr>
                <w:rFonts w:ascii="Arial" w:hAnsi="Arial" w:cs="Arial"/>
                <w:color w:val="000000"/>
              </w:rPr>
              <w:t>500</w:t>
            </w: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114CE5EA" w14:textId="77777777" w:rsidR="001D1B64" w:rsidRPr="001D1B64" w:rsidRDefault="001D1B64" w:rsidP="001D1B64">
            <w:pPr>
              <w:jc w:val="right"/>
              <w:rPr>
                <w:rFonts w:ascii="Arial" w:hAnsi="Arial" w:cs="Arial"/>
                <w:color w:val="000000"/>
              </w:rPr>
            </w:pPr>
            <w:r w:rsidRPr="001D1B64">
              <w:rPr>
                <w:rFonts w:ascii="Arial" w:hAnsi="Arial" w:cs="Arial"/>
                <w:color w:val="000000"/>
              </w:rPr>
              <w:t>(50)</w:t>
            </w: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4E1CF290" w14:textId="77777777" w:rsidR="001D1B64" w:rsidRPr="001D1B64" w:rsidRDefault="001D1B64" w:rsidP="001D1B64">
            <w:pPr>
              <w:jc w:val="right"/>
              <w:rPr>
                <w:rFonts w:ascii="Arial" w:hAnsi="Arial" w:cs="Arial"/>
                <w:color w:val="000000"/>
              </w:rPr>
            </w:pPr>
            <w:r w:rsidRPr="001D1B64">
              <w:rPr>
                <w:rFonts w:ascii="Arial" w:hAnsi="Arial" w:cs="Arial"/>
                <w:color w:val="000000"/>
              </w:rPr>
              <w:t>450</w:t>
            </w:r>
          </w:p>
        </w:tc>
      </w:tr>
    </w:tbl>
    <w:p w14:paraId="6BC8A92B" w14:textId="77777777" w:rsidR="001D1B64" w:rsidRPr="001D1B64" w:rsidRDefault="001D1B64" w:rsidP="001D1B64">
      <w:pPr>
        <w:pStyle w:val="NormalWeb"/>
        <w:shd w:val="clear" w:color="auto" w:fill="DCDDDD"/>
        <w:spacing w:before="0" w:beforeAutospacing="0" w:after="0" w:afterAutospacing="0"/>
        <w:textAlignment w:val="baseline"/>
        <w:rPr>
          <w:rFonts w:asciiTheme="minorHAnsi" w:hAnsiTheme="minorHAnsi" w:cstheme="minorHAnsi"/>
          <w:color w:val="000000"/>
          <w:sz w:val="22"/>
          <w:szCs w:val="22"/>
        </w:rPr>
      </w:pPr>
      <w:r w:rsidRPr="001D1B64">
        <w:rPr>
          <w:rFonts w:asciiTheme="minorHAnsi" w:hAnsiTheme="minorHAnsi" w:cstheme="minorHAnsi"/>
          <w:color w:val="000000"/>
          <w:sz w:val="22"/>
          <w:szCs w:val="22"/>
        </w:rPr>
        <w:t xml:space="preserve">The reduced capacity of the acquired business is an indicator of impairment of the CGU as a whole and therefore a further impairment test is conducted for the business. The carrying amount after writing off one lorry is $500,000 ($300,000 lorries plus $100,000 licence plus $100,000 goodwill) and the recoverable amount is $450,000. </w:t>
      </w:r>
      <w:proofErr w:type="gramStart"/>
      <w:r w:rsidRPr="001D1B64">
        <w:rPr>
          <w:rFonts w:asciiTheme="minorHAnsi" w:hAnsiTheme="minorHAnsi" w:cstheme="minorHAnsi"/>
          <w:color w:val="000000"/>
          <w:sz w:val="22"/>
          <w:szCs w:val="22"/>
        </w:rPr>
        <w:t>Therefore</w:t>
      </w:r>
      <w:proofErr w:type="gramEnd"/>
      <w:r w:rsidRPr="001D1B64">
        <w:rPr>
          <w:rFonts w:asciiTheme="minorHAnsi" w:hAnsiTheme="minorHAnsi" w:cstheme="minorHAnsi"/>
          <w:color w:val="000000"/>
          <w:sz w:val="22"/>
          <w:szCs w:val="22"/>
        </w:rPr>
        <w:t xml:space="preserve"> there is a further loss of $50,000. This is allocated in the first place to goodwill. Goodwill absorbs the full loss and none is allocated to the lorries and licence:</w:t>
      </w:r>
    </w:p>
    <w:p w14:paraId="686D1135" w14:textId="43271080" w:rsidR="001D1B64" w:rsidRDefault="001D1B64">
      <w:pPr>
        <w:rPr>
          <w:rFonts w:cstheme="minorHAnsi"/>
          <w:color w:val="000000"/>
          <w:shd w:val="clear" w:color="auto" w:fill="FFFFFF"/>
          <w:lang w:val="en-US"/>
        </w:rPr>
      </w:pPr>
    </w:p>
    <w:p w14:paraId="281A5A7D" w14:textId="450A489B" w:rsidR="007B392E" w:rsidRDefault="007B392E" w:rsidP="007B392E"/>
    <w:p w14:paraId="36903554" w14:textId="555ABB3F" w:rsidR="007B392E" w:rsidRDefault="007B392E" w:rsidP="007B392E"/>
    <w:p w14:paraId="14CE30AA" w14:textId="452D95E4" w:rsidR="007B392E" w:rsidRDefault="007B392E" w:rsidP="007B392E"/>
    <w:p w14:paraId="00DC2526" w14:textId="1889C3B3" w:rsidR="007B392E" w:rsidRDefault="007B392E" w:rsidP="007B392E"/>
    <w:p w14:paraId="782579E6" w14:textId="50C26A05" w:rsidR="007B392E" w:rsidRDefault="007B392E" w:rsidP="007B392E"/>
    <w:p w14:paraId="4D6A34FB" w14:textId="7E7F61FD" w:rsidR="007B392E" w:rsidRDefault="007B392E" w:rsidP="007B392E"/>
    <w:p w14:paraId="4E74B585" w14:textId="64655C19" w:rsidR="007B392E" w:rsidRPr="007B392E" w:rsidRDefault="007B392E" w:rsidP="001D1B64">
      <w:pPr>
        <w:pStyle w:val="NormalWeb"/>
        <w:spacing w:before="0" w:beforeAutospacing="0" w:after="150" w:afterAutospacing="0"/>
        <w:textAlignment w:val="baseline"/>
        <w:rPr>
          <w:rFonts w:asciiTheme="minorHAnsi" w:hAnsiTheme="minorHAnsi" w:cstheme="minorHAnsi"/>
          <w:color w:val="000000"/>
          <w:sz w:val="22"/>
          <w:szCs w:val="22"/>
        </w:rPr>
      </w:pPr>
      <w:r w:rsidRPr="007B392E">
        <w:rPr>
          <w:rFonts w:asciiTheme="minorHAnsi" w:hAnsiTheme="minorHAnsi" w:cstheme="minorHAnsi"/>
          <w:b/>
          <w:bCs/>
          <w:color w:val="CA0000"/>
          <w:sz w:val="22"/>
          <w:szCs w:val="22"/>
          <w:shd w:val="clear" w:color="auto" w:fill="FFFFFF"/>
        </w:rPr>
        <w:lastRenderedPageBreak/>
        <w:t>Activity 2 Impairment Loss – Part 2</w:t>
      </w:r>
    </w:p>
    <w:p w14:paraId="1EAFBEE4" w14:textId="4514EA7E" w:rsidR="001D1B64" w:rsidRPr="007B392E" w:rsidRDefault="001D1B64" w:rsidP="001D1B64">
      <w:pPr>
        <w:pStyle w:val="NormalWeb"/>
        <w:spacing w:before="0" w:beforeAutospacing="0" w:after="150" w:afterAutospacing="0"/>
        <w:textAlignment w:val="baseline"/>
        <w:rPr>
          <w:rFonts w:asciiTheme="minorHAnsi" w:hAnsiTheme="minorHAnsi" w:cstheme="minorHAnsi"/>
          <w:color w:val="000000"/>
          <w:sz w:val="22"/>
          <w:szCs w:val="22"/>
        </w:rPr>
      </w:pPr>
      <w:r w:rsidRPr="007B392E">
        <w:rPr>
          <w:rFonts w:asciiTheme="minorHAnsi" w:hAnsiTheme="minorHAnsi" w:cstheme="minorHAnsi"/>
          <w:color w:val="000000"/>
          <w:sz w:val="22"/>
          <w:szCs w:val="22"/>
        </w:rPr>
        <w:t>At 22 May, the government increased interest rates. Aldan Co re-determined the recoverable amount of the acquired business CGU as $360,000. The fair value less costs of disposal of the licence had decreased to $95,000 (as a result of a market reaction to the increased interest rates). The demand for lorries was hit hard by the increase in rates, and the selling prices were adversely affected. You should ignore depreciation and amortisation in relation to the lorries and licence.</w:t>
      </w:r>
    </w:p>
    <w:p w14:paraId="0E19781C" w14:textId="6C1F377D" w:rsidR="001D1B64" w:rsidRPr="007B392E" w:rsidRDefault="001D1B64" w:rsidP="007B392E">
      <w:pPr>
        <w:pStyle w:val="NormalWeb"/>
        <w:spacing w:before="0" w:beforeAutospacing="0" w:after="0" w:afterAutospacing="0"/>
        <w:textAlignment w:val="baseline"/>
        <w:rPr>
          <w:rFonts w:asciiTheme="minorHAnsi" w:hAnsiTheme="minorHAnsi" w:cstheme="minorHAnsi"/>
          <w:color w:val="000000"/>
          <w:sz w:val="22"/>
          <w:szCs w:val="22"/>
        </w:rPr>
      </w:pPr>
      <w:r w:rsidRPr="007B392E">
        <w:rPr>
          <w:rStyle w:val="acca-red"/>
          <w:rFonts w:asciiTheme="minorHAnsi" w:eastAsiaTheme="majorEastAsia" w:hAnsiTheme="minorHAnsi" w:cstheme="minorHAnsi"/>
          <w:b/>
          <w:bCs/>
          <w:color w:val="000000"/>
          <w:sz w:val="22"/>
          <w:szCs w:val="22"/>
          <w:bdr w:val="none" w:sz="0" w:space="0" w:color="auto" w:frame="1"/>
        </w:rPr>
        <w:t>Required</w:t>
      </w:r>
    </w:p>
    <w:p w14:paraId="0221825F" w14:textId="57AC91D2" w:rsidR="001D1B64" w:rsidRPr="007B392E" w:rsidRDefault="001D1B64" w:rsidP="001D1B64">
      <w:pPr>
        <w:pStyle w:val="NormalWeb"/>
        <w:spacing w:before="0" w:beforeAutospacing="0" w:after="0" w:afterAutospacing="0"/>
        <w:textAlignment w:val="baseline"/>
        <w:rPr>
          <w:rStyle w:val="Strong"/>
          <w:rFonts w:asciiTheme="minorHAnsi" w:hAnsiTheme="minorHAnsi" w:cstheme="minorHAnsi"/>
          <w:color w:val="000000"/>
          <w:sz w:val="22"/>
          <w:szCs w:val="22"/>
          <w:bdr w:val="none" w:sz="0" w:space="0" w:color="auto" w:frame="1"/>
        </w:rPr>
      </w:pPr>
      <w:r w:rsidRPr="007B392E">
        <w:rPr>
          <w:rStyle w:val="Strong"/>
          <w:rFonts w:asciiTheme="minorHAnsi" w:hAnsiTheme="minorHAnsi" w:cstheme="minorHAnsi"/>
          <w:color w:val="000000"/>
          <w:sz w:val="22"/>
          <w:szCs w:val="22"/>
          <w:bdr w:val="none" w:sz="0" w:space="0" w:color="auto" w:frame="1"/>
        </w:rPr>
        <w:t>Discuss how Aldan should apply the requirements of IAS 36 to the CGU in May.</w:t>
      </w:r>
    </w:p>
    <w:p w14:paraId="1262FBAF" w14:textId="77777777" w:rsidR="007B392E" w:rsidRPr="007B392E" w:rsidRDefault="007B392E" w:rsidP="001D1B64">
      <w:pPr>
        <w:pStyle w:val="NormalWeb"/>
        <w:spacing w:before="0" w:beforeAutospacing="0" w:after="0" w:afterAutospacing="0"/>
        <w:textAlignment w:val="baseline"/>
        <w:rPr>
          <w:rFonts w:asciiTheme="minorHAnsi" w:hAnsiTheme="minorHAnsi" w:cstheme="minorHAnsi"/>
          <w:color w:val="000000"/>
          <w:sz w:val="22"/>
          <w:szCs w:val="22"/>
        </w:rPr>
      </w:pPr>
    </w:p>
    <w:p w14:paraId="5C11D153" w14:textId="04A0A9BB" w:rsidR="001D1B64" w:rsidRPr="007B392E" w:rsidRDefault="001D1B64" w:rsidP="001D1B64">
      <w:pPr>
        <w:pStyle w:val="NormalWeb"/>
        <w:shd w:val="clear" w:color="auto" w:fill="DCDDDD"/>
        <w:spacing w:before="0" w:beforeAutospacing="0" w:after="0" w:afterAutospacing="0"/>
        <w:textAlignment w:val="baseline"/>
        <w:rPr>
          <w:rFonts w:asciiTheme="minorHAnsi" w:hAnsiTheme="minorHAnsi" w:cstheme="minorHAnsi"/>
          <w:color w:val="000000"/>
          <w:sz w:val="22"/>
          <w:szCs w:val="22"/>
        </w:rPr>
      </w:pPr>
      <w:r w:rsidRPr="007B392E">
        <w:rPr>
          <w:rFonts w:asciiTheme="minorHAnsi" w:hAnsiTheme="minorHAnsi" w:cstheme="minorHAnsi"/>
          <w:color w:val="000000"/>
          <w:sz w:val="22"/>
          <w:szCs w:val="22"/>
        </w:rPr>
        <w:t>An increase in interest rates is an external indicator of impairment and a trigger for a further impairment review of the CGU that is the acquired business.</w:t>
      </w:r>
    </w:p>
    <w:p w14:paraId="3298339F" w14:textId="77777777" w:rsidR="001D1B64" w:rsidRPr="007B392E" w:rsidRDefault="001D1B64" w:rsidP="001D1B64">
      <w:pPr>
        <w:pStyle w:val="NormalWeb"/>
        <w:shd w:val="clear" w:color="auto" w:fill="DCDDDD"/>
        <w:spacing w:before="0" w:beforeAutospacing="0" w:after="0" w:afterAutospacing="0"/>
        <w:textAlignment w:val="baseline"/>
        <w:rPr>
          <w:rFonts w:asciiTheme="minorHAnsi" w:hAnsiTheme="minorHAnsi" w:cstheme="minorHAnsi"/>
          <w:color w:val="000000"/>
          <w:sz w:val="22"/>
          <w:szCs w:val="22"/>
        </w:rPr>
      </w:pPr>
      <w:r w:rsidRPr="007B392E">
        <w:rPr>
          <w:rFonts w:asciiTheme="minorHAnsi" w:hAnsiTheme="minorHAnsi" w:cstheme="minorHAnsi"/>
          <w:color w:val="000000"/>
          <w:sz w:val="22"/>
          <w:szCs w:val="22"/>
        </w:rPr>
        <w:t>The carrying amount of the CGU is $450,000 and the recoverable amount $360,000, meaning there is an impairment loss of $90,000. This is first allocated to the remaining goodwill ($50,000). Thereafter it is allocated between the licence and the lorries in proportion to their relative carrying amounts.</w:t>
      </w:r>
    </w:p>
    <w:p w14:paraId="604FDF10" w14:textId="5F403681" w:rsidR="007B392E" w:rsidRPr="007B392E" w:rsidRDefault="001D1B64" w:rsidP="001D1B64">
      <w:pPr>
        <w:pStyle w:val="NormalWeb"/>
        <w:shd w:val="clear" w:color="auto" w:fill="DCDDDD"/>
        <w:spacing w:before="0" w:beforeAutospacing="0" w:after="0" w:afterAutospacing="0"/>
        <w:textAlignment w:val="baseline"/>
        <w:rPr>
          <w:rFonts w:asciiTheme="minorHAnsi" w:hAnsiTheme="minorHAnsi" w:cstheme="minorHAnsi"/>
          <w:color w:val="000000"/>
          <w:sz w:val="22"/>
          <w:szCs w:val="22"/>
        </w:rPr>
      </w:pPr>
      <w:r w:rsidRPr="007B392E">
        <w:rPr>
          <w:rFonts w:asciiTheme="minorHAnsi" w:hAnsiTheme="minorHAnsi" w:cstheme="minorHAnsi"/>
          <w:color w:val="000000"/>
          <w:sz w:val="22"/>
          <w:szCs w:val="22"/>
        </w:rPr>
        <w:t>This would result in an allocation of $10,000 to the licence, which would be written down to $90,000. This is less than the fair value less costs of disposal of the licence of $95,000 and therefore the loss allocated to the licence is limited to $5,000. The remainder of the loss is allocated to the lorries:</w:t>
      </w:r>
    </w:p>
    <w:tbl>
      <w:tblPr>
        <w:tblpPr w:leftFromText="180" w:rightFromText="180" w:vertAnchor="page" w:horzAnchor="margin" w:tblpXSpec="center" w:tblpY="6549"/>
        <w:tblW w:w="7277" w:type="dxa"/>
        <w:tblCellMar>
          <w:left w:w="0" w:type="dxa"/>
          <w:right w:w="0" w:type="dxa"/>
        </w:tblCellMar>
        <w:tblLook w:val="04A0" w:firstRow="1" w:lastRow="0" w:firstColumn="1" w:lastColumn="0" w:noHBand="0" w:noVBand="1"/>
      </w:tblPr>
      <w:tblGrid>
        <w:gridCol w:w="2177"/>
        <w:gridCol w:w="1612"/>
        <w:gridCol w:w="2274"/>
        <w:gridCol w:w="1214"/>
      </w:tblGrid>
      <w:tr w:rsidR="007B392E" w:rsidRPr="007B392E" w14:paraId="5196C495" w14:textId="77777777" w:rsidTr="007B392E">
        <w:trPr>
          <w:trHeight w:val="421"/>
        </w:trPr>
        <w:tc>
          <w:tcPr>
            <w:tcW w:w="0" w:type="auto"/>
            <w:tcBorders>
              <w:top w:val="nil"/>
              <w:left w:val="nil"/>
              <w:bottom w:val="nil"/>
              <w:right w:val="nil"/>
            </w:tcBorders>
            <w:tcMar>
              <w:top w:w="0" w:type="dxa"/>
              <w:left w:w="120" w:type="dxa"/>
              <w:bottom w:w="0" w:type="dxa"/>
              <w:right w:w="120" w:type="dxa"/>
            </w:tcMar>
            <w:vAlign w:val="bottom"/>
            <w:hideMark/>
          </w:tcPr>
          <w:p w14:paraId="2326A6F4" w14:textId="77777777" w:rsidR="007B392E" w:rsidRPr="007B392E" w:rsidRDefault="007B392E" w:rsidP="007B392E">
            <w:pPr>
              <w:rPr>
                <w:rFonts w:cstheme="minorHAnsi"/>
                <w:color w:val="000000"/>
              </w:rPr>
            </w:pPr>
            <w:r w:rsidRPr="007B392E">
              <w:rPr>
                <w:rFonts w:cstheme="minorHAnsi"/>
                <w:color w:val="000000"/>
              </w:rPr>
              <w:t>$000</w:t>
            </w:r>
          </w:p>
        </w:tc>
        <w:tc>
          <w:tcPr>
            <w:tcW w:w="0" w:type="auto"/>
            <w:tcBorders>
              <w:top w:val="nil"/>
              <w:left w:val="nil"/>
              <w:bottom w:val="nil"/>
              <w:right w:val="nil"/>
            </w:tcBorders>
            <w:tcMar>
              <w:top w:w="0" w:type="dxa"/>
              <w:left w:w="120" w:type="dxa"/>
              <w:bottom w:w="60" w:type="dxa"/>
              <w:right w:w="120" w:type="dxa"/>
            </w:tcMar>
            <w:vAlign w:val="bottom"/>
            <w:hideMark/>
          </w:tcPr>
          <w:p w14:paraId="1CDF9770" w14:textId="77777777" w:rsidR="007B392E" w:rsidRPr="007B392E" w:rsidRDefault="007B392E" w:rsidP="007B392E">
            <w:pPr>
              <w:jc w:val="right"/>
              <w:rPr>
                <w:rFonts w:cstheme="minorHAnsi"/>
                <w:color w:val="000000"/>
              </w:rPr>
            </w:pPr>
            <w:r w:rsidRPr="007B392E">
              <w:rPr>
                <w:rStyle w:val="Strong"/>
                <w:rFonts w:cstheme="minorHAnsi"/>
                <w:color w:val="000000"/>
                <w:bdr w:val="none" w:sz="0" w:space="0" w:color="auto" w:frame="1"/>
              </w:rPr>
              <w:t>1 February</w:t>
            </w:r>
          </w:p>
        </w:tc>
        <w:tc>
          <w:tcPr>
            <w:tcW w:w="0" w:type="auto"/>
            <w:tcBorders>
              <w:top w:val="nil"/>
              <w:left w:val="nil"/>
              <w:bottom w:val="nil"/>
              <w:right w:val="nil"/>
            </w:tcBorders>
            <w:tcMar>
              <w:top w:w="0" w:type="dxa"/>
              <w:left w:w="120" w:type="dxa"/>
              <w:bottom w:w="60" w:type="dxa"/>
              <w:right w:w="120" w:type="dxa"/>
            </w:tcMar>
            <w:vAlign w:val="bottom"/>
            <w:hideMark/>
          </w:tcPr>
          <w:p w14:paraId="48C17163" w14:textId="77777777" w:rsidR="007B392E" w:rsidRPr="007B392E" w:rsidRDefault="007B392E" w:rsidP="007B392E">
            <w:pPr>
              <w:jc w:val="right"/>
              <w:rPr>
                <w:rFonts w:cstheme="minorHAnsi"/>
                <w:color w:val="000000"/>
              </w:rPr>
            </w:pPr>
            <w:r w:rsidRPr="007B392E">
              <w:rPr>
                <w:rStyle w:val="Strong"/>
                <w:rFonts w:cstheme="minorHAnsi"/>
                <w:color w:val="000000"/>
                <w:bdr w:val="none" w:sz="0" w:space="0" w:color="auto" w:frame="1"/>
              </w:rPr>
              <w:t>Impairment loss</w:t>
            </w:r>
          </w:p>
        </w:tc>
        <w:tc>
          <w:tcPr>
            <w:tcW w:w="0" w:type="auto"/>
            <w:tcBorders>
              <w:top w:val="nil"/>
              <w:left w:val="nil"/>
              <w:bottom w:val="nil"/>
              <w:right w:val="nil"/>
            </w:tcBorders>
            <w:tcMar>
              <w:top w:w="0" w:type="dxa"/>
              <w:left w:w="120" w:type="dxa"/>
              <w:bottom w:w="60" w:type="dxa"/>
              <w:right w:w="120" w:type="dxa"/>
            </w:tcMar>
            <w:vAlign w:val="bottom"/>
            <w:hideMark/>
          </w:tcPr>
          <w:p w14:paraId="4027CAAA" w14:textId="77777777" w:rsidR="007B392E" w:rsidRPr="007B392E" w:rsidRDefault="007B392E" w:rsidP="007B392E">
            <w:pPr>
              <w:jc w:val="right"/>
              <w:rPr>
                <w:rFonts w:cstheme="minorHAnsi"/>
                <w:color w:val="000000"/>
              </w:rPr>
            </w:pPr>
            <w:r w:rsidRPr="007B392E">
              <w:rPr>
                <w:rStyle w:val="Strong"/>
                <w:rFonts w:cstheme="minorHAnsi"/>
                <w:color w:val="000000"/>
                <w:bdr w:val="none" w:sz="0" w:space="0" w:color="auto" w:frame="1"/>
              </w:rPr>
              <w:t>22 May</w:t>
            </w:r>
          </w:p>
        </w:tc>
      </w:tr>
      <w:tr w:rsidR="007B392E" w:rsidRPr="007B392E" w14:paraId="6A20B4EF" w14:textId="77777777" w:rsidTr="007B392E">
        <w:trPr>
          <w:trHeight w:val="437"/>
        </w:trPr>
        <w:tc>
          <w:tcPr>
            <w:tcW w:w="0" w:type="auto"/>
            <w:tcBorders>
              <w:top w:val="nil"/>
              <w:left w:val="nil"/>
              <w:bottom w:val="nil"/>
              <w:right w:val="nil"/>
            </w:tcBorders>
            <w:tcMar>
              <w:top w:w="0" w:type="dxa"/>
              <w:left w:w="120" w:type="dxa"/>
              <w:bottom w:w="0" w:type="dxa"/>
              <w:right w:w="120" w:type="dxa"/>
            </w:tcMar>
            <w:vAlign w:val="bottom"/>
            <w:hideMark/>
          </w:tcPr>
          <w:p w14:paraId="20006664" w14:textId="77777777" w:rsidR="007B392E" w:rsidRPr="007B392E" w:rsidRDefault="007B392E" w:rsidP="007B392E">
            <w:pPr>
              <w:rPr>
                <w:rFonts w:cstheme="minorHAnsi"/>
                <w:color w:val="000000"/>
              </w:rPr>
            </w:pPr>
            <w:r w:rsidRPr="007B392E">
              <w:rPr>
                <w:rFonts w:cstheme="minorHAnsi"/>
                <w:color w:val="000000"/>
              </w:rPr>
              <w:t>Goodwill</w:t>
            </w:r>
          </w:p>
        </w:tc>
        <w:tc>
          <w:tcPr>
            <w:tcW w:w="0" w:type="auto"/>
            <w:tcBorders>
              <w:top w:val="nil"/>
              <w:left w:val="nil"/>
              <w:bottom w:val="nil"/>
              <w:right w:val="nil"/>
            </w:tcBorders>
            <w:tcMar>
              <w:top w:w="0" w:type="dxa"/>
              <w:left w:w="120" w:type="dxa"/>
              <w:bottom w:w="60" w:type="dxa"/>
              <w:right w:w="120" w:type="dxa"/>
            </w:tcMar>
            <w:vAlign w:val="bottom"/>
            <w:hideMark/>
          </w:tcPr>
          <w:p w14:paraId="4A64D123" w14:textId="77777777" w:rsidR="007B392E" w:rsidRPr="007B392E" w:rsidRDefault="007B392E" w:rsidP="007B392E">
            <w:pPr>
              <w:jc w:val="right"/>
              <w:rPr>
                <w:rFonts w:cstheme="minorHAnsi"/>
                <w:color w:val="000000"/>
              </w:rPr>
            </w:pPr>
            <w:r w:rsidRPr="007B392E">
              <w:rPr>
                <w:rFonts w:cstheme="minorHAnsi"/>
                <w:color w:val="000000"/>
              </w:rPr>
              <w:t>50</w:t>
            </w:r>
          </w:p>
        </w:tc>
        <w:tc>
          <w:tcPr>
            <w:tcW w:w="0" w:type="auto"/>
            <w:tcBorders>
              <w:top w:val="nil"/>
              <w:left w:val="nil"/>
              <w:bottom w:val="nil"/>
              <w:right w:val="nil"/>
            </w:tcBorders>
            <w:tcMar>
              <w:top w:w="0" w:type="dxa"/>
              <w:left w:w="120" w:type="dxa"/>
              <w:bottom w:w="60" w:type="dxa"/>
              <w:right w:w="120" w:type="dxa"/>
            </w:tcMar>
            <w:vAlign w:val="bottom"/>
            <w:hideMark/>
          </w:tcPr>
          <w:p w14:paraId="18B7F825" w14:textId="77777777" w:rsidR="007B392E" w:rsidRPr="007B392E" w:rsidRDefault="007B392E" w:rsidP="007B392E">
            <w:pPr>
              <w:jc w:val="right"/>
              <w:rPr>
                <w:rFonts w:cstheme="minorHAnsi"/>
                <w:color w:val="000000"/>
              </w:rPr>
            </w:pPr>
            <w:r w:rsidRPr="007B392E">
              <w:rPr>
                <w:rFonts w:cstheme="minorHAnsi"/>
                <w:color w:val="000000"/>
              </w:rPr>
              <w:t>(50)</w:t>
            </w:r>
          </w:p>
        </w:tc>
        <w:tc>
          <w:tcPr>
            <w:tcW w:w="0" w:type="auto"/>
            <w:tcBorders>
              <w:top w:val="nil"/>
              <w:left w:val="nil"/>
              <w:bottom w:val="nil"/>
              <w:right w:val="nil"/>
            </w:tcBorders>
            <w:tcMar>
              <w:top w:w="0" w:type="dxa"/>
              <w:left w:w="120" w:type="dxa"/>
              <w:bottom w:w="60" w:type="dxa"/>
              <w:right w:w="120" w:type="dxa"/>
            </w:tcMar>
            <w:vAlign w:val="bottom"/>
            <w:hideMark/>
          </w:tcPr>
          <w:p w14:paraId="64B76168" w14:textId="77777777" w:rsidR="007B392E" w:rsidRPr="007B392E" w:rsidRDefault="007B392E" w:rsidP="007B392E">
            <w:pPr>
              <w:jc w:val="right"/>
              <w:rPr>
                <w:rFonts w:cstheme="minorHAnsi"/>
                <w:color w:val="000000"/>
              </w:rPr>
            </w:pPr>
            <w:r w:rsidRPr="007B392E">
              <w:rPr>
                <w:rFonts w:cstheme="minorHAnsi"/>
                <w:color w:val="000000"/>
              </w:rPr>
              <w:t>–</w:t>
            </w:r>
          </w:p>
        </w:tc>
      </w:tr>
      <w:tr w:rsidR="007B392E" w:rsidRPr="007B392E" w14:paraId="33CC6AB1" w14:textId="77777777" w:rsidTr="007B392E">
        <w:trPr>
          <w:trHeight w:val="421"/>
        </w:trPr>
        <w:tc>
          <w:tcPr>
            <w:tcW w:w="0" w:type="auto"/>
            <w:tcBorders>
              <w:top w:val="nil"/>
              <w:left w:val="nil"/>
              <w:bottom w:val="nil"/>
              <w:right w:val="nil"/>
            </w:tcBorders>
            <w:tcMar>
              <w:top w:w="0" w:type="dxa"/>
              <w:left w:w="120" w:type="dxa"/>
              <w:bottom w:w="0" w:type="dxa"/>
              <w:right w:w="120" w:type="dxa"/>
            </w:tcMar>
            <w:vAlign w:val="bottom"/>
            <w:hideMark/>
          </w:tcPr>
          <w:p w14:paraId="03CA3315" w14:textId="77777777" w:rsidR="007B392E" w:rsidRPr="007B392E" w:rsidRDefault="007B392E" w:rsidP="007B392E">
            <w:pPr>
              <w:rPr>
                <w:rFonts w:cstheme="minorHAnsi"/>
                <w:color w:val="000000"/>
              </w:rPr>
            </w:pPr>
            <w:r w:rsidRPr="007B392E">
              <w:rPr>
                <w:rFonts w:cstheme="minorHAnsi"/>
                <w:color w:val="000000"/>
              </w:rPr>
              <w:t>Intangible asset</w:t>
            </w:r>
          </w:p>
        </w:tc>
        <w:tc>
          <w:tcPr>
            <w:tcW w:w="0" w:type="auto"/>
            <w:tcBorders>
              <w:top w:val="nil"/>
              <w:left w:val="nil"/>
              <w:bottom w:val="nil"/>
              <w:right w:val="nil"/>
            </w:tcBorders>
            <w:tcMar>
              <w:top w:w="0" w:type="dxa"/>
              <w:left w:w="120" w:type="dxa"/>
              <w:bottom w:w="60" w:type="dxa"/>
              <w:right w:w="120" w:type="dxa"/>
            </w:tcMar>
            <w:vAlign w:val="bottom"/>
            <w:hideMark/>
          </w:tcPr>
          <w:p w14:paraId="7F166293" w14:textId="77777777" w:rsidR="007B392E" w:rsidRPr="007B392E" w:rsidRDefault="007B392E" w:rsidP="007B392E">
            <w:pPr>
              <w:jc w:val="right"/>
              <w:rPr>
                <w:rFonts w:cstheme="minorHAnsi"/>
                <w:color w:val="000000"/>
              </w:rPr>
            </w:pPr>
            <w:r w:rsidRPr="007B392E">
              <w:rPr>
                <w:rFonts w:cstheme="minorHAnsi"/>
                <w:color w:val="000000"/>
              </w:rPr>
              <w:t>100</w:t>
            </w:r>
          </w:p>
        </w:tc>
        <w:tc>
          <w:tcPr>
            <w:tcW w:w="0" w:type="auto"/>
            <w:tcBorders>
              <w:top w:val="nil"/>
              <w:left w:val="nil"/>
              <w:bottom w:val="nil"/>
              <w:right w:val="nil"/>
            </w:tcBorders>
            <w:tcMar>
              <w:top w:w="0" w:type="dxa"/>
              <w:left w:w="120" w:type="dxa"/>
              <w:bottom w:w="60" w:type="dxa"/>
              <w:right w:w="120" w:type="dxa"/>
            </w:tcMar>
            <w:vAlign w:val="bottom"/>
            <w:hideMark/>
          </w:tcPr>
          <w:p w14:paraId="18D09937" w14:textId="77777777" w:rsidR="007B392E" w:rsidRPr="007B392E" w:rsidRDefault="007B392E" w:rsidP="007B392E">
            <w:pPr>
              <w:jc w:val="right"/>
              <w:rPr>
                <w:rFonts w:cstheme="minorHAnsi"/>
                <w:color w:val="000000"/>
              </w:rPr>
            </w:pPr>
            <w:r w:rsidRPr="007B392E">
              <w:rPr>
                <w:rFonts w:cstheme="minorHAnsi"/>
                <w:color w:val="000000"/>
              </w:rPr>
              <w:t>(5)</w:t>
            </w:r>
          </w:p>
        </w:tc>
        <w:tc>
          <w:tcPr>
            <w:tcW w:w="0" w:type="auto"/>
            <w:tcBorders>
              <w:top w:val="nil"/>
              <w:left w:val="nil"/>
              <w:bottom w:val="nil"/>
              <w:right w:val="nil"/>
            </w:tcBorders>
            <w:tcMar>
              <w:top w:w="0" w:type="dxa"/>
              <w:left w:w="120" w:type="dxa"/>
              <w:bottom w:w="60" w:type="dxa"/>
              <w:right w:w="120" w:type="dxa"/>
            </w:tcMar>
            <w:vAlign w:val="bottom"/>
            <w:hideMark/>
          </w:tcPr>
          <w:p w14:paraId="1592978B" w14:textId="77777777" w:rsidR="007B392E" w:rsidRPr="007B392E" w:rsidRDefault="007B392E" w:rsidP="007B392E">
            <w:pPr>
              <w:jc w:val="right"/>
              <w:rPr>
                <w:rFonts w:cstheme="minorHAnsi"/>
                <w:color w:val="000000"/>
              </w:rPr>
            </w:pPr>
            <w:r w:rsidRPr="007B392E">
              <w:rPr>
                <w:rFonts w:cstheme="minorHAnsi"/>
                <w:color w:val="000000"/>
              </w:rPr>
              <w:t>95</w:t>
            </w:r>
          </w:p>
        </w:tc>
      </w:tr>
      <w:tr w:rsidR="007B392E" w:rsidRPr="007B392E" w14:paraId="09A83CC3" w14:textId="77777777" w:rsidTr="007B392E">
        <w:trPr>
          <w:trHeight w:val="437"/>
        </w:trPr>
        <w:tc>
          <w:tcPr>
            <w:tcW w:w="0" w:type="auto"/>
            <w:tcBorders>
              <w:top w:val="nil"/>
              <w:left w:val="nil"/>
              <w:bottom w:val="nil"/>
              <w:right w:val="nil"/>
            </w:tcBorders>
            <w:tcMar>
              <w:top w:w="0" w:type="dxa"/>
              <w:left w:w="120" w:type="dxa"/>
              <w:bottom w:w="0" w:type="dxa"/>
              <w:right w:w="120" w:type="dxa"/>
            </w:tcMar>
            <w:vAlign w:val="bottom"/>
            <w:hideMark/>
          </w:tcPr>
          <w:p w14:paraId="4425CECF" w14:textId="77777777" w:rsidR="007B392E" w:rsidRPr="007B392E" w:rsidRDefault="007B392E" w:rsidP="007B392E">
            <w:pPr>
              <w:rPr>
                <w:rFonts w:cstheme="minorHAnsi"/>
                <w:color w:val="000000"/>
              </w:rPr>
            </w:pPr>
            <w:r w:rsidRPr="007B392E">
              <w:rPr>
                <w:rFonts w:cstheme="minorHAnsi"/>
                <w:color w:val="000000"/>
              </w:rPr>
              <w:t>Lorries</w:t>
            </w: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797BB21D" w14:textId="77777777" w:rsidR="007B392E" w:rsidRPr="007B392E" w:rsidRDefault="007B392E" w:rsidP="007B392E">
            <w:pPr>
              <w:jc w:val="right"/>
              <w:rPr>
                <w:rFonts w:cstheme="minorHAnsi"/>
                <w:color w:val="000000"/>
              </w:rPr>
            </w:pPr>
            <w:r w:rsidRPr="007B392E">
              <w:rPr>
                <w:rFonts w:cstheme="minorHAnsi"/>
                <w:color w:val="000000"/>
              </w:rPr>
              <w:t>300</w:t>
            </w: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196CF75A" w14:textId="77777777" w:rsidR="007B392E" w:rsidRPr="007B392E" w:rsidRDefault="007B392E" w:rsidP="007B392E">
            <w:pPr>
              <w:jc w:val="right"/>
              <w:rPr>
                <w:rFonts w:cstheme="minorHAnsi"/>
                <w:color w:val="000000"/>
              </w:rPr>
            </w:pPr>
            <w:r w:rsidRPr="007B392E">
              <w:rPr>
                <w:rFonts w:cstheme="minorHAnsi"/>
                <w:color w:val="000000"/>
              </w:rPr>
              <w:t>(35)</w:t>
            </w: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0459F212" w14:textId="77777777" w:rsidR="007B392E" w:rsidRPr="007B392E" w:rsidRDefault="007B392E" w:rsidP="007B392E">
            <w:pPr>
              <w:jc w:val="right"/>
              <w:rPr>
                <w:rFonts w:cstheme="minorHAnsi"/>
                <w:color w:val="000000"/>
              </w:rPr>
            </w:pPr>
            <w:r w:rsidRPr="007B392E">
              <w:rPr>
                <w:rFonts w:cstheme="minorHAnsi"/>
                <w:color w:val="000000"/>
              </w:rPr>
              <w:t>265</w:t>
            </w:r>
          </w:p>
        </w:tc>
      </w:tr>
      <w:tr w:rsidR="007B392E" w:rsidRPr="007B392E" w14:paraId="20FFCDC1" w14:textId="77777777" w:rsidTr="007B392E">
        <w:trPr>
          <w:trHeight w:val="437"/>
        </w:trPr>
        <w:tc>
          <w:tcPr>
            <w:tcW w:w="0" w:type="auto"/>
            <w:tcBorders>
              <w:top w:val="nil"/>
              <w:left w:val="nil"/>
              <w:bottom w:val="nil"/>
              <w:right w:val="nil"/>
            </w:tcBorders>
            <w:tcMar>
              <w:top w:w="0" w:type="dxa"/>
              <w:left w:w="120" w:type="dxa"/>
              <w:bottom w:w="0" w:type="dxa"/>
              <w:right w:w="120" w:type="dxa"/>
            </w:tcMar>
            <w:vAlign w:val="bottom"/>
            <w:hideMark/>
          </w:tcPr>
          <w:p w14:paraId="162FBC5D" w14:textId="77777777" w:rsidR="007B392E" w:rsidRPr="007B392E" w:rsidRDefault="007B392E" w:rsidP="007B392E">
            <w:pPr>
              <w:jc w:val="right"/>
              <w:rPr>
                <w:rFonts w:cstheme="minorHAnsi"/>
                <w:color w:val="000000"/>
              </w:rPr>
            </w:pP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405A061D" w14:textId="77777777" w:rsidR="007B392E" w:rsidRPr="007B392E" w:rsidRDefault="007B392E" w:rsidP="007B392E">
            <w:pPr>
              <w:jc w:val="right"/>
              <w:rPr>
                <w:rFonts w:cstheme="minorHAnsi"/>
                <w:color w:val="000000"/>
              </w:rPr>
            </w:pPr>
            <w:r w:rsidRPr="007B392E">
              <w:rPr>
                <w:rFonts w:cstheme="minorHAnsi"/>
                <w:color w:val="000000"/>
              </w:rPr>
              <w:t>450</w:t>
            </w: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58A96791" w14:textId="77777777" w:rsidR="007B392E" w:rsidRPr="007B392E" w:rsidRDefault="007B392E" w:rsidP="007B392E">
            <w:pPr>
              <w:jc w:val="right"/>
              <w:rPr>
                <w:rFonts w:cstheme="minorHAnsi"/>
                <w:color w:val="000000"/>
              </w:rPr>
            </w:pPr>
            <w:r w:rsidRPr="007B392E">
              <w:rPr>
                <w:rFonts w:cstheme="minorHAnsi"/>
                <w:color w:val="000000"/>
              </w:rPr>
              <w:t>(90)</w:t>
            </w:r>
          </w:p>
        </w:tc>
        <w:tc>
          <w:tcPr>
            <w:tcW w:w="0" w:type="auto"/>
            <w:tcBorders>
              <w:top w:val="nil"/>
              <w:left w:val="nil"/>
              <w:bottom w:val="single" w:sz="6" w:space="0" w:color="000000"/>
              <w:right w:val="nil"/>
            </w:tcBorders>
            <w:tcMar>
              <w:top w:w="0" w:type="dxa"/>
              <w:left w:w="120" w:type="dxa"/>
              <w:bottom w:w="60" w:type="dxa"/>
              <w:right w:w="120" w:type="dxa"/>
            </w:tcMar>
            <w:vAlign w:val="bottom"/>
            <w:hideMark/>
          </w:tcPr>
          <w:p w14:paraId="75F70821" w14:textId="77777777" w:rsidR="007B392E" w:rsidRPr="007B392E" w:rsidRDefault="007B392E" w:rsidP="007B392E">
            <w:pPr>
              <w:jc w:val="right"/>
              <w:rPr>
                <w:rFonts w:cstheme="minorHAnsi"/>
                <w:color w:val="000000"/>
              </w:rPr>
            </w:pPr>
            <w:r w:rsidRPr="007B392E">
              <w:rPr>
                <w:rFonts w:cstheme="minorHAnsi"/>
                <w:color w:val="000000"/>
              </w:rPr>
              <w:t>360</w:t>
            </w:r>
          </w:p>
        </w:tc>
      </w:tr>
    </w:tbl>
    <w:p w14:paraId="5DA6A0E8" w14:textId="1AAC4CEF" w:rsidR="001D1B64" w:rsidRDefault="001D1B64">
      <w:pPr>
        <w:rPr>
          <w:rFonts w:cstheme="minorHAnsi"/>
          <w:color w:val="000000"/>
          <w:shd w:val="clear" w:color="auto" w:fill="FFFFFF"/>
          <w:lang w:val="en-US"/>
        </w:rPr>
      </w:pPr>
    </w:p>
    <w:p w14:paraId="5F101B5A" w14:textId="07F6442F" w:rsidR="007B392E" w:rsidRDefault="007B392E">
      <w:pPr>
        <w:rPr>
          <w:rFonts w:cstheme="minorHAnsi"/>
          <w:color w:val="000000"/>
          <w:shd w:val="clear" w:color="auto" w:fill="FFFFFF"/>
          <w:lang w:val="en-US"/>
        </w:rPr>
      </w:pPr>
    </w:p>
    <w:p w14:paraId="0DA2758D" w14:textId="2C8457B9" w:rsidR="007B392E" w:rsidRDefault="007B392E">
      <w:pPr>
        <w:rPr>
          <w:rFonts w:cstheme="minorHAnsi"/>
          <w:color w:val="000000"/>
          <w:shd w:val="clear" w:color="auto" w:fill="FFFFFF"/>
          <w:lang w:val="en-US"/>
        </w:rPr>
      </w:pPr>
    </w:p>
    <w:p w14:paraId="6C262234" w14:textId="0DFB2878" w:rsidR="007B392E" w:rsidRDefault="007B392E">
      <w:pPr>
        <w:rPr>
          <w:rFonts w:cstheme="minorHAnsi"/>
          <w:color w:val="000000"/>
          <w:shd w:val="clear" w:color="auto" w:fill="FFFFFF"/>
          <w:lang w:val="en-US"/>
        </w:rPr>
      </w:pPr>
    </w:p>
    <w:p w14:paraId="774C3591" w14:textId="41B001CC" w:rsidR="007B392E" w:rsidRDefault="007B392E">
      <w:pPr>
        <w:rPr>
          <w:rFonts w:cstheme="minorHAnsi"/>
          <w:color w:val="000000"/>
          <w:shd w:val="clear" w:color="auto" w:fill="FFFFFF"/>
          <w:lang w:val="en-US"/>
        </w:rPr>
      </w:pPr>
    </w:p>
    <w:p w14:paraId="1841CE59" w14:textId="2F95DAA4" w:rsidR="007B392E" w:rsidRDefault="007B392E">
      <w:pPr>
        <w:rPr>
          <w:rFonts w:cstheme="minorHAnsi"/>
          <w:color w:val="000000"/>
          <w:shd w:val="clear" w:color="auto" w:fill="FFFFFF"/>
          <w:lang w:val="en-US"/>
        </w:rPr>
      </w:pPr>
    </w:p>
    <w:p w14:paraId="22F182CC" w14:textId="26338EF3" w:rsidR="007B392E" w:rsidRDefault="007B392E">
      <w:pPr>
        <w:rPr>
          <w:rFonts w:cstheme="minorHAnsi"/>
          <w:color w:val="000000"/>
          <w:shd w:val="clear" w:color="auto" w:fill="FFFFFF"/>
          <w:lang w:val="en-US"/>
        </w:rPr>
      </w:pPr>
    </w:p>
    <w:tbl>
      <w:tblPr>
        <w:tblpPr w:leftFromText="180" w:rightFromText="180" w:vertAnchor="text" w:horzAnchor="margin" w:tblpXSpec="center" w:tblpY="-74"/>
        <w:tblW w:w="9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711"/>
      </w:tblGrid>
      <w:tr w:rsidR="007B392E" w:rsidRPr="007B392E" w14:paraId="251AE7F1" w14:textId="77777777" w:rsidTr="007B392E">
        <w:trPr>
          <w:trHeight w:val="264"/>
          <w:tblHeader/>
        </w:trPr>
        <w:tc>
          <w:tcPr>
            <w:tcW w:w="0" w:type="auto"/>
            <w:shd w:val="clear" w:color="auto" w:fill="FFFFFF"/>
            <w:tcMar>
              <w:top w:w="120" w:type="dxa"/>
              <w:left w:w="120" w:type="dxa"/>
              <w:bottom w:w="120" w:type="dxa"/>
              <w:right w:w="120" w:type="dxa"/>
            </w:tcMar>
            <w:vAlign w:val="bottom"/>
            <w:hideMark/>
          </w:tcPr>
          <w:p w14:paraId="22F17B7B" w14:textId="77777777" w:rsidR="007B392E" w:rsidRPr="007B392E" w:rsidRDefault="007B392E" w:rsidP="007B392E">
            <w:pPr>
              <w:spacing w:after="0" w:line="240" w:lineRule="auto"/>
              <w:rPr>
                <w:rFonts w:eastAsia="Times New Roman" w:cstheme="minorHAnsi"/>
                <w:b/>
                <w:bCs/>
                <w:color w:val="000000"/>
                <w:lang w:val="en-PK" w:eastAsia="en-PK"/>
              </w:rPr>
            </w:pPr>
            <w:r w:rsidRPr="007B392E">
              <w:rPr>
                <w:rFonts w:eastAsia="Times New Roman" w:cstheme="minorHAnsi"/>
                <w:b/>
                <w:bCs/>
                <w:color w:val="000000"/>
                <w:bdr w:val="none" w:sz="0" w:space="0" w:color="auto" w:frame="1"/>
                <w:lang w:val="en-PK" w:eastAsia="en-PK"/>
              </w:rPr>
              <w:t>Example 7 No Impairment Loss</w:t>
            </w:r>
          </w:p>
        </w:tc>
      </w:tr>
      <w:tr w:rsidR="007B392E" w:rsidRPr="007B392E" w14:paraId="18CB01BA" w14:textId="77777777" w:rsidTr="007B392E">
        <w:trPr>
          <w:trHeight w:val="4750"/>
        </w:trPr>
        <w:tc>
          <w:tcPr>
            <w:tcW w:w="0" w:type="auto"/>
            <w:shd w:val="clear" w:color="auto" w:fill="FFFFFF"/>
            <w:tcMar>
              <w:top w:w="120" w:type="dxa"/>
              <w:left w:w="120" w:type="dxa"/>
              <w:bottom w:w="120" w:type="dxa"/>
              <w:right w:w="120" w:type="dxa"/>
            </w:tcMar>
            <w:vAlign w:val="bottom"/>
            <w:hideMark/>
          </w:tcPr>
          <w:p w14:paraId="1440BC41" w14:textId="77777777" w:rsidR="007B392E" w:rsidRPr="007B392E" w:rsidRDefault="007B392E" w:rsidP="007B392E">
            <w:pPr>
              <w:spacing w:after="0" w:line="240" w:lineRule="auto"/>
              <w:rPr>
                <w:rFonts w:eastAsia="Times New Roman" w:cstheme="minorHAnsi"/>
                <w:color w:val="000000"/>
                <w:lang w:val="en-PK" w:eastAsia="en-PK"/>
              </w:rPr>
            </w:pPr>
            <w:r w:rsidRPr="007B392E">
              <w:rPr>
                <w:rFonts w:eastAsia="Times New Roman" w:cstheme="minorHAnsi"/>
                <w:color w:val="000000"/>
                <w:lang w:val="en-PK" w:eastAsia="en-PK"/>
              </w:rPr>
              <w:t xml:space="preserve">Two machines in a production line (the CGU) have suffered physical damage, but are still able to work albeit at reduced capacities. The fair value less costs of disposal of both machines are below their carrying amount. As the machines do not generate independent cash flows and management intends to keep the machines in operation, their value in use cannot be estimated. They are considered to be part of the CGU, the production line. Assessment of the recoverable amount of the production line as a </w:t>
            </w:r>
            <w:proofErr w:type="gramStart"/>
            <w:r w:rsidRPr="007B392E">
              <w:rPr>
                <w:rFonts w:eastAsia="Times New Roman" w:cstheme="minorHAnsi"/>
                <w:color w:val="000000"/>
                <w:lang w:val="en-PK" w:eastAsia="en-PK"/>
              </w:rPr>
              <w:t>whole shows</w:t>
            </w:r>
            <w:proofErr w:type="gramEnd"/>
            <w:r w:rsidRPr="007B392E">
              <w:rPr>
                <w:rFonts w:eastAsia="Times New Roman" w:cstheme="minorHAnsi"/>
                <w:color w:val="000000"/>
                <w:lang w:val="en-PK" w:eastAsia="en-PK"/>
              </w:rPr>
              <w:t xml:space="preserve"> that there has been no impairment of the CGU</w:t>
            </w:r>
          </w:p>
          <w:p w14:paraId="1282C9D4" w14:textId="77777777" w:rsidR="007B392E" w:rsidRPr="007B392E" w:rsidRDefault="007B392E" w:rsidP="007B392E">
            <w:pPr>
              <w:spacing w:after="0" w:line="240" w:lineRule="auto"/>
              <w:textAlignment w:val="baseline"/>
              <w:rPr>
                <w:rFonts w:eastAsia="Times New Roman" w:cstheme="minorHAnsi"/>
                <w:color w:val="000000"/>
                <w:lang w:val="en-PK" w:eastAsia="en-PK"/>
              </w:rPr>
            </w:pPr>
            <w:r w:rsidRPr="007B392E">
              <w:rPr>
                <w:rFonts w:eastAsia="Times New Roman" w:cstheme="minorHAnsi"/>
                <w:b/>
                <w:bCs/>
                <w:color w:val="000000"/>
                <w:bdr w:val="none" w:sz="0" w:space="0" w:color="auto" w:frame="1"/>
                <w:lang w:val="en-PK" w:eastAsia="en-PK"/>
              </w:rPr>
              <w:t>Required</w:t>
            </w:r>
          </w:p>
          <w:p w14:paraId="3E85970B" w14:textId="77777777" w:rsidR="007B392E" w:rsidRPr="007B392E" w:rsidRDefault="007B392E" w:rsidP="007B392E">
            <w:pPr>
              <w:spacing w:before="75" w:after="150" w:line="240" w:lineRule="auto"/>
              <w:rPr>
                <w:rFonts w:eastAsia="Times New Roman" w:cstheme="minorHAnsi"/>
                <w:color w:val="000000"/>
                <w:lang w:val="en-PK" w:eastAsia="en-PK"/>
              </w:rPr>
            </w:pPr>
            <w:r w:rsidRPr="007B392E">
              <w:rPr>
                <w:rFonts w:eastAsia="Times New Roman" w:cstheme="minorHAnsi"/>
                <w:color w:val="000000"/>
                <w:lang w:val="en-PK" w:eastAsia="en-PK"/>
              </w:rPr>
              <w:pict w14:anchorId="6E1B289A">
                <v:rect id="_x0000_i1176" style="width:112.45pt;height:0" o:hrpct="0" o:hralign="center" o:hrstd="t" o:hrnoshade="t" o:hr="t" fillcolor="black" stroked="f"/>
              </w:pict>
            </w:r>
          </w:p>
          <w:p w14:paraId="26005059" w14:textId="77777777" w:rsidR="007B392E" w:rsidRPr="007B392E" w:rsidRDefault="007B392E" w:rsidP="007B392E">
            <w:pPr>
              <w:spacing w:after="0" w:line="240" w:lineRule="auto"/>
              <w:textAlignment w:val="baseline"/>
              <w:rPr>
                <w:rFonts w:eastAsia="Times New Roman" w:cstheme="minorHAnsi"/>
                <w:color w:val="000000"/>
                <w:lang w:val="en-PK" w:eastAsia="en-PK"/>
              </w:rPr>
            </w:pPr>
            <w:r w:rsidRPr="007B392E">
              <w:rPr>
                <w:rFonts w:eastAsia="Times New Roman" w:cstheme="minorHAnsi"/>
                <w:b/>
                <w:bCs/>
                <w:color w:val="000000"/>
                <w:bdr w:val="none" w:sz="0" w:space="0" w:color="auto" w:frame="1"/>
                <w:lang w:val="en-PK" w:eastAsia="en-PK"/>
              </w:rPr>
              <w:t>Discuss appropriate accounting treatment for the machines.</w:t>
            </w:r>
          </w:p>
          <w:p w14:paraId="75172784" w14:textId="77777777" w:rsidR="007B392E" w:rsidRPr="007B392E" w:rsidRDefault="007B392E" w:rsidP="007B392E">
            <w:pPr>
              <w:spacing w:after="0" w:line="240" w:lineRule="auto"/>
              <w:textAlignment w:val="baseline"/>
              <w:rPr>
                <w:rFonts w:eastAsia="Times New Roman" w:cstheme="minorHAnsi"/>
                <w:color w:val="000000"/>
                <w:lang w:val="en-PK" w:eastAsia="en-PK"/>
              </w:rPr>
            </w:pPr>
            <w:r w:rsidRPr="007B392E">
              <w:rPr>
                <w:rFonts w:eastAsia="Times New Roman" w:cstheme="minorHAnsi"/>
                <w:b/>
                <w:bCs/>
                <w:color w:val="000000"/>
                <w:bdr w:val="none" w:sz="0" w:space="0" w:color="auto" w:frame="1"/>
                <w:lang w:val="en-PK" w:eastAsia="en-PK"/>
              </w:rPr>
              <w:t>Solution:</w:t>
            </w:r>
          </w:p>
          <w:p w14:paraId="1453F435" w14:textId="77777777" w:rsidR="007B392E" w:rsidRPr="007B392E" w:rsidRDefault="007B392E" w:rsidP="007B392E">
            <w:pPr>
              <w:numPr>
                <w:ilvl w:val="0"/>
                <w:numId w:val="6"/>
              </w:numPr>
              <w:spacing w:after="0" w:line="240" w:lineRule="auto"/>
              <w:ind w:left="1080"/>
              <w:textAlignment w:val="baseline"/>
              <w:rPr>
                <w:rFonts w:eastAsia="Times New Roman" w:cstheme="minorHAnsi"/>
                <w:color w:val="CA0000"/>
                <w:lang w:val="en-PK" w:eastAsia="en-PK"/>
              </w:rPr>
            </w:pPr>
            <w:r w:rsidRPr="007B392E">
              <w:rPr>
                <w:rFonts w:eastAsia="Times New Roman" w:cstheme="minorHAnsi"/>
                <w:color w:val="000000"/>
                <w:bdr w:val="none" w:sz="0" w:space="0" w:color="auto" w:frame="1"/>
                <w:lang w:val="en-PK" w:eastAsia="en-PK"/>
              </w:rPr>
              <w:t xml:space="preserve">Assessment of the recoverable amount of the production line as a </w:t>
            </w:r>
            <w:proofErr w:type="gramStart"/>
            <w:r w:rsidRPr="007B392E">
              <w:rPr>
                <w:rFonts w:eastAsia="Times New Roman" w:cstheme="minorHAnsi"/>
                <w:color w:val="000000"/>
                <w:bdr w:val="none" w:sz="0" w:space="0" w:color="auto" w:frame="1"/>
                <w:lang w:val="en-PK" w:eastAsia="en-PK"/>
              </w:rPr>
              <w:t>whole shows</w:t>
            </w:r>
            <w:proofErr w:type="gramEnd"/>
            <w:r w:rsidRPr="007B392E">
              <w:rPr>
                <w:rFonts w:eastAsia="Times New Roman" w:cstheme="minorHAnsi"/>
                <w:color w:val="000000"/>
                <w:bdr w:val="none" w:sz="0" w:space="0" w:color="auto" w:frame="1"/>
                <w:lang w:val="en-PK" w:eastAsia="en-PK"/>
              </w:rPr>
              <w:t xml:space="preserve"> that there has been no impairment of the CGU. Therefore, no impairment losses are recognised for the machines.</w:t>
            </w:r>
          </w:p>
          <w:p w14:paraId="73CC5577" w14:textId="77777777" w:rsidR="007B392E" w:rsidRPr="007B392E" w:rsidRDefault="007B392E" w:rsidP="007B392E">
            <w:pPr>
              <w:numPr>
                <w:ilvl w:val="0"/>
                <w:numId w:val="6"/>
              </w:numPr>
              <w:spacing w:after="0" w:line="240" w:lineRule="auto"/>
              <w:ind w:left="1080"/>
              <w:textAlignment w:val="baseline"/>
              <w:rPr>
                <w:rFonts w:eastAsia="Times New Roman" w:cstheme="minorHAnsi"/>
                <w:color w:val="CA0000"/>
                <w:lang w:val="en-PK" w:eastAsia="en-PK"/>
              </w:rPr>
            </w:pPr>
            <w:r w:rsidRPr="007B392E">
              <w:rPr>
                <w:rFonts w:eastAsia="Times New Roman" w:cstheme="minorHAnsi"/>
                <w:color w:val="000000"/>
                <w:bdr w:val="none" w:sz="0" w:space="0" w:color="auto" w:frame="1"/>
                <w:lang w:val="en-PK" w:eastAsia="en-PK"/>
              </w:rPr>
              <w:t>However, because of the damage to the machines, the estimated useful life and residual values of the machines may need to be reassessed.</w:t>
            </w:r>
          </w:p>
          <w:p w14:paraId="00F7A9A0" w14:textId="77777777" w:rsidR="007B392E" w:rsidRPr="007B392E" w:rsidRDefault="007B392E" w:rsidP="007B392E">
            <w:pPr>
              <w:numPr>
                <w:ilvl w:val="0"/>
                <w:numId w:val="6"/>
              </w:numPr>
              <w:spacing w:after="0" w:line="240" w:lineRule="auto"/>
              <w:ind w:left="1080"/>
              <w:textAlignment w:val="baseline"/>
              <w:rPr>
                <w:rFonts w:eastAsia="Times New Roman" w:cstheme="minorHAnsi"/>
                <w:color w:val="CA0000"/>
                <w:lang w:val="en-PK" w:eastAsia="en-PK"/>
              </w:rPr>
            </w:pPr>
            <w:r w:rsidRPr="007B392E">
              <w:rPr>
                <w:rFonts w:eastAsia="Times New Roman" w:cstheme="minorHAnsi"/>
                <w:color w:val="000000"/>
                <w:bdr w:val="none" w:sz="0" w:space="0" w:color="auto" w:frame="1"/>
                <w:lang w:val="en-PK" w:eastAsia="en-PK"/>
              </w:rPr>
              <w:t>If, because of the damage, management decides to replace the machines and sell them in the near future, their value in use can be estimated as the present value of expected sale proceeds less costs of disposal. Where this is less than their carrying amount, an impairment loss should be recognised for the individual machines.</w:t>
            </w:r>
          </w:p>
          <w:p w14:paraId="3833081D" w14:textId="77777777" w:rsidR="007B392E" w:rsidRPr="007B392E" w:rsidRDefault="007B392E" w:rsidP="007B392E">
            <w:pPr>
              <w:numPr>
                <w:ilvl w:val="0"/>
                <w:numId w:val="6"/>
              </w:numPr>
              <w:spacing w:after="0" w:line="240" w:lineRule="auto"/>
              <w:ind w:left="1080"/>
              <w:textAlignment w:val="baseline"/>
              <w:rPr>
                <w:rFonts w:eastAsia="Times New Roman" w:cstheme="minorHAnsi"/>
                <w:color w:val="CA0000"/>
                <w:lang w:val="en-PK" w:eastAsia="en-PK"/>
              </w:rPr>
            </w:pPr>
            <w:r w:rsidRPr="007B392E">
              <w:rPr>
                <w:rFonts w:eastAsia="Times New Roman" w:cstheme="minorHAnsi"/>
                <w:color w:val="000000"/>
                <w:bdr w:val="none" w:sz="0" w:space="0" w:color="auto" w:frame="1"/>
                <w:lang w:val="en-PK" w:eastAsia="en-PK"/>
              </w:rPr>
              <w:t>No impairment will be recognised for the production line because the machines have not been replaced.</w:t>
            </w:r>
          </w:p>
        </w:tc>
      </w:tr>
    </w:tbl>
    <w:p w14:paraId="22FFB4A8" w14:textId="46C2433C" w:rsidR="007B392E" w:rsidRDefault="007B392E">
      <w:pPr>
        <w:rPr>
          <w:rFonts w:cstheme="minorHAnsi"/>
          <w:color w:val="000000"/>
          <w:shd w:val="clear" w:color="auto" w:fill="FFFFFF"/>
          <w:lang w:val="en-US"/>
        </w:rPr>
      </w:pPr>
    </w:p>
    <w:p w14:paraId="259A2319" w14:textId="77777777" w:rsidR="007B392E" w:rsidRPr="001D1B64" w:rsidRDefault="007B392E">
      <w:pPr>
        <w:rPr>
          <w:rFonts w:cstheme="minorHAnsi"/>
          <w:color w:val="000000"/>
          <w:shd w:val="clear" w:color="auto" w:fill="FFFFFF"/>
          <w:lang w:val="en-US"/>
        </w:rPr>
      </w:pPr>
    </w:p>
    <w:sectPr w:rsidR="007B392E" w:rsidRPr="001D1B64" w:rsidSect="00BC7506">
      <w:pgSz w:w="11906" w:h="16838"/>
      <w:pgMar w:top="851"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91DCF" w14:textId="77777777" w:rsidR="0069013B" w:rsidRDefault="0069013B" w:rsidP="00C9101C">
      <w:pPr>
        <w:spacing w:after="0" w:line="240" w:lineRule="auto"/>
      </w:pPr>
      <w:r>
        <w:separator/>
      </w:r>
    </w:p>
  </w:endnote>
  <w:endnote w:type="continuationSeparator" w:id="0">
    <w:p w14:paraId="5DF7AE92" w14:textId="77777777" w:rsidR="0069013B" w:rsidRDefault="0069013B" w:rsidP="00C91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01D25" w14:textId="77777777" w:rsidR="0069013B" w:rsidRDefault="0069013B" w:rsidP="00C9101C">
      <w:pPr>
        <w:spacing w:after="0" w:line="240" w:lineRule="auto"/>
      </w:pPr>
      <w:r>
        <w:separator/>
      </w:r>
    </w:p>
  </w:footnote>
  <w:footnote w:type="continuationSeparator" w:id="0">
    <w:p w14:paraId="707E67F3" w14:textId="77777777" w:rsidR="0069013B" w:rsidRDefault="0069013B" w:rsidP="00C91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9036D"/>
    <w:multiLevelType w:val="multilevel"/>
    <w:tmpl w:val="589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F4D15"/>
    <w:multiLevelType w:val="multilevel"/>
    <w:tmpl w:val="DF3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F01E9"/>
    <w:multiLevelType w:val="multilevel"/>
    <w:tmpl w:val="F10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77E6A"/>
    <w:multiLevelType w:val="multilevel"/>
    <w:tmpl w:val="E06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D23F3"/>
    <w:multiLevelType w:val="multilevel"/>
    <w:tmpl w:val="B1E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81610"/>
    <w:multiLevelType w:val="multilevel"/>
    <w:tmpl w:val="148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95"/>
    <w:rsid w:val="000F0BC2"/>
    <w:rsid w:val="00171D65"/>
    <w:rsid w:val="001D1B64"/>
    <w:rsid w:val="00411F69"/>
    <w:rsid w:val="005A1EE9"/>
    <w:rsid w:val="00626991"/>
    <w:rsid w:val="0069013B"/>
    <w:rsid w:val="007B392E"/>
    <w:rsid w:val="008C1107"/>
    <w:rsid w:val="008C7B95"/>
    <w:rsid w:val="008E3759"/>
    <w:rsid w:val="00915500"/>
    <w:rsid w:val="009537EF"/>
    <w:rsid w:val="009E2CF8"/>
    <w:rsid w:val="00BC7506"/>
    <w:rsid w:val="00C9101C"/>
    <w:rsid w:val="00D45E50"/>
    <w:rsid w:val="00DE747F"/>
    <w:rsid w:val="00F61ED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A91F07"/>
  <w15:chartTrackingRefBased/>
  <w15:docId w15:val="{B2F5EB42-E714-4673-8FC3-F35EB2E88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9101C"/>
    <w:pPr>
      <w:spacing w:before="100" w:beforeAutospacing="1" w:after="100" w:afterAutospacing="1" w:line="240" w:lineRule="auto"/>
      <w:outlineLvl w:val="3"/>
    </w:pPr>
    <w:rPr>
      <w:rFonts w:ascii="Times New Roman" w:eastAsia="Times New Roman" w:hAnsi="Times New Roman" w:cs="Times New Roman"/>
      <w:b/>
      <w:bCs/>
      <w:sz w:val="24"/>
      <w:szCs w:val="24"/>
      <w:lang w:eastAsia="en-PK"/>
    </w:rPr>
  </w:style>
  <w:style w:type="paragraph" w:styleId="Heading5">
    <w:name w:val="heading 5"/>
    <w:basedOn w:val="Normal"/>
    <w:next w:val="Normal"/>
    <w:link w:val="Heading5Char"/>
    <w:uiPriority w:val="9"/>
    <w:unhideWhenUsed/>
    <w:qFormat/>
    <w:rsid w:val="001D1B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B95"/>
    <w:pPr>
      <w:ind w:left="720"/>
      <w:contextualSpacing/>
    </w:pPr>
  </w:style>
  <w:style w:type="character" w:customStyle="1" w:styleId="Heading4Char">
    <w:name w:val="Heading 4 Char"/>
    <w:basedOn w:val="DefaultParagraphFont"/>
    <w:link w:val="Heading4"/>
    <w:uiPriority w:val="9"/>
    <w:rsid w:val="00C9101C"/>
    <w:rPr>
      <w:rFonts w:ascii="Times New Roman" w:eastAsia="Times New Roman" w:hAnsi="Times New Roman" w:cs="Times New Roman"/>
      <w:b/>
      <w:bCs/>
      <w:sz w:val="24"/>
      <w:szCs w:val="24"/>
      <w:lang w:val="en-PK" w:eastAsia="en-PK"/>
    </w:rPr>
  </w:style>
  <w:style w:type="character" w:styleId="Emphasis">
    <w:name w:val="Emphasis"/>
    <w:basedOn w:val="DefaultParagraphFont"/>
    <w:uiPriority w:val="20"/>
    <w:qFormat/>
    <w:rsid w:val="00DE747F"/>
    <w:rPr>
      <w:i/>
      <w:iCs/>
    </w:rPr>
  </w:style>
  <w:style w:type="paragraph" w:styleId="NormalWeb">
    <w:name w:val="Normal (Web)"/>
    <w:basedOn w:val="Normal"/>
    <w:uiPriority w:val="99"/>
    <w:unhideWhenUsed/>
    <w:rsid w:val="00171D65"/>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customStyle="1" w:styleId="Heading5Char">
    <w:name w:val="Heading 5 Char"/>
    <w:basedOn w:val="DefaultParagraphFont"/>
    <w:link w:val="Heading5"/>
    <w:uiPriority w:val="9"/>
    <w:rsid w:val="001D1B64"/>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1D1B64"/>
    <w:rPr>
      <w:b/>
      <w:bCs/>
    </w:rPr>
  </w:style>
  <w:style w:type="character" w:customStyle="1" w:styleId="acca-red">
    <w:name w:val="acca-red"/>
    <w:basedOn w:val="DefaultParagraphFont"/>
    <w:rsid w:val="001D1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1395">
      <w:bodyDiv w:val="1"/>
      <w:marLeft w:val="0"/>
      <w:marRight w:val="0"/>
      <w:marTop w:val="0"/>
      <w:marBottom w:val="0"/>
      <w:divBdr>
        <w:top w:val="none" w:sz="0" w:space="0" w:color="auto"/>
        <w:left w:val="none" w:sz="0" w:space="0" w:color="auto"/>
        <w:bottom w:val="none" w:sz="0" w:space="0" w:color="auto"/>
        <w:right w:val="none" w:sz="0" w:space="0" w:color="auto"/>
      </w:divBdr>
    </w:div>
    <w:div w:id="577638066">
      <w:bodyDiv w:val="1"/>
      <w:marLeft w:val="0"/>
      <w:marRight w:val="0"/>
      <w:marTop w:val="0"/>
      <w:marBottom w:val="0"/>
      <w:divBdr>
        <w:top w:val="none" w:sz="0" w:space="0" w:color="auto"/>
        <w:left w:val="none" w:sz="0" w:space="0" w:color="auto"/>
        <w:bottom w:val="none" w:sz="0" w:space="0" w:color="auto"/>
        <w:right w:val="none" w:sz="0" w:space="0" w:color="auto"/>
      </w:divBdr>
    </w:div>
    <w:div w:id="946161494">
      <w:bodyDiv w:val="1"/>
      <w:marLeft w:val="0"/>
      <w:marRight w:val="0"/>
      <w:marTop w:val="0"/>
      <w:marBottom w:val="0"/>
      <w:divBdr>
        <w:top w:val="none" w:sz="0" w:space="0" w:color="auto"/>
        <w:left w:val="none" w:sz="0" w:space="0" w:color="auto"/>
        <w:bottom w:val="none" w:sz="0" w:space="0" w:color="auto"/>
        <w:right w:val="none" w:sz="0" w:space="0" w:color="auto"/>
      </w:divBdr>
    </w:div>
    <w:div w:id="1023016961">
      <w:bodyDiv w:val="1"/>
      <w:marLeft w:val="0"/>
      <w:marRight w:val="0"/>
      <w:marTop w:val="0"/>
      <w:marBottom w:val="0"/>
      <w:divBdr>
        <w:top w:val="none" w:sz="0" w:space="0" w:color="auto"/>
        <w:left w:val="none" w:sz="0" w:space="0" w:color="auto"/>
        <w:bottom w:val="none" w:sz="0" w:space="0" w:color="auto"/>
        <w:right w:val="none" w:sz="0" w:space="0" w:color="auto"/>
      </w:divBdr>
      <w:divsChild>
        <w:div w:id="1771971281">
          <w:marLeft w:val="0"/>
          <w:marRight w:val="0"/>
          <w:marTop w:val="120"/>
          <w:marBottom w:val="0"/>
          <w:divBdr>
            <w:top w:val="none" w:sz="0" w:space="0" w:color="auto"/>
            <w:left w:val="none" w:sz="0" w:space="0" w:color="auto"/>
            <w:bottom w:val="none" w:sz="0" w:space="0" w:color="auto"/>
            <w:right w:val="none" w:sz="0" w:space="0" w:color="auto"/>
          </w:divBdr>
        </w:div>
      </w:divsChild>
    </w:div>
    <w:div w:id="1055281298">
      <w:bodyDiv w:val="1"/>
      <w:marLeft w:val="0"/>
      <w:marRight w:val="0"/>
      <w:marTop w:val="0"/>
      <w:marBottom w:val="0"/>
      <w:divBdr>
        <w:top w:val="none" w:sz="0" w:space="0" w:color="auto"/>
        <w:left w:val="none" w:sz="0" w:space="0" w:color="auto"/>
        <w:bottom w:val="none" w:sz="0" w:space="0" w:color="auto"/>
        <w:right w:val="none" w:sz="0" w:space="0" w:color="auto"/>
      </w:divBdr>
    </w:div>
    <w:div w:id="1590314114">
      <w:bodyDiv w:val="1"/>
      <w:marLeft w:val="0"/>
      <w:marRight w:val="0"/>
      <w:marTop w:val="0"/>
      <w:marBottom w:val="0"/>
      <w:divBdr>
        <w:top w:val="none" w:sz="0" w:space="0" w:color="auto"/>
        <w:left w:val="none" w:sz="0" w:space="0" w:color="auto"/>
        <w:bottom w:val="none" w:sz="0" w:space="0" w:color="auto"/>
        <w:right w:val="none" w:sz="0" w:space="0" w:color="auto"/>
      </w:divBdr>
    </w:div>
    <w:div w:id="1718702594">
      <w:bodyDiv w:val="1"/>
      <w:marLeft w:val="0"/>
      <w:marRight w:val="0"/>
      <w:marTop w:val="0"/>
      <w:marBottom w:val="0"/>
      <w:divBdr>
        <w:top w:val="none" w:sz="0" w:space="0" w:color="auto"/>
        <w:left w:val="none" w:sz="0" w:space="0" w:color="auto"/>
        <w:bottom w:val="none" w:sz="0" w:space="0" w:color="auto"/>
        <w:right w:val="none" w:sz="0" w:space="0" w:color="auto"/>
      </w:divBdr>
    </w:div>
    <w:div w:id="1767337880">
      <w:bodyDiv w:val="1"/>
      <w:marLeft w:val="0"/>
      <w:marRight w:val="0"/>
      <w:marTop w:val="0"/>
      <w:marBottom w:val="0"/>
      <w:divBdr>
        <w:top w:val="none" w:sz="0" w:space="0" w:color="auto"/>
        <w:left w:val="none" w:sz="0" w:space="0" w:color="auto"/>
        <w:bottom w:val="none" w:sz="0" w:space="0" w:color="auto"/>
        <w:right w:val="none" w:sz="0" w:space="0" w:color="auto"/>
      </w:divBdr>
    </w:div>
    <w:div w:id="1955363051">
      <w:bodyDiv w:val="1"/>
      <w:marLeft w:val="0"/>
      <w:marRight w:val="0"/>
      <w:marTop w:val="0"/>
      <w:marBottom w:val="0"/>
      <w:divBdr>
        <w:top w:val="none" w:sz="0" w:space="0" w:color="auto"/>
        <w:left w:val="none" w:sz="0" w:space="0" w:color="auto"/>
        <w:bottom w:val="none" w:sz="0" w:space="0" w:color="auto"/>
        <w:right w:val="none" w:sz="0" w:space="0" w:color="auto"/>
      </w:divBdr>
    </w:div>
    <w:div w:id="2090535596">
      <w:bodyDiv w:val="1"/>
      <w:marLeft w:val="0"/>
      <w:marRight w:val="0"/>
      <w:marTop w:val="0"/>
      <w:marBottom w:val="0"/>
      <w:divBdr>
        <w:top w:val="none" w:sz="0" w:space="0" w:color="auto"/>
        <w:left w:val="none" w:sz="0" w:space="0" w:color="auto"/>
        <w:bottom w:val="none" w:sz="0" w:space="0" w:color="auto"/>
        <w:right w:val="none" w:sz="0" w:space="0" w:color="auto"/>
      </w:divBdr>
      <w:divsChild>
        <w:div w:id="1224869081">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4</Pages>
  <Words>1331</Words>
  <Characters>7591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Aaman Ahmed</dc:creator>
  <cp:keywords/>
  <dc:description/>
  <cp:lastModifiedBy>Aaman Ahmed</cp:lastModifiedBy>
  <cp:revision>8</cp:revision>
  <dcterms:created xsi:type="dcterms:W3CDTF">2025-12-30T06:43:00Z</dcterms:created>
  <dcterms:modified xsi:type="dcterms:W3CDTF">2025-12-31T11:18:00Z</dcterms:modified>
</cp:coreProperties>
</file>