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jc w:val="center"/>
      </w:pPr>
      <w:r>
        <w:rPr>
          <w:b/>
          <w:bCs/>
          <w:color w:val="000000"/>
          <w:sz w:val="38"/>
          <w:szCs w:val="38"/>
        </w:rPr>
        <w:t>Taleemabad Evaluation by CERP Analytics - Child Level Analysis</w:t>
      </w:r>
    </w:p>
    <w:p>
      <w:pPr>
        <w:spacing w:before="240" w:after="240"/>
        <w:jc w:val="both"/>
      </w:pPr>
    </w:p>
    <w:p>
      <w:pPr>
        <w:spacing w:before="240" w:after="240"/>
        <w:jc w:val="both"/>
      </w:pPr>
      <w:r>
        <w:rPr>
          <w:b/>
          <w:bCs/>
        </w:rPr>
        <w:t>ASER Grades 1 - 3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995182"/>
            <wp:docPr id="100001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45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1: % Difference in Grade Threshold Clearing Between Treatment and Control Students at Baseline and Endline using ASER Grades 1 - 3 instrument </w:t>
      </w:r>
    </w:p>
    <w:p>
      <w:pPr>
        <w:spacing w:before="240" w:after="240"/>
        <w:jc w:val="both"/>
      </w:pPr>
      <w:r>
        <w:t>At endline, 2.56% of treatment students met the criteria for all 3 subjects compared to .94% of control students. This represents a difference of .17 standard deviations compared to the control students, which is equivalent to 1.31 LAYS.</w:t>
      </w:r>
    </w:p>
    <w:p>
      <w:pPr>
        <w:spacing w:before="240" w:after="240"/>
        <w:jc w:val="both"/>
      </w:pPr>
      <w:r>
        <w:t>At baseline, the percentage difference between treatment and control students for English is 24.81% which is statistically significant at the 5% level. At endline, the percentage difference between treatment and control students for English is .16% which is statistically significant at 5%. Expressed in standard deviations, treatment students are .55 standard deviations above control students for English at endline.</w:t>
      </w:r>
    </w:p>
    <w:p>
      <w:pPr>
        <w:spacing w:before="240" w:after="240"/>
        <w:jc w:val="both"/>
      </w:pPr>
      <w:r>
        <w:t>At baseline, the percentage difference between treatment and control students for Maths is -3.01% which is statistically insignificant from zero. At endline, the percentage difference between treatment and control students for Maths is .02% which is statistically insignificant from zero. Expressed in standard deviations, treatment students are .04 standard deviations above control students for Maths at endline.</w:t>
      </w:r>
    </w:p>
    <w:p>
      <w:pPr>
        <w:spacing w:before="240" w:after="240"/>
        <w:jc w:val="both"/>
      </w:pPr>
      <w:r>
        <w:t>At baseline, the percentage difference between treatment and control students for Urdu is 14.99% which is statistically significant at the 5% level. At endline, the percentage difference between treatment and control students for Urdu is 8.26% which is statistically significant at the 5% level. Expressed in standard deviations, treatment students are .25 standard deviations above control students for Urdu at endline.</w:t>
      </w:r>
    </w:p>
    <w:p>
      <w:pPr>
        <w:spacing w:before="240" w:after="240"/>
        <w:jc w:val="both"/>
      </w:pPr>
      <w:r>
        <w:rPr>
          <w:b/>
          <w:bCs/>
        </w:rPr>
        <w:t>ASER Grades 4 - 5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917481"/>
            <wp:docPr id="100002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5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2: % Difference in Grade Threshold Clearing Between Treatment and Control Students at Baseline and Endline using ASER Grades 4 - 5 instrument </w:t>
      </w:r>
    </w:p>
    <w:p>
      <w:pPr>
        <w:spacing w:before="240" w:after="240"/>
        <w:jc w:val="both"/>
      </w:pPr>
      <w:r>
        <w:t>At endline, 7.32% of treatment students met the criteria for all 3 subjects compared to 6.04% of control students. This represents a difference of .05 standard deviations compared to the control students, which is equivalent to .38 LAYS.</w:t>
      </w:r>
    </w:p>
    <w:p>
      <w:pPr>
        <w:spacing w:before="240" w:after="240"/>
        <w:jc w:val="both"/>
      </w:pPr>
      <w:r>
        <w:t>At baseline, the percentage difference between treatment and control students for English is 2.57% which is statistically insignificant from zero. At endline, the percentage difference between treatment and control students for English is 2.96% which is statistically insignificant from zero. Expressed in standard deviations, treatment students are .09 standard deviations above control students for English at endline.</w:t>
      </w:r>
    </w:p>
    <w:p>
      <w:pPr>
        <w:spacing w:before="240" w:after="240"/>
        <w:jc w:val="both"/>
      </w:pPr>
      <w:r>
        <w:t>At baseline, the percentage difference between treatment and control students for Maths is 20.39% which is statistically significant at the 5% level. At endline, the percentage difference between treatment and control students for Maths is 2% which is statistically insignificant from zero. Expressed in standard deviations, treatment students are .04 standard deviations above control students for Maths at endline.</w:t>
      </w:r>
    </w:p>
    <w:p>
      <w:pPr>
        <w:spacing w:before="240" w:after="240"/>
        <w:jc w:val="both"/>
      </w:pPr>
      <w:r>
        <w:t>At baseline, the percentage difference between treatment and control students for Urdu is 14.24% which is statistically significant at the 5% level. At endline, the percentage difference between treatment and control students for Urdu is 12.74% which is statistically significant at the 5% level. Expressed in standard deviations, treatment students are .27 standard deviations above control students for Urdu at endline.</w:t>
      </w:r>
    </w:p>
    <w:p>
      <w:pPr>
        <w:spacing w:before="240" w:after="240"/>
        <w:jc w:val="both"/>
      </w:pPr>
      <w:r>
        <w:rPr>
          <w:b/>
          <w:bCs/>
        </w:rPr>
        <w:t>MELQO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804989"/>
            <wp:docPr id="100003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3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3: % Difference in Scores between Treatment and Control Students at Baseline and Endline using MELQO </w:t>
      </w:r>
    </w:p>
    <w:p>
      <w:pPr>
        <w:spacing w:before="240" w:after="240"/>
        <w:jc w:val="both"/>
      </w:pPr>
      <w:r>
        <w:t>At baseline, the percentage difference between treatment and control students for pre-literacy is 3.13% which is statistically significant at the 5% level. At endline, the percentage difference between treatment and control students for pre-literacy is 3.25% which is statistically significant at the 5% level. Expressed in standard deviations, treatment students are .15 standard deviations above control students for pre-literacy at endline.</w:t>
      </w:r>
    </w:p>
    <w:p>
      <w:pPr>
        <w:spacing w:before="240" w:after="240"/>
        <w:jc w:val="both"/>
      </w:pPr>
      <w:r>
        <w:t>At baseline, the percentage difference between treatment and control students for pre-numeracy is 3.06% which is statistically significant at the 5% level. At endline, the percentage difference between treatment and control students for pre-numeracy is 3.79% which is statistically significant at the 5% level. Expressed in standard deviations, treatment students are .14 standard deviations above control students for pre-numeracy at endline.</w:t>
      </w:r>
    </w:p>
    <w:p>
      <w:pPr>
        <w:spacing w:before="240" w:after="240"/>
        <w:jc w:val="both"/>
      </w:pPr>
      <w:r>
        <w:t>At baseline, the percentage difference between treatment and control students for motor skills is -4.51% which is statistically significant at the 5% level. At endline, the percentage difference between treatment and control students for motor skills is 8.27% which is statistically significant at the 5% level. Expressed in standard deviations, treatment students are .3 standard deviations above control students for motor skills at endline.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