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w:t>
      </w:r>
      <w:r>
        <w:br/>
      </w:r>
      <w:r>
        <w:t>3.3. Student Level Analysis</w:t>
      </w:r>
      <w:r>
        <w:br/>
      </w:r>
      <w:r>
        <w:t>3.3.1. ASER Grades 1 - 3</w:t>
      </w:r>
      <w:r>
        <w:br/>
      </w:r>
      <w:r>
        <w:t>3.3.2. ASER Grades 4 - 5</w:t>
      </w:r>
      <w:r>
        <w:br/>
      </w:r>
      <w:r>
        <w:t>3.3.3. MELQO</w:t>
      </w:r>
      <w:r>
        <w:br/>
      </w:r>
      <w:r>
        <w:t>3.4. Student Level Analysis using Truncated Sample</w:t>
      </w:r>
      <w:r>
        <w:br/>
      </w:r>
      <w:r>
        <w:t>3.4.1. ASER Grades 1 - 3</w:t>
      </w:r>
      <w:r>
        <w:br/>
      </w:r>
      <w:r>
        <w:t>3.4.2. ASER Grades 4 - 5</w:t>
      </w:r>
      <w:r>
        <w:br/>
      </w:r>
      <w:r>
        <w:t>3.4.3. MELQO 3.5. School Level Analysis</w:t>
      </w:r>
      <w:r>
        <w:br/>
      </w:r>
      <w:r>
        <w:t>3.5.1. ASER Grades 1 - 3</w:t>
      </w:r>
      <w:r>
        <w:br/>
      </w:r>
      <w:r>
        <w:t>3.5.2. ASER Grades 4 - 5</w:t>
      </w:r>
      <w:r>
        <w:br/>
      </w:r>
      <w:r>
        <w:t>3.5.3. MELQO</w:t>
      </w:r>
      <w:r>
        <w:br/>
      </w:r>
      <w:r>
        <w:t>3.6. School Level Analysis using Truncated Sample</w:t>
      </w:r>
      <w:r>
        <w:br/>
      </w:r>
      <w:r>
        <w:t>3.6.1. ASER Grades 1 - 3</w:t>
      </w:r>
      <w:r>
        <w:br/>
      </w:r>
      <w:r>
        <w:t>3.6.2. ASER Grades 4 - 5</w:t>
      </w:r>
      <w:r>
        <w:br/>
      </w:r>
      <w:r>
        <w:t>3.6.3. MELQO</w:t>
      </w:r>
    </w:p>
    <w:p>
      <w:pPr>
        <w:numPr>
          <w:ilvl w:val="0"/>
          <w:numId w:val="1"/>
        </w:numPr>
        <w:ind w:left="720" w:hanging="388"/>
        <w:jc w:val="both"/>
      </w:pPr>
      <w:r>
        <w:t>Limitations of the design</w:t>
      </w:r>
    </w:p>
    <w:p>
      <w:pPr>
        <w:numPr>
          <w:ilvl w:val="0"/>
          <w:numId w:val="1"/>
        </w:numPr>
        <w:spacing w:after="240"/>
        <w:ind w:left="720" w:hanging="388"/>
        <w:jc w:val="both"/>
        <w:sectPr>
          <w:pgMar w:header="708" w:footer="708"/>
          <w:cols w:space="708"/>
        </w:sectPr>
      </w:pPr>
      <w:r>
        <w:t>Conclusion</w:t>
      </w:r>
      <w:r>
        <w:br/>
      </w:r>
      <w:r>
        <w:t>Appendix</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76321"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6083"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92629"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9417"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905500" cy="2418443"/>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14070" name=""/>
                    <pic:cNvPicPr>
                      <a:picLocks noChangeAspect="1"/>
                    </pic:cNvPicPr>
                  </pic:nvPicPr>
                  <pic:blipFill>
                    <a:blip xmlns:r="http://schemas.openxmlformats.org/officeDocument/2006/relationships" r:embed="rId8"/>
                    <a:stretch>
                      <a:fillRect/>
                    </a:stretch>
                  </pic:blipFill>
                  <pic:spPr>
                    <a:xfrm>
                      <a:off x="0" y="0"/>
                      <a:ext cx="5905500" cy="241844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3.3: Balance Test at Student Level using outcome variables </w:t>
      </w:r>
    </w:p>
    <w:p>
      <w:pPr>
        <w:spacing w:before="0" w:after="0"/>
        <w:ind w:left="0" w:right="0"/>
        <w:jc w:val="center"/>
      </w:pPr>
      <w:r>
        <w:rPr>
          <w:strike w:val="0"/>
          <w:u w:val="none"/>
        </w:rPr>
        <w:drawing>
          <wp:inline>
            <wp:extent cx="5905500" cy="2452021"/>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6922" name=""/>
                    <pic:cNvPicPr>
                      <a:picLocks noChangeAspect="1"/>
                    </pic:cNvPicPr>
                  </pic:nvPicPr>
                  <pic:blipFill>
                    <a:blip xmlns:r="http://schemas.openxmlformats.org/officeDocument/2006/relationships" r:embed="rId9"/>
                    <a:stretch>
                      <a:fillRect/>
                    </a:stretch>
                  </pic:blipFill>
                  <pic:spPr>
                    <a:xfrm>
                      <a:off x="0" y="0"/>
                      <a:ext cx="5905500" cy="245202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3.4: Balance Test at School Level using outcome variables </w:t>
      </w:r>
    </w:p>
    <w:p>
      <w:pPr>
        <w:spacing w:before="240" w:after="240"/>
        <w:jc w:val="both"/>
      </w:pPr>
      <w:r>
        <w:t>Table 3.1, Table 3.2, Table 3.3 and Table 3.4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Student Level Analysis</w:t>
      </w:r>
    </w:p>
    <w:p>
      <w:pPr>
        <w:spacing w:before="240" w:after="240"/>
        <w:jc w:val="both"/>
      </w:pPr>
      <w:r>
        <w:t>This study evaluates the impact of the Taleemabad program on the student learning outcomes by comparing the mean differences in scores, in percentages, between the treatment and control students at baseline and endline, and testing whether these differences are statistically significant. The following results pertain to the full sample of students who were assessed at baseline and endline.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2995182"/>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954" name=""/>
                    <pic:cNvPicPr>
                      <a:picLocks noChangeAspect="1"/>
                    </pic:cNvPicPr>
                  </pic:nvPicPr>
                  <pic:blipFill>
                    <a:blip xmlns:r="http://schemas.openxmlformats.org/officeDocument/2006/relationships" r:embed="rId10"/>
                    <a:stretch>
                      <a:fillRect/>
                    </a:stretch>
                  </pic:blipFill>
                  <pic:spPr>
                    <a:xfrm>
                      <a:off x="0" y="0"/>
                      <a:ext cx="5715000" cy="29951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2917481"/>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8153" name=""/>
                    <pic:cNvPicPr>
                      <a:picLocks noChangeAspect="1"/>
                    </pic:cNvPicPr>
                  </pic:nvPicPr>
                  <pic:blipFill>
                    <a:blip xmlns:r="http://schemas.openxmlformats.org/officeDocument/2006/relationships" r:embed="rId11"/>
                    <a:stretch>
                      <a:fillRect/>
                    </a:stretch>
                  </pic:blipFill>
                  <pic:spPr>
                    <a:xfrm>
                      <a:off x="0" y="0"/>
                      <a:ext cx="5715000" cy="29174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804989"/>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5960" name=""/>
                    <pic:cNvPicPr>
                      <a:picLocks noChangeAspect="1"/>
                    </pic:cNvPicPr>
                  </pic:nvPicPr>
                  <pic:blipFill>
                    <a:blip xmlns:r="http://schemas.openxmlformats.org/officeDocument/2006/relationships" r:embed="rId12"/>
                    <a:stretch>
                      <a:fillRect/>
                    </a:stretch>
                  </pic:blipFill>
                  <pic:spPr>
                    <a:xfrm>
                      <a:off x="0" y="0"/>
                      <a:ext cx="5715000" cy="28049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rPr>
          <w:b/>
          <w:bCs/>
        </w:rPr>
        <w:t>3.4. Student Level Analysis using Truncated Sample</w:t>
      </w:r>
    </w:p>
    <w:p>
      <w:pPr>
        <w:spacing w:before="240" w:after="240"/>
        <w:jc w:val="both"/>
      </w:pPr>
      <w:r>
        <w:t>The following results pertain to the truncated sample of students who were a part of the 42 consistent schools.</w:t>
      </w:r>
    </w:p>
    <w:p>
      <w:pPr>
        <w:spacing w:before="240" w:after="240"/>
        <w:jc w:val="both"/>
      </w:pPr>
      <w:r>
        <w:rPr>
          <w:b/>
          <w:bCs/>
        </w:rPr>
        <w:t>3.4.1 ASER Grades 1 - 3</w:t>
      </w:r>
    </w:p>
    <w:p>
      <w:pPr>
        <w:spacing w:before="0" w:after="0"/>
        <w:ind w:left="0" w:right="0"/>
        <w:jc w:val="center"/>
      </w:pPr>
      <w:r>
        <w:rPr>
          <w:strike w:val="0"/>
          <w:u w:val="none"/>
        </w:rPr>
        <w:drawing>
          <wp:inline>
            <wp:extent cx="5715000" cy="3056610"/>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7704" name=""/>
                    <pic:cNvPicPr>
                      <a:picLocks noChangeAspect="1"/>
                    </pic:cNvPicPr>
                  </pic:nvPicPr>
                  <pic:blipFill>
                    <a:blip xmlns:r="http://schemas.openxmlformats.org/officeDocument/2006/relationships" r:embed="rId13"/>
                    <a:stretch>
                      <a:fillRect/>
                    </a:stretch>
                  </pic:blipFill>
                  <pic:spPr>
                    <a:xfrm>
                      <a:off x="0" y="0"/>
                      <a:ext cx="5715000" cy="305661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4: % Difference in Grade Threshold Clearing Between Treatment and Control Students at Baseline and Endline using ASER Grades 1 - 3 instrument </w:t>
      </w:r>
    </w:p>
    <w:p>
      <w:pPr>
        <w:spacing w:before="240" w:after="240"/>
        <w:jc w:val="both"/>
      </w:pPr>
      <w:r>
        <w:t>At endline, 2.86% of treatment students met the criteria for all 3 subjects compared to .68% of control students. This represents a difference of .26 standard deviations compared to the control students, which is equivalent to 2 LAYS.</w:t>
      </w:r>
    </w:p>
    <w:p>
      <w:pPr>
        <w:spacing w:before="240" w:after="240"/>
        <w:jc w:val="both"/>
      </w:pPr>
      <w:r>
        <w:t>At baseline, the percentage difference between treatment and control students for English is 21.35% which is statistically significant at the 5% level. At endline, the percentage difference between treatment and control students for English is .13% which is statistically significant at 5%. Expressed in standard deviations, treatment students are .4 standard deviations above control students for English at endline.</w:t>
      </w:r>
    </w:p>
    <w:p>
      <w:pPr>
        <w:spacing w:before="240" w:after="240"/>
        <w:jc w:val="both"/>
      </w:pPr>
      <w:r>
        <w:t>At baseline, the percentage difference between treatment and control students for Maths is -2.38% which is statistically insignificant from zero. At endline, the percentage difference between treatment and control students for Maths is .08% which is statistically significant at the 5% level. Expressed in standard deviations, treatment students are .2 standard deviations above control students for Maths at endline.</w:t>
      </w:r>
    </w:p>
    <w:p>
      <w:pPr>
        <w:spacing w:before="240" w:after="240"/>
        <w:jc w:val="both"/>
      </w:pPr>
      <w:r>
        <w:t>At baseline, the percentage difference between treatment and control students for Urdu is 11.01% which is statistically significant at the 5% level. At endline, the percentage difference between treatment and control students for Urdu is .11% which is statistically significant at the 5% level. Expressed in standard deviations, treatment students are .31 standard deviations above control students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2848761"/>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1763" name=""/>
                    <pic:cNvPicPr>
                      <a:picLocks noChangeAspect="1"/>
                    </pic:cNvPicPr>
                  </pic:nvPicPr>
                  <pic:blipFill>
                    <a:blip xmlns:r="http://schemas.openxmlformats.org/officeDocument/2006/relationships" r:embed="rId14"/>
                    <a:stretch>
                      <a:fillRect/>
                    </a:stretch>
                  </pic:blipFill>
                  <pic:spPr>
                    <a:xfrm>
                      <a:off x="0" y="0"/>
                      <a:ext cx="5715000" cy="284876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5: % Difference in Grade Threshold Clearing Between Treatment and Control Students at Baseline and Endline using ASER Grades 4 - 5 instrument </w:t>
      </w:r>
    </w:p>
    <w:p>
      <w:pPr>
        <w:spacing w:before="240" w:after="240"/>
        <w:jc w:val="both"/>
      </w:pPr>
      <w:r>
        <w:t>At endline, 8.56% of treatment students met the criteria for all 3 subjects compared to 2.04% of control students. This represents a difference of .46 standard deviations compared to the control students, which is equivalent to 3.54 LAYS.</w:t>
      </w:r>
    </w:p>
    <w:p>
      <w:pPr>
        <w:spacing w:before="240" w:after="240"/>
        <w:jc w:val="both"/>
      </w:pPr>
      <w:r>
        <w:t>At baseline, the percentage difference between treatment and control students for English is 3.2% which is statistically insignificant from zero. At endline, the percentage difference between treatment and control students for English is 10.63% which is statistically significant at the 5% level. Expressed in standard deviations, treatment students are .46 standard deviations above control students for English at endline.</w:t>
      </w:r>
    </w:p>
    <w:p>
      <w:pPr>
        <w:spacing w:before="240" w:after="240"/>
        <w:jc w:val="both"/>
      </w:pPr>
      <w:r>
        <w:t>At baseline, the percentage difference between treatment and control students for Maths is 23.88% which is statistically significant at the 5% level. At endline, the percentage difference between treatment and control students for Maths is 2.58% which is statistically insignificant from zero. Expressed in standard deviations, treatment students are .05 standard deviations above control students for Maths at endline.</w:t>
      </w:r>
    </w:p>
    <w:p>
      <w:pPr>
        <w:spacing w:before="240" w:after="240"/>
        <w:jc w:val="both"/>
      </w:pPr>
      <w:r>
        <w:t>At baseline, the percentage difference between treatment and control students for Urdu is 14.29% which is statistically significant at the 5% level. At endline, the percentage difference between treatment and control students for Urdu is 21.24% which is statistically significant at the 5% level. Expressed in standard deviations, treatment students are .43 standard deviations above control students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058072"/>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5483" name=""/>
                    <pic:cNvPicPr>
                      <a:picLocks noChangeAspect="1"/>
                    </pic:cNvPicPr>
                  </pic:nvPicPr>
                  <pic:blipFill>
                    <a:blip xmlns:r="http://schemas.openxmlformats.org/officeDocument/2006/relationships" r:embed="rId15"/>
                    <a:stretch>
                      <a:fillRect/>
                    </a:stretch>
                  </pic:blipFill>
                  <pic:spPr>
                    <a:xfrm>
                      <a:off x="0" y="0"/>
                      <a:ext cx="5715000" cy="305807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6: % Difference in Scores between Treatment and Control Students at Baseline and Endline using MELQO </w:t>
      </w:r>
    </w:p>
    <w:p>
      <w:pPr>
        <w:spacing w:before="240" w:after="240"/>
        <w:jc w:val="both"/>
      </w:pPr>
      <w:r>
        <w:t>At baseline, the percentage difference between treatment and control students for pre-literacy is 4.83% which is statistically significant at the 5% level. At endline, the percentage difference between treatment and control students for pre-literacy is 7.53% which is statistically significant at the 5% level. Expressed in standard deviations, treatment students are .32 standard deviations above control students for pre-literacy at endline.</w:t>
      </w:r>
    </w:p>
    <w:p>
      <w:pPr>
        <w:spacing w:before="240" w:after="240"/>
        <w:jc w:val="both"/>
      </w:pPr>
      <w:r>
        <w:t>At baseline, the percentage difference between treatment and control students for pre-numeracy is 6.32% which is statistically significant at the 5% level. At endline, the percentage difference between treatment and control students for pre-numeracy is 4% which is statistically significant at the 5% level. Expressed in standard deviations, treatment students are .15 standard deviations above control students for pre-numeracy at endline.</w:t>
      </w:r>
    </w:p>
    <w:p>
      <w:pPr>
        <w:spacing w:before="240" w:after="240"/>
        <w:jc w:val="both"/>
      </w:pPr>
      <w:r>
        <w:t>At baseline, the percentage difference between treatment and control students for motor skills is -2.88% which is statistically insignificant from zero. At endline, the percentage difference between treatment and control students for motor skills is 9.14% which is statistically significant at the 5% level. Expressed in standard deviations, treatment students are .31 standard deviations above control students for motor skills at endline.</w:t>
      </w:r>
    </w:p>
    <w:p>
      <w:pPr>
        <w:spacing w:before="240" w:after="240"/>
        <w:jc w:val="both"/>
      </w:pPr>
      <w:r>
        <w:rPr>
          <w:b/>
          <w:bCs/>
        </w:rPr>
        <w:t>3.5. School Level Analysis</w:t>
      </w:r>
    </w:p>
    <w:p>
      <w:pPr>
        <w:spacing w:before="240" w:after="240"/>
        <w:jc w:val="both"/>
      </w:pPr>
      <w:r>
        <w:t>The following analysis is at the school level and evaluates the impact of the Taleemabad program on the student learning outcomes by comparing the mean differences in scores, in percentages, between the treatment and control schools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3.5.1. ASER Grades 1 - 3</w:t>
      </w:r>
    </w:p>
    <w:p>
      <w:pPr>
        <w:spacing w:before="0" w:after="0"/>
        <w:ind w:left="0" w:right="0"/>
        <w:jc w:val="center"/>
      </w:pPr>
      <w:r>
        <w:rPr>
          <w:strike w:val="0"/>
          <w:u w:val="none"/>
        </w:rPr>
        <w:drawing>
          <wp:inline>
            <wp:extent cx="5715000" cy="3433782"/>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4111" name=""/>
                    <pic:cNvPicPr>
                      <a:picLocks noChangeAspect="1"/>
                    </pic:cNvPicPr>
                  </pic:nvPicPr>
                  <pic:blipFill>
                    <a:blip xmlns:r="http://schemas.openxmlformats.org/officeDocument/2006/relationships" r:embed="rId16"/>
                    <a:stretch>
                      <a:fillRect/>
                    </a:stretch>
                  </pic:blipFill>
                  <pic:spPr>
                    <a:xfrm>
                      <a:off x="0" y="0"/>
                      <a:ext cx="5715000" cy="34337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7: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3.5.2. ASER Grades 4 - 5</w:t>
      </w:r>
    </w:p>
    <w:p>
      <w:pPr>
        <w:spacing w:before="0" w:after="0"/>
        <w:ind w:left="0" w:right="0"/>
        <w:jc w:val="center"/>
      </w:pPr>
      <w:r>
        <w:rPr>
          <w:strike w:val="0"/>
          <w:u w:val="none"/>
        </w:rPr>
        <w:drawing>
          <wp:inline>
            <wp:extent cx="5715000" cy="3117273"/>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9463" name=""/>
                    <pic:cNvPicPr>
                      <a:picLocks noChangeAspect="1"/>
                    </pic:cNvPicPr>
                  </pic:nvPicPr>
                  <pic:blipFill>
                    <a:blip xmlns:r="http://schemas.openxmlformats.org/officeDocument/2006/relationships" r:embed="rId17"/>
                    <a:stretch>
                      <a:fillRect/>
                    </a:stretch>
                  </pic:blipFill>
                  <pic:spPr>
                    <a:xfrm>
                      <a:off x="0" y="0"/>
                      <a:ext cx="5715000" cy="311727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8: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3.5.3. MELQO</w:t>
      </w:r>
    </w:p>
    <w:p>
      <w:pPr>
        <w:spacing w:before="0" w:after="0"/>
        <w:ind w:left="0" w:right="0"/>
        <w:jc w:val="center"/>
      </w:pPr>
      <w:r>
        <w:rPr>
          <w:strike w:val="0"/>
          <w:u w:val="none"/>
        </w:rPr>
        <w:drawing>
          <wp:inline>
            <wp:extent cx="5715000" cy="2836489"/>
            <wp:docPr id="10001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1730" name=""/>
                    <pic:cNvPicPr>
                      <a:picLocks noChangeAspect="1"/>
                    </pic:cNvPicPr>
                  </pic:nvPicPr>
                  <pic:blipFill>
                    <a:blip xmlns:r="http://schemas.openxmlformats.org/officeDocument/2006/relationships" r:embed="rId18"/>
                    <a:stretch>
                      <a:fillRect/>
                    </a:stretch>
                  </pic:blipFill>
                  <pic:spPr>
                    <a:xfrm>
                      <a:off x="0" y="0"/>
                      <a:ext cx="5715000" cy="28364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9: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3.6.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3.6.1. ASER Grades 1 - 3</w:t>
      </w:r>
    </w:p>
    <w:p>
      <w:pPr>
        <w:spacing w:before="0" w:after="0"/>
        <w:ind w:left="0" w:right="0"/>
        <w:jc w:val="center"/>
      </w:pPr>
      <w:r>
        <w:rPr>
          <w:strike w:val="0"/>
          <w:u w:val="none"/>
        </w:rPr>
        <w:drawing>
          <wp:inline>
            <wp:extent cx="5715000" cy="3443974"/>
            <wp:docPr id="10001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1765" name=""/>
                    <pic:cNvPicPr>
                      <a:picLocks noChangeAspect="1"/>
                    </pic:cNvPicPr>
                  </pic:nvPicPr>
                  <pic:blipFill>
                    <a:blip xmlns:r="http://schemas.openxmlformats.org/officeDocument/2006/relationships" r:embed="rId19"/>
                    <a:stretch>
                      <a:fillRect/>
                    </a:stretch>
                  </pic:blipFill>
                  <pic:spPr>
                    <a:xfrm>
                      <a:off x="0" y="0"/>
                      <a:ext cx="5715000" cy="34439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10: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3.6.2. ASER Grades 4 - 5</w:t>
      </w:r>
    </w:p>
    <w:p>
      <w:pPr>
        <w:spacing w:before="0" w:after="0"/>
        <w:ind w:left="0" w:right="0"/>
        <w:jc w:val="center"/>
      </w:pPr>
      <w:r>
        <w:rPr>
          <w:strike w:val="0"/>
          <w:u w:val="none"/>
        </w:rPr>
        <w:drawing>
          <wp:inline>
            <wp:extent cx="5715000" cy="3095374"/>
            <wp:docPr id="10001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8757" name=""/>
                    <pic:cNvPicPr>
                      <a:picLocks noChangeAspect="1"/>
                    </pic:cNvPicPr>
                  </pic:nvPicPr>
                  <pic:blipFill>
                    <a:blip xmlns:r="http://schemas.openxmlformats.org/officeDocument/2006/relationships" r:embed="rId20"/>
                    <a:stretch>
                      <a:fillRect/>
                    </a:stretch>
                  </pic:blipFill>
                  <pic:spPr>
                    <a:xfrm>
                      <a:off x="0" y="0"/>
                      <a:ext cx="5715000" cy="30953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11: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3.6.3. MELQO</w:t>
      </w:r>
    </w:p>
    <w:p>
      <w:pPr>
        <w:spacing w:before="0" w:after="0"/>
        <w:ind w:left="0" w:right="0"/>
        <w:jc w:val="center"/>
      </w:pPr>
      <w:r>
        <w:rPr>
          <w:strike w:val="0"/>
          <w:u w:val="none"/>
        </w:rPr>
        <w:drawing>
          <wp:inline>
            <wp:extent cx="5715000" cy="3439004"/>
            <wp:docPr id="10001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934" name=""/>
                    <pic:cNvPicPr>
                      <a:picLocks noChangeAspect="1"/>
                    </pic:cNvPicPr>
                  </pic:nvPicPr>
                  <pic:blipFill>
                    <a:blip xmlns:r="http://schemas.openxmlformats.org/officeDocument/2006/relationships" r:embed="rId21"/>
                    <a:stretch>
                      <a:fillRect/>
                    </a:stretch>
                  </pic:blipFill>
                  <pic:spPr>
                    <a:xfrm>
                      <a:off x="0" y="0"/>
                      <a:ext cx="5715000" cy="343900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12: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 of the design</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make use of existing village level and household level data</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pPr>
        <w:keepNext w:val="0"/>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school-level or village-level information, it would enable more nuanced analysis of the program effectiveness. </w:t>
      </w:r>
    </w:p>
    <w:p>
      <w:pPr>
        <w:jc w:val="both"/>
        <w:sectPr>
          <w:type w:val="nextPage"/>
          <w:pgMar w:header="708" w:footer="708"/>
          <w:cols w:space="708"/>
        </w:sectPr>
      </w:pPr>
    </w:p>
    <w:p>
      <w:pPr>
        <w:spacing w:before="240" w:after="240"/>
        <w:jc w:val="both"/>
      </w:pPr>
      <w:r>
        <w:rPr>
          <w:b/>
          <w:bCs/>
        </w:rPr>
        <w:t>Appendix</w:t>
      </w:r>
    </w:p>
    <w:p>
      <w:pPr>
        <w:spacing w:before="0" w:after="0"/>
        <w:ind w:left="0" w:right="0"/>
        <w:jc w:val="center"/>
      </w:pPr>
      <w:r>
        <w:rPr>
          <w:strike w:val="0"/>
          <w:u w:val="none"/>
        </w:rPr>
        <w:drawing>
          <wp:inline>
            <wp:extent cx="6000750" cy="3392537"/>
            <wp:docPr id="100019"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09911" name=""/>
                    <pic:cNvPicPr>
                      <a:picLocks noChangeAspect="1"/>
                    </pic:cNvPicPr>
                  </pic:nvPicPr>
                  <pic:blipFill>
                    <a:blip xmlns:r="http://schemas.openxmlformats.org/officeDocument/2006/relationships" r:embed="rId22"/>
                    <a:stretch>
                      <a:fillRect/>
                    </a:stretch>
                  </pic:blipFill>
                  <pic:spPr>
                    <a:xfrm>
                      <a:off x="0" y="0"/>
                      <a:ext cx="6000750" cy="339253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jc w:val="both"/>
      </w:pPr>
      <w:r>
        <w:t xml:space="preserve">Table 4 identifies the top 20% best performing consistent schools in the treatment group for each outcome variables using the ASER and MELQO instruments. For each outcome variable,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