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 3.3. School Level Analysis</w:t>
      </w:r>
      <w:r>
        <w:br/>
      </w:r>
      <w:r>
        <w:t>3.3.1. ASER Grades 1 - 3</w:t>
      </w:r>
      <w:r>
        <w:br/>
      </w:r>
      <w:r>
        <w:t>3.3.2. ASER Grades 4 - 5</w:t>
      </w:r>
      <w:r>
        <w:br/>
      </w:r>
      <w:r>
        <w:t>3.3.3. MELQO</w:t>
      </w:r>
      <w:r>
        <w:br/>
      </w:r>
      <w:r>
        <w:t>3.4. School Level Analysis using Truncated Sample</w:t>
      </w:r>
      <w:r>
        <w:br/>
      </w:r>
      <w:r>
        <w:t>3.4.1. ASER Grades 1 - 3</w:t>
      </w:r>
      <w:r>
        <w:br/>
      </w:r>
      <w:r>
        <w:t>3.4.2. ASER Grades 4 - 5</w:t>
      </w:r>
      <w:r>
        <w:br/>
      </w:r>
      <w:r>
        <w:t>3.4.3. MELQO</w:t>
      </w:r>
    </w:p>
    <w:p>
      <w:pPr>
        <w:numPr>
          <w:ilvl w:val="0"/>
          <w:numId w:val="1"/>
        </w:numPr>
        <w:ind w:left="720" w:hanging="388"/>
        <w:jc w:val="both"/>
      </w:pPr>
      <w:r>
        <w:t>Limitations of the design</w:t>
      </w:r>
    </w:p>
    <w:p>
      <w:pPr>
        <w:numPr>
          <w:ilvl w:val="0"/>
          <w:numId w:val="1"/>
        </w:numPr>
        <w:spacing w:after="240"/>
        <w:ind w:left="720" w:hanging="388"/>
        <w:jc w:val="both"/>
        <w:sectPr>
          <w:pgMar w:header="708" w:footer="708"/>
          <w:cols w:space="708"/>
        </w:sectPr>
      </w:pPr>
      <w:r>
        <w:t>Conclusion</w:t>
      </w:r>
      <w:r>
        <w:br/>
      </w:r>
      <w:r>
        <w:t>Appendix A: Student Level Analysis</w:t>
      </w:r>
      <w:r>
        <w:br/>
      </w:r>
      <w:r>
        <w:t>Appendix B: Top Performing Schools</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6604"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8264"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2178"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for all schools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4103"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905500" cy="2418443"/>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8873" name=""/>
                    <pic:cNvPicPr>
                      <a:picLocks noChangeAspect="1"/>
                    </pic:cNvPicPr>
                  </pic:nvPicPr>
                  <pic:blipFill>
                    <a:blip xmlns:r="http://schemas.openxmlformats.org/officeDocument/2006/relationships" r:embed="rId8"/>
                    <a:stretch>
                      <a:fillRect/>
                    </a:stretch>
                  </pic:blipFill>
                  <pic:spPr>
                    <a:xfrm>
                      <a:off x="0" y="0"/>
                      <a:ext cx="5905500" cy="241844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3.3: Balance Test at Student Level using outcome variables </w:t>
      </w:r>
    </w:p>
    <w:p>
      <w:pPr>
        <w:spacing w:before="0" w:after="0"/>
        <w:ind w:left="0" w:right="0"/>
        <w:jc w:val="center"/>
      </w:pPr>
      <w:r>
        <w:rPr>
          <w:strike w:val="0"/>
          <w:u w:val="none"/>
        </w:rPr>
        <w:drawing>
          <wp:inline>
            <wp:extent cx="5905500" cy="2452021"/>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013" name=""/>
                    <pic:cNvPicPr>
                      <a:picLocks noChangeAspect="1"/>
                    </pic:cNvPicPr>
                  </pic:nvPicPr>
                  <pic:blipFill>
                    <a:blip xmlns:r="http://schemas.openxmlformats.org/officeDocument/2006/relationships" r:embed="rId9"/>
                    <a:stretch>
                      <a:fillRect/>
                    </a:stretch>
                  </pic:blipFill>
                  <pic:spPr>
                    <a:xfrm>
                      <a:off x="0" y="0"/>
                      <a:ext cx="5905500" cy="245202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3.4: Balance Test at School Level using outcome variables </w:t>
      </w:r>
    </w:p>
    <w:p>
      <w:pPr>
        <w:spacing w:before="240" w:after="240"/>
        <w:jc w:val="both"/>
      </w:pPr>
      <w:r>
        <w:t>Table 3.1, Table 3.2, Table 3.3 and Table 3.4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School Level Analysis</w:t>
      </w:r>
    </w:p>
    <w:p>
      <w:pPr>
        <w:spacing w:before="240" w:after="240"/>
        <w:jc w:val="both"/>
      </w:pPr>
      <w:r>
        <w:t>This study evaluates the impact of the Taleemabad program on the student learning outcomes by comparing the mean differences in scores, in percentages, between the treatment and control schools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433782"/>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5484" name=""/>
                    <pic:cNvPicPr>
                      <a:picLocks noChangeAspect="1"/>
                    </pic:cNvPicPr>
                  </pic:nvPicPr>
                  <pic:blipFill>
                    <a:blip xmlns:r="http://schemas.openxmlformats.org/officeDocument/2006/relationships" r:embed="rId10"/>
                    <a:stretch>
                      <a:fillRect/>
                    </a:stretch>
                  </pic:blipFill>
                  <pic:spPr>
                    <a:xfrm>
                      <a:off x="0" y="0"/>
                      <a:ext cx="5715000" cy="34337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7: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3117273"/>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7892" name=""/>
                    <pic:cNvPicPr>
                      <a:picLocks noChangeAspect="1"/>
                    </pic:cNvPicPr>
                  </pic:nvPicPr>
                  <pic:blipFill>
                    <a:blip xmlns:r="http://schemas.openxmlformats.org/officeDocument/2006/relationships" r:embed="rId11"/>
                    <a:stretch>
                      <a:fillRect/>
                    </a:stretch>
                  </pic:blipFill>
                  <pic:spPr>
                    <a:xfrm>
                      <a:off x="0" y="0"/>
                      <a:ext cx="5715000" cy="311727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8: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836489"/>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0802" name=""/>
                    <pic:cNvPicPr>
                      <a:picLocks noChangeAspect="1"/>
                    </pic:cNvPicPr>
                  </pic:nvPicPr>
                  <pic:blipFill>
                    <a:blip xmlns:r="http://schemas.openxmlformats.org/officeDocument/2006/relationships" r:embed="rId12"/>
                    <a:stretch>
                      <a:fillRect/>
                    </a:stretch>
                  </pic:blipFill>
                  <pic:spPr>
                    <a:xfrm>
                      <a:off x="0" y="0"/>
                      <a:ext cx="5715000" cy="28364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9: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3.4.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443974"/>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8406" name=""/>
                    <pic:cNvPicPr>
                      <a:picLocks noChangeAspect="1"/>
                    </pic:cNvPicPr>
                  </pic:nvPicPr>
                  <pic:blipFill>
                    <a:blip xmlns:r="http://schemas.openxmlformats.org/officeDocument/2006/relationships" r:embed="rId13"/>
                    <a:stretch>
                      <a:fillRect/>
                    </a:stretch>
                  </pic:blipFill>
                  <pic:spPr>
                    <a:xfrm>
                      <a:off x="0" y="0"/>
                      <a:ext cx="5715000" cy="34439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10: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3095374"/>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7390" name=""/>
                    <pic:cNvPicPr>
                      <a:picLocks noChangeAspect="1"/>
                    </pic:cNvPicPr>
                  </pic:nvPicPr>
                  <pic:blipFill>
                    <a:blip xmlns:r="http://schemas.openxmlformats.org/officeDocument/2006/relationships" r:embed="rId14"/>
                    <a:stretch>
                      <a:fillRect/>
                    </a:stretch>
                  </pic:blipFill>
                  <pic:spPr>
                    <a:xfrm>
                      <a:off x="0" y="0"/>
                      <a:ext cx="5715000" cy="30953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11: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439004"/>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2191" name=""/>
                    <pic:cNvPicPr>
                      <a:picLocks noChangeAspect="1"/>
                    </pic:cNvPicPr>
                  </pic:nvPicPr>
                  <pic:blipFill>
                    <a:blip xmlns:r="http://schemas.openxmlformats.org/officeDocument/2006/relationships" r:embed="rId15"/>
                    <a:stretch>
                      <a:fillRect/>
                    </a:stretch>
                  </pic:blipFill>
                  <pic:spPr>
                    <a:xfrm>
                      <a:off x="0" y="0"/>
                      <a:ext cx="5715000" cy="343900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12: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 of the design</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make use of existing village level and household level data</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pPr>
        <w:keepNext w:val="0"/>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school-level or village-level information, it would enable more nuanced analysis of the program effectiveness. </w:t>
      </w:r>
    </w:p>
    <w:p>
      <w:pPr>
        <w:jc w:val="both"/>
        <w:sectPr>
          <w:type w:val="nextPage"/>
          <w:pgMar w:header="708" w:footer="708"/>
          <w:cols w:space="708"/>
        </w:sectPr>
      </w:pPr>
    </w:p>
    <w:p>
      <w:pPr>
        <w:spacing w:before="240" w:after="240"/>
        <w:jc w:val="both"/>
      </w:pPr>
      <w:r>
        <w:rPr>
          <w:b/>
          <w:bCs/>
        </w:rPr>
        <w:t>Appendix A: Student Level Analysis</w:t>
      </w:r>
    </w:p>
    <w:p>
      <w:pPr>
        <w:spacing w:before="240" w:after="240"/>
        <w:jc w:val="both"/>
      </w:pPr>
      <w:r>
        <w:t>This study evaluates the impact of the Taleemabad program on the student learning outcomes by comparing the mean differences in scores, in percentages, between the treatment and control students at baseline and endline, and testing whether these differences are statistically significant. The following results pertain to the full sample of students who were assessed at baseline and endline. The figures plot results by Taleemabad and CERP for comparison.</w:t>
      </w:r>
    </w:p>
    <w:p>
      <w:pPr>
        <w:spacing w:before="240" w:after="240"/>
        <w:jc w:val="both"/>
      </w:pPr>
      <w:r>
        <w:rPr>
          <w:b/>
          <w:bCs/>
        </w:rPr>
        <w:t>ASER Grades 1 - 3</w:t>
      </w:r>
    </w:p>
    <w:p>
      <w:pPr>
        <w:spacing w:before="0" w:after="0"/>
        <w:ind w:left="0" w:right="0"/>
        <w:jc w:val="center"/>
      </w:pPr>
      <w:r>
        <w:rPr>
          <w:strike w:val="0"/>
          <w:u w:val="none"/>
        </w:rPr>
        <w:drawing>
          <wp:inline>
            <wp:extent cx="5715000" cy="2995182"/>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1417" name=""/>
                    <pic:cNvPicPr>
                      <a:picLocks noChangeAspect="1"/>
                    </pic:cNvPicPr>
                  </pic:nvPicPr>
                  <pic:blipFill>
                    <a:blip xmlns:r="http://schemas.openxmlformats.org/officeDocument/2006/relationships" r:embed="rId16"/>
                    <a:stretch>
                      <a:fillRect/>
                    </a:stretch>
                  </pic:blipFill>
                  <pic:spPr>
                    <a:xfrm>
                      <a:off x="0" y="0"/>
                      <a:ext cx="5715000" cy="29951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rPr>
          <w:b/>
          <w:bCs/>
        </w:rPr>
        <w:t>ASER Grades 4 - 5</w:t>
      </w:r>
    </w:p>
    <w:p>
      <w:pPr>
        <w:spacing w:before="0" w:after="0"/>
        <w:ind w:left="0" w:right="0"/>
        <w:jc w:val="center"/>
      </w:pPr>
      <w:r>
        <w:rPr>
          <w:strike w:val="0"/>
          <w:u w:val="none"/>
        </w:rPr>
        <w:drawing>
          <wp:inline>
            <wp:extent cx="5715000" cy="2917481"/>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3136" name=""/>
                    <pic:cNvPicPr>
                      <a:picLocks noChangeAspect="1"/>
                    </pic:cNvPicPr>
                  </pic:nvPicPr>
                  <pic:blipFill>
                    <a:blip xmlns:r="http://schemas.openxmlformats.org/officeDocument/2006/relationships" r:embed="rId17"/>
                    <a:stretch>
                      <a:fillRect/>
                    </a:stretch>
                  </pic:blipFill>
                  <pic:spPr>
                    <a:xfrm>
                      <a:off x="0" y="0"/>
                      <a:ext cx="5715000" cy="29174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rPr>
          <w:b/>
          <w:bCs/>
        </w:rPr>
        <w:t>MELQO</w:t>
      </w:r>
    </w:p>
    <w:p>
      <w:pPr>
        <w:spacing w:before="0" w:after="0"/>
        <w:ind w:left="0" w:right="0"/>
        <w:jc w:val="center"/>
      </w:pPr>
      <w:r>
        <w:rPr>
          <w:strike w:val="0"/>
          <w:u w:val="none"/>
        </w:rPr>
        <w:drawing>
          <wp:inline>
            <wp:extent cx="5715000" cy="2804989"/>
            <wp:docPr id="10001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81922" name=""/>
                    <pic:cNvPicPr>
                      <a:picLocks noChangeAspect="1"/>
                    </pic:cNvPicPr>
                  </pic:nvPicPr>
                  <pic:blipFill>
                    <a:blip xmlns:r="http://schemas.openxmlformats.org/officeDocument/2006/relationships" r:embed="rId18"/>
                    <a:stretch>
                      <a:fillRect/>
                    </a:stretch>
                  </pic:blipFill>
                  <pic:spPr>
                    <a:xfrm>
                      <a:off x="0" y="0"/>
                      <a:ext cx="5715000" cy="28049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rPr>
          <w:b/>
          <w:bCs/>
        </w:rPr>
        <w:t>Appendix B: Top Performing Schools</w:t>
      </w:r>
    </w:p>
    <w:p>
      <w:pPr>
        <w:spacing w:before="240" w:after="240"/>
        <w:jc w:val="both"/>
      </w:pPr>
      <w:r>
        <w:t>Table 4 identifies the top 20% best performing consistent schools in the treatment group for each subject of the ASER and MELQO instruments. For each subject of ASER and MELQO instruments independently,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w:t>
      </w:r>
    </w:p>
    <w:p>
      <w:pPr>
        <w:spacing w:before="0" w:after="0"/>
        <w:ind w:left="0" w:right="0"/>
        <w:jc w:val="center"/>
      </w:pPr>
      <w:r>
        <w:rPr>
          <w:strike w:val="0"/>
          <w:u w:val="none"/>
        </w:rPr>
        <w:drawing>
          <wp:inline>
            <wp:extent cx="6000750" cy="3400956"/>
            <wp:docPr id="100016"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4801" name=""/>
                    <pic:cNvPicPr>
                      <a:picLocks noChangeAspect="1"/>
                    </pic:cNvPicPr>
                  </pic:nvPicPr>
                  <pic:blipFill>
                    <a:blip xmlns:r="http://schemas.openxmlformats.org/officeDocument/2006/relationships" r:embed="rId19"/>
                    <a:stretch>
                      <a:fillRect/>
                    </a:stretch>
                  </pic:blipFill>
                  <pic:spPr>
                    <a:xfrm>
                      <a:off x="0" y="0"/>
                      <a:ext cx="6000750" cy="3400956"/>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spacing w:before="240" w:after="240"/>
        <w:jc w:val="both"/>
      </w:pPr>
      <w:r>
        <w:t>Furthermore, no consistent treatment school had a positive treatment effect across all subjects of the ASER and MELQO instruments. Additionally, no consistent treatment school had a positive treatment effect across all subjects of the ASER instruments specifically. However, 3 consistent treatment schools had a positive treatment in all subjects of ASER Grades 1 - 3 instrument, 5 consistent treatment schools had a positive treatment in all subjects of ASER Grades 4 - 5 instrument, and 3 consistent treatment schools had a positive treatment in all subjects of MELQO instrument. This equates to 14.3%, 23.8% and 14.3% of consistent treatment schools improving on the ASER Grades 1 - 3, ASER Grades 4 - 5 and MELQO instruments respectively. Table 5 highlights the names of these specific consistent treatment schools which had a positive treatment effect across all subjects of the specific instruments.</w:t>
      </w:r>
    </w:p>
    <w:p>
      <w:pPr>
        <w:spacing w:before="240" w:after="240"/>
        <w:jc w:val="both"/>
      </w:pPr>
      <w:r>
        <w:t>Comparatively, no consistent control school had a positive change in mean scores from baseline to endline across all subjects of the ASER and MELQO instruments combined. However, 3 consistent control school had a positive change in mean scores across all subjects of the ASER instruments specifically. Moreover, 6 consistent control schools had a positive change in mean scores in all subjects of ASER Grades 1 - 3 instrument, 7 consistent control schools had a positive change in mean scores in all subjects of ASER Grades 4 - 5 instrument, and 5 consistent control schools had a positive change in mean scores in all subjects of MELQO instrument. Table 6 highlights the names of these specific consistent control schools.</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