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Background</w:t>
      </w:r>
    </w:p>
    <w:p>
      <w:pPr>
        <w:numPr>
          <w:ilvl w:val="0"/>
          <w:numId w:val="1"/>
        </w:numPr>
        <w:ind w:left="720" w:hanging="388"/>
        <w:jc w:val="both"/>
      </w:pPr>
      <w:r>
        <w:t>Taleemabad’s Evaluation</w:t>
      </w:r>
      <w:r>
        <w:br/>
      </w:r>
      <w:r>
        <w:t>2.1. Instruments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Analyses by CERP</w:t>
      </w:r>
      <w:r>
        <w:br/>
      </w:r>
      <w:r>
        <w:t>3.1. Data Management</w:t>
      </w:r>
      <w:r>
        <w:br/>
      </w:r>
      <w:r>
        <w:t>3.2. Balance Test</w:t>
      </w:r>
      <w:r>
        <w:br/>
      </w:r>
      <w:r>
        <w:t>3.3. Results</w:t>
      </w:r>
      <w:r>
        <w:br/>
      </w:r>
      <w:r>
        <w:t>3.3.1. ASER Grades 1 - 3</w:t>
      </w:r>
      <w:r>
        <w:br/>
      </w:r>
      <w:r>
        <w:t>3.3.2. ASER Grades 4 - 5</w:t>
      </w:r>
      <w:r>
        <w:br/>
      </w:r>
      <w:r>
        <w:t>3.3.3. MELQO</w:t>
      </w:r>
      <w:r>
        <w:br/>
      </w:r>
      <w:r>
        <w:t>3.4. Results using Truncated Sample</w:t>
      </w:r>
      <w:r>
        <w:br/>
      </w:r>
      <w:r>
        <w:t>3.4.1. ASER Grades 1 - 3</w:t>
      </w:r>
      <w:r>
        <w:br/>
      </w:r>
      <w:r>
        <w:t>3.4.2. ASER Grades 4 - 5</w:t>
      </w:r>
      <w:r>
        <w:br/>
      </w:r>
      <w:r>
        <w:t>3.4.3.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Background</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rPr>
          <w:b/>
          <w:bCs/>
        </w:rPr>
        <w:t>2. Taleemabad’s Evaluation</w:t>
      </w:r>
    </w:p>
    <w:p>
      <w:pPr>
        <w:spacing w:before="240" w:after="240"/>
        <w:jc w:val="both"/>
      </w:pPr>
      <w:r>
        <w:t>The primary objective of the evaluation conducted by Taleemabad was to discern the effectiveness of its offerings. The evaluation was conducted through third-party standardized assessments of student learning outcomes and class observations on both Taleemabad schools and comparable “control” schools.</w:t>
      </w:r>
    </w:p>
    <w:p>
      <w:pPr>
        <w:spacing w:before="240" w:after="240"/>
        <w:jc w:val="both"/>
      </w:pPr>
      <w:r>
        <w:rPr>
          <w:b/>
          <w:bCs/>
        </w:rPr>
        <w:t>2.1. Instruments and Data Collection</w:t>
      </w:r>
    </w:p>
    <w:p>
      <w:pPr>
        <w:spacing w:before="240" w:after="240"/>
        <w:jc w:val="both"/>
      </w:pPr>
      <w:r>
        <w:t>Taleemabad administered the assessments using globally renowned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Lastly, motor skills are observed through pupils’ ability to replicate shapes presented on paper, highlighting their levels of skill development.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w:t>
      </w:r>
    </w:p>
    <w:p>
      <w:pPr>
        <w:spacing w:before="240" w:after="240"/>
        <w:jc w:val="both"/>
      </w:pPr>
      <w:r>
        <w:rPr>
          <w:b/>
          <w:bCs/>
        </w:rPr>
        <w:t>2.2. Sampling and Measurement</w:t>
      </w:r>
    </w:p>
    <w:p>
      <w:pPr>
        <w:spacing w:before="240" w:after="240"/>
        <w:jc w:val="both"/>
      </w:pPr>
      <w:r>
        <w:t>Taleemabad employed a two-step sampling strategy. First, using a random sampling method, approximately 30 schools were chosen at random for the experimental group from Taleemabad’s extensive network of 140 schools. This was then followed by a selection of nearby non-Taleemabad schools as controls. The control schools are deliberately chosen based on their close geographical proximity to the treatment schools that are subscribed to the Taleemabad program.</w:t>
      </w:r>
    </w:p>
    <w:p>
      <w:pPr>
        <w:spacing w:before="240" w:after="240"/>
        <w:jc w:val="both"/>
      </w:pPr>
      <w:r>
        <w:t>Some of the experimental schools that were randomly chosen at baseline existed the Taleemabad program. Hence, these schools were replaced by comparable schools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36275"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treatment and control schools is statistically insignificant from zero for English and Mathematics. For Urdu, however, the difference was -13.6% between treatment and control schools. At the endline, the difference between treatment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the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Analyses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to bring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to Taleemabad mapped various spellings and discrepancies in the school names. Once consistent correct names were provided by Taleemabad, schools were assigned unique ids to help create a master school-level dataset for ASER grades 1 - 3, ASER grades 4 - 5, and MELQO that would consolidate information from each respective baseline and endline datasets.</w:t>
      </w:r>
    </w:p>
    <w:p>
      <w:pPr>
        <w:numPr>
          <w:ilvl w:val="0"/>
          <w:numId w:val="2"/>
        </w:numPr>
        <w:spacing w:after="15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Since there are no similar thresholds for MELQO, the percentage scores obtained by students for pre-numeracy, pre-literacy and motor skills are calculated.</w:t>
      </w:r>
    </w:p>
    <w:p>
      <w:pPr>
        <w:numPr>
          <w:ilvl w:val="0"/>
          <w:numId w:val="2"/>
        </w:numPr>
        <w:spacing w:after="240"/>
        <w:ind w:left="720" w:hanging="532"/>
        <w:jc w:val="both"/>
      </w:pPr>
      <w:r>
        <w:t xml:space="preserve">IV. IV. Following the cleaning of endline and baseline data for ASER grades 1 - 3, ASER grades 4 - 5, and MELQO, the individual datasets were collapsed on schools to create school-level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the school level. The baseline and endline school level datasets for ASER grades 1 - 3, ASER grades 4 - 5, and MELQO were merged on the basis of schools to create a school-level master dataset. </w:t>
      </w:r>
    </w:p>
    <w:p>
      <w:pPr>
        <w:jc w:val="both"/>
      </w:pPr>
      <w:r>
        <w:t xml:space="preserve">Since not all schools during the baseline assessment were included in the endline, and new schools were introduced as replacements at the endline,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 </w:t>
      </w:r>
    </w:p>
    <w:p>
      <w:pPr>
        <w:spacing w:before="0" w:after="0"/>
        <w:ind w:left="0" w:right="0"/>
        <w:jc w:val="center"/>
      </w:pPr>
      <w:r>
        <w:rPr>
          <w:strike w:val="0"/>
          <w:u w:val="none"/>
        </w:rPr>
        <w:drawing>
          <wp:inline>
            <wp:extent cx="3048000" cy="1940218"/>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08380" name=""/>
                    <pic:cNvPicPr>
                      <a:picLocks noChangeAspect="1"/>
                    </pic:cNvPicPr>
                  </pic:nvPicPr>
                  <pic:blipFill>
                    <a:blip xmlns:r="http://schemas.openxmlformats.org/officeDocument/2006/relationships" r:embed="rId5"/>
                    <a:stretch>
                      <a:fillRect/>
                    </a:stretch>
                  </pic:blipFill>
                  <pic:spPr>
                    <a:xfrm>
                      <a:off x="0" y="0"/>
                      <a:ext cx="3048000" cy="1940218"/>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2: Categories of schools by Treatment status </w:t>
      </w:r>
    </w:p>
    <w:p>
      <w:pPr>
        <w:spacing w:before="240" w:after="240"/>
        <w:jc w:val="both"/>
      </w:pPr>
      <w:r>
        <w:t>Table 2 provided above demonstrates the distribution of schools categorized as Consistent, Attrition, and Replacement, across treatment and control groups. The first row is the number of schools whereas the respective column percentage is shown in parenthesis in the second row. There are 97 unique schools, out of which 11 schools dropped after baseline while 44 schools were added as replacements at the endline. Out of 44 replacement schools, there are only six schools that were added to replace the schools dropped after baseline.</w:t>
      </w:r>
    </w:p>
    <w:p>
      <w:pPr>
        <w:spacing w:before="240" w:after="240"/>
        <w:jc w:val="both"/>
      </w:pPr>
      <w:r>
        <w:t>Based on the guidelines provided by Taleemabad, the number of replacement control schools were observed to be higher due to two main reasons. Firstly, when a treatment school dropped after baseline then it is likely that more than one nearby control school was introduced as a replacement for that treatment school. Secondly, ambiguous school names in the endline datasets which could not be corrected were consequently renamed as “unknown” and added to the control group.</w:t>
      </w:r>
    </w:p>
    <w:p>
      <w:pPr>
        <w:spacing w:before="240" w:after="240"/>
        <w:jc w:val="both"/>
      </w:pPr>
      <w:r>
        <w:t>Furthermore, three schools initially enrolled in the treatment group withdrew from the Taleemabad program after baseline but agreed to undergo the endline assessment. Hence, during analysis by the CERP team, their treatment status was preserved as “control” for both baseline and endline.</w:t>
      </w:r>
    </w:p>
    <w:p>
      <w:pPr>
        <w:spacing w:before="240" w:after="240"/>
        <w:jc w:val="both"/>
      </w:pPr>
      <w:r>
        <w:t>In the full sample, there are 97 unique schools, out of which 33 are treatment schools and 64 are control schools. The truncated sample, which consists of only Consistent schools (i.e. schools present at both baseline and endline),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1526681"/>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6490" name=""/>
                    <pic:cNvPicPr>
                      <a:picLocks noChangeAspect="1"/>
                    </pic:cNvPicPr>
                  </pic:nvPicPr>
                  <pic:blipFill>
                    <a:blip xmlns:r="http://schemas.openxmlformats.org/officeDocument/2006/relationships" r:embed="rId6"/>
                    <a:stretch>
                      <a:fillRect/>
                    </a:stretch>
                  </pic:blipFill>
                  <pic:spPr>
                    <a:xfrm>
                      <a:off x="0" y="0"/>
                      <a:ext cx="5905500" cy="1526681"/>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3.1: Balance Test using student demographics </w:t>
      </w:r>
    </w:p>
    <w:p>
      <w:pPr>
        <w:spacing w:before="0" w:after="0"/>
        <w:ind w:left="0" w:right="0"/>
        <w:jc w:val="center"/>
      </w:pPr>
      <w:r>
        <w:rPr>
          <w:strike w:val="0"/>
          <w:u w:val="none"/>
        </w:rPr>
        <w:drawing>
          <wp:inline>
            <wp:extent cx="5905500" cy="2043870"/>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20692" name=""/>
                    <pic:cNvPicPr>
                      <a:picLocks noChangeAspect="1"/>
                    </pic:cNvPicPr>
                  </pic:nvPicPr>
                  <pic:blipFill>
                    <a:blip xmlns:r="http://schemas.openxmlformats.org/officeDocument/2006/relationships" r:embed="rId7"/>
                    <a:stretch>
                      <a:fillRect/>
                    </a:stretch>
                  </pic:blipFill>
                  <pic:spPr>
                    <a:xfrm>
                      <a:off x="0" y="0"/>
                      <a:ext cx="5905500" cy="204387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Table 3.2: Balance Test using outcome variables </w:t>
      </w:r>
    </w:p>
    <w:p>
      <w:pPr>
        <w:spacing w:before="240" w:after="240"/>
        <w:jc w:val="both"/>
      </w:pPr>
      <w:r>
        <w:t>Table 3.1 and Table 3.2 demonstrate a lack of balance between treatment and control groups at baseline. Notably, differences in the number of students, proportion of male students, and outcome variables are evident. This imbalance can be attributed to the non-random selection of control schools currently done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 The figures plot results by Taleemabad and CERP for comparison.</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76727" name=""/>
                    <pic:cNvPicPr>
                      <a:picLocks noChangeAspect="1"/>
                    </pic:cNvPicPr>
                  </pic:nvPicPr>
                  <pic:blipFill>
                    <a:blip xmlns:r="http://schemas.openxmlformats.org/officeDocument/2006/relationships" r:embed="rId8"/>
                    <a:stretch>
                      <a:fillRect/>
                    </a:stretch>
                  </pic:blipFill>
                  <pic:spPr>
                    <a:xfrm>
                      <a:off x="0" y="0"/>
                      <a:ext cx="5715000" cy="3322063"/>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1: % Difference in Grade Threshold Clearing Between Treatment and Control Schools at Baseline and Endline using ASER Grades 1 - 3 instrument </w:t>
      </w:r>
    </w:p>
    <w:p>
      <w:pPr>
        <w:spacing w:before="240" w:after="240"/>
        <w:jc w:val="both"/>
      </w:pPr>
      <w:r>
        <w:t>At endline, 2.54% of treatment schools met the criteria for all 3 subjects compared to 1.06% of control schools. This represents a difference of .452 standard deviations compared to the control group, which is equivalent to 3.48 LAYS.</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13606" name=""/>
                    <pic:cNvPicPr>
                      <a:picLocks noChangeAspect="1"/>
                    </pic:cNvPicPr>
                  </pic:nvPicPr>
                  <pic:blipFill>
                    <a:blip xmlns:r="http://schemas.openxmlformats.org/officeDocument/2006/relationships" r:embed="rId9"/>
                    <a:stretch>
                      <a:fillRect/>
                    </a:stretch>
                  </pic:blipFill>
                  <pic:spPr>
                    <a:xfrm>
                      <a:off x="0" y="0"/>
                      <a:ext cx="5715000" cy="2727970"/>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2: % Difference in Grade Threshold Clearing Between Treatment and Control Schools at Baseline and Endline using ASER Grades 4 - 5 instrument </w:t>
      </w:r>
    </w:p>
    <w:p>
      <w:pPr>
        <w:spacing w:before="240" w:after="240"/>
        <w:jc w:val="both"/>
      </w:pPr>
      <w:r>
        <w:t>At endline, 6.77% of treatment schools met the criteria for all 3 subjects compared to 4.41% of control schools. This represents a difference of .234 standard deviations compared to the control group, which is equivalent to 1.8 LAYS.</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33361" name=""/>
                    <pic:cNvPicPr>
                      <a:picLocks noChangeAspect="1"/>
                    </pic:cNvPicPr>
                  </pic:nvPicPr>
                  <pic:blipFill>
                    <a:blip xmlns:r="http://schemas.openxmlformats.org/officeDocument/2006/relationships" r:embed="rId10"/>
                    <a:stretch>
                      <a:fillRect/>
                    </a:stretch>
                  </pic:blipFill>
                  <pic:spPr>
                    <a:xfrm>
                      <a:off x="0" y="0"/>
                      <a:ext cx="5715000" cy="2738005"/>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3: %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motor skills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65481" name=""/>
                    <pic:cNvPicPr>
                      <a:picLocks noChangeAspect="1"/>
                    </pic:cNvPicPr>
                  </pic:nvPicPr>
                  <pic:blipFill>
                    <a:blip xmlns:r="http://schemas.openxmlformats.org/officeDocument/2006/relationships" r:embed="rId11"/>
                    <a:stretch>
                      <a:fillRect/>
                    </a:stretch>
                  </pic:blipFill>
                  <pic:spPr>
                    <a:xfrm>
                      <a:off x="0" y="0"/>
                      <a:ext cx="5715000" cy="3336581"/>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1: %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.582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.277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4655" name=""/>
                    <pic:cNvPicPr>
                      <a:picLocks noChangeAspect="1"/>
                    </pic:cNvPicPr>
                  </pic:nvPicPr>
                  <pic:blipFill>
                    <a:blip xmlns:r="http://schemas.openxmlformats.org/officeDocument/2006/relationships" r:embed="rId12"/>
                    <a:stretch>
                      <a:fillRect/>
                    </a:stretch>
                  </pic:blipFill>
                  <pic:spPr>
                    <a:xfrm>
                      <a:off x="0" y="0"/>
                      <a:ext cx="5715000" cy="3103113"/>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2: %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1.614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.271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.636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10"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6321" name=""/>
                    <pic:cNvPicPr>
                      <a:picLocks noChangeAspect="1"/>
                    </pic:cNvPicPr>
                  </pic:nvPicPr>
                  <pic:blipFill>
                    <a:blip xmlns:r="http://schemas.openxmlformats.org/officeDocument/2006/relationships" r:embed="rId13"/>
                    <a:stretch>
                      <a:fillRect/>
                    </a:stretch>
                  </pic:blipFill>
                  <pic:spPr>
                    <a:xfrm>
                      <a:off x="0" y="0"/>
                      <a:ext cx="5715000" cy="3456452"/>
                    </a:xfrm>
                    <a:prstGeom prst="rect">
                      <a:avLst/>
                    </a:prstGeom>
                  </pic:spPr>
                </pic:pic>
              </a:graphicData>
            </a:graphic>
          </wp:inline>
        </w:drawing>
      </w:r>
    </w:p>
    <w:p>
      <w:pPr>
        <w:spacing w:before="15" w:after="300"/>
        <w:ind w:left="0" w:right="0"/>
        <w:jc w:val="center"/>
        <w:rPr>
          <w:i/>
          <w:iCs/>
          <w:sz w:val="20"/>
          <w:szCs w:val="20"/>
        </w:rPr>
      </w:pPr>
      <w:r>
        <w:rPr>
          <w:i/>
          <w:iCs/>
          <w:sz w:val="20"/>
          <w:szCs w:val="20"/>
        </w:rPr>
        <w:t xml:space="preserve">Figure 6: %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motor skills at endline.</w:t>
      </w:r>
    </w:p>
    <w:p>
      <w:pPr>
        <w:spacing w:before="240" w:after="240"/>
        <w:jc w:val="both"/>
      </w:pPr>
      <w:r>
        <w:rPr>
          <w:b/>
          <w:bCs/>
        </w:rPr>
        <w:t>4. Limitations of the design</w:t>
      </w:r>
    </w:p>
    <w:p>
      <w:pPr>
        <w:numPr>
          <w:ilvl w:val="0"/>
          <w:numId w:val="3"/>
        </w:numPr>
        <w:tabs>
          <w:tab w:val="left" w:pos="388"/>
        </w:tabs>
        <w:spacing w:before="240"/>
        <w:ind w:left="0" w:firstLine="0"/>
        <w:jc w:val="both"/>
      </w:pPr>
      <w:r>
        <w:t xml:space="preserve">Inability to Track Test Scores for the Same Student at Baseline and Endline: </w:t>
      </w:r>
    </w:p>
    <w:p>
      <w:pPr>
        <w:spacing w:before="240" w:after="240"/>
        <w:ind w:left="0"/>
        <w:jc w:val="both"/>
      </w:pPr>
      <w:r>
        <w:t xml:space="preserve">One of the significant limitations of the evaluation design is the inability to consistently track test scores for the same student at both baseline and endline assessments. This constraint hinders our capacity to conduct comprehensive child-level analyses, which could provide valuable insights into individual progress over the course of the intervention. </w:t>
      </w:r>
    </w:p>
    <w:p>
      <w:pPr>
        <w:spacing w:before="240" w:after="240"/>
        <w:ind w:left="0"/>
        <w:jc w:val="both"/>
      </w:pPr>
      <w:r>
        <w:t>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actually performing. Variability in student performance is obscured, and the aggregated school-level analysis may provide a skewed representation of Taleemabad program's impact on educational outcomes.</w:t>
      </w:r>
    </w:p>
    <w:p>
      <w:pPr>
        <w:numPr>
          <w:ilvl w:val="0"/>
          <w:numId w:val="3"/>
        </w:numPr>
        <w:tabs>
          <w:tab w:val="left" w:pos="532"/>
        </w:tabs>
        <w:ind w:left="0" w:firstLine="0"/>
        <w:jc w:val="both"/>
      </w:pPr>
      <w:r>
        <w:t xml:space="preserve">Lack of Sufficient Data on External Factors: </w:t>
      </w:r>
    </w:p>
    <w:p>
      <w:pPr>
        <w:spacing w:before="240" w:after="240"/>
        <w:ind w:left="0"/>
        <w:jc w:val="both"/>
      </w:pPr>
      <w:r>
        <w:t>The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pPr>
        <w:spacing w:before="240" w:after="240"/>
        <w:ind w:left="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pPr>
        <w:numPr>
          <w:ilvl w:val="0"/>
          <w:numId w:val="3"/>
        </w:numPr>
        <w:tabs>
          <w:tab w:val="left" w:pos="676"/>
        </w:tabs>
        <w:ind w:left="0" w:firstLine="0"/>
        <w:jc w:val="both"/>
      </w:pPr>
      <w:r>
        <w:t xml:space="preserve">Inherent Difficulty in Establishing Causation: </w:t>
      </w:r>
    </w:p>
    <w:p>
      <w:pPr>
        <w:spacing w:before="240" w:after="240"/>
        <w:ind w:left="0"/>
        <w:jc w:val="both"/>
      </w:pPr>
      <w:r>
        <w:t>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Taleemabad program but also to unaccounted variations in teaching methods or additional resources allocated to specific schools.</w:t>
      </w:r>
    </w:p>
    <w:p>
      <w:pPr>
        <w:numPr>
          <w:ilvl w:val="0"/>
          <w:numId w:val="3"/>
        </w:numPr>
        <w:tabs>
          <w:tab w:val="left" w:pos="532"/>
        </w:tabs>
        <w:ind w:left="0" w:firstLine="0"/>
        <w:jc w:val="both"/>
      </w:pPr>
      <w:r>
        <w:t xml:space="preserve">Potential for Selection Bias in Selection of Control Schools: </w:t>
      </w:r>
    </w:p>
    <w:p>
      <w:pPr>
        <w:spacing w:before="240" w:after="240"/>
        <w:ind w:left="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community characteristics and educational resources may exist impacting the baseline comparability of the two groups. Variations in characteristics between treatment and control groups may confound our ability to attribute observed changes solely to the Taleemabad program. </w:t>
      </w:r>
    </w:p>
    <w:p>
      <w:pPr>
        <w:spacing w:before="240" w:after="240"/>
        <w:jc w:val="both"/>
      </w:pPr>
      <w:r>
        <w:rPr>
          <w:b/>
          <w:bCs/>
        </w:rPr>
        <w:t>5. Conclusion</w:t>
      </w:r>
    </w:p>
    <w:p>
      <w:pPr>
        <w:spacing w:before="240" w:after="240"/>
        <w:jc w:val="both"/>
      </w:pPr>
      <w:r>
        <w:t>There is lack of balance between treatment and control groups at baseline in terms of the number of students, proportion of male students, and outcome variables evaluated. This imbalance can be attributed to the non-random selection of control schools that is carried out based on proximity to treatment schools in this evaluation design.</w:t>
      </w:r>
    </w:p>
    <w:p>
      <w:pPr>
        <w:spacing w:before="240" w:after="240"/>
        <w:jc w:val="both"/>
      </w:pPr>
      <w:r>
        <w:t>By evaluating using the full sample of 97 schools, at endline, we observe better results in grades 1 - 3 and grades 4 -5 of the magnitude 0.452 standard deviations and 0.234 standard deviations respectively compared to the control group. This corresponds to approximately 3.48 years of Learning Adjusted Years of Schooling for grades 1 - 3 and 1.8 years of Learning Adjusted Years of Schooling for grades 4 - 5. Evaluating using the full sample, at endline, we observe better results in pre-primary for pre-numeracy and motor skills for treatment schools compared to control schools to the order 0.203 standard deviations and 0.288 standard deviations. In contrast, treatment schools are 0.038 standard deviations below control schools for pre-literacy at endline. Similar results are observed in the truncated sample of 42 schools. Out of the 21 consistent treatment schools, SRM School, DOA 12 and My School most often appeared in the top 20% best performing schools for each outcome variable.</w:t>
      </w:r>
    </w:p>
    <w:p>
      <w:pPr>
        <w:spacing w:before="240" w:after="240"/>
        <w:jc w:val="both"/>
      </w:pPr>
      <w:r>
        <w:t>The design of the evaluation study could be further strengthened by gathering data on relevant external factors (e.g., family support, socio-economic status, school-level resources) that would allow future analyses to test baseline comparability between treatment and control groups. Moreover, implementing unique student identifiers and consistent data recording procedures would not only minimize tracking errors but enable a deeper understanding of individual learning trajectories. Furthermore, if the schools in Taleemabad’s cohort can be included, if not already, as part of ASER or other evaluation studies that gather household, child-level, school-level or village-level information, it would enable more nuanced analysis of the program effectiveness.</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