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Data Management</w:t>
      </w:r>
      <w:r>
        <w:br/>
      </w:r>
      <w:r>
        <w:t>3.2. Balance Test</w:t>
      </w:r>
      <w:r>
        <w:br/>
      </w:r>
      <w:r>
        <w:t>3.3. Results</w:t>
      </w:r>
      <w:r>
        <w:br/>
      </w:r>
      <w:r>
        <w:t>3.3.1. ASER Grades 1 - 3</w:t>
      </w:r>
      <w:r>
        <w:br/>
      </w:r>
      <w:r>
        <w:t>3.3.2. ASER Grades 4 - 5</w:t>
      </w:r>
      <w:r>
        <w:br/>
      </w:r>
      <w:r>
        <w:t>3.3.3. MELQO</w:t>
      </w:r>
      <w:r>
        <w:br/>
      </w:r>
      <w:r>
        <w:t>3.4. Results using Truncated Sample</w:t>
      </w:r>
      <w:r>
        <w:br/>
      </w:r>
      <w:r>
        <w:t>3.4.1. ASER Grades 1 - 3</w:t>
      </w:r>
      <w:r>
        <w:br/>
      </w:r>
      <w:r>
        <w:t>3.4.2. ASER Grades 4 - 5</w:t>
      </w:r>
      <w:r>
        <w:br/>
      </w:r>
      <w:r>
        <w:t>3.4.3. MELQO</w:t>
      </w:r>
    </w:p>
    <w:p>
      <w:pPr>
        <w:numPr>
          <w:ilvl w:val="0"/>
          <w:numId w:val="1"/>
        </w:numPr>
        <w:ind w:left="720" w:hanging="388"/>
        <w:jc w:val="both"/>
      </w:pPr>
      <w:r>
        <w:t>Limitations of the design</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13249"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rPr>
          <w:b/>
          <w:bCs/>
        </w:rPr>
        <w:t>2.3.2. ASER Grades 4-5:</w:t>
      </w:r>
    </w:p>
    <w:p>
      <w:pPr>
        <w:spacing w:before="240" w:after="240"/>
        <w:jc w:val="both"/>
      </w:pPr>
      <w:r>
        <w:t>Overall, 7.2% of all Taleemabad students met the criteria for all 3 subjects compared to 6.2% of control students at endline. For 2 subjects, this stood at 49.3% for Taleemabad and 46.8% for control. This indicated a difference of 0.05 standard deviations compared to the control group (0.4 LAYS).</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for bringing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by Taleemabad mapped various spellings and discrepancies in the school names. Once consistent correct names were created, schools were assigned a unique id which was used to create a master school-level dataset that incorporated information from all baseline and endline datasets for ASER grades 1 - 3, ASER grades 4 - 5, and MELQO.</w:t>
      </w:r>
    </w:p>
    <w:p>
      <w:pPr>
        <w:numPr>
          <w:ilvl w:val="0"/>
          <w:numId w:val="2"/>
        </w:numPr>
        <w:spacing w:after="24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Due to the lack of guidelines regarding thresholds for MELQO, the percentage scores obtained by students for pre-numeracy, pre-literacy and motor skills are calculated.</w:t>
      </w:r>
    </w:p>
    <w:p>
      <w:pPr>
        <w:jc w:val="both"/>
      </w:pPr>
      <w:r>
        <w:t xml:space="preserve">Following the cleaning of endline and baseline data for ASER grades 1 - 3, ASER grades 4 - 5 and MELQO, the individual datasets were collapsed on school to create school 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school level. The baseline and endline school level datasets for ASER grades 1 - 3, ASER grades 4 - 5 and MELQO were merged on the basis of schools to create a school level master dataset. </w:t>
      </w:r>
    </w:p>
    <w:p>
      <w:pPr>
        <w:spacing w:before="240" w:after="240"/>
        <w:jc w:val="both"/>
      </w:pPr>
      <w:r>
        <w:t>Sine not all schools during the baseline assessment were included in the endline, and new schools were introduced as replacements,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spacing w:before="0" w:after="0"/>
        <w:ind w:left="0" w:right="0"/>
        <w:jc w:val="center"/>
      </w:pPr>
      <w:r>
        <w:rPr>
          <w:strike w:val="0"/>
          <w:u w:val="none"/>
        </w:rPr>
        <w:drawing>
          <wp:inline>
            <wp:extent cx="3048000" cy="1798279"/>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5842" name=""/>
                    <pic:cNvPicPr>
                      <a:picLocks noChangeAspect="1"/>
                    </pic:cNvPicPr>
                  </pic:nvPicPr>
                  <pic:blipFill>
                    <a:blip xmlns:r="http://schemas.openxmlformats.org/officeDocument/2006/relationships" r:embed="rId5"/>
                    <a:stretch>
                      <a:fillRect/>
                    </a:stretch>
                  </pic:blipFill>
                  <pic:spPr>
                    <a:xfrm>
                      <a:off x="0" y="0"/>
                      <a:ext cx="3048000" cy="1798279"/>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Table 2 provided above demonstrates the distribution of schools categorized as Consistent, Attrition, and Replacement within both the treatment and control groups. The first row has frequencies; second row has column percentages. There are 97 unique schools in the master dataset, out of which 11 schools dropped after baseline and 44 schools were added as replacements at the endline stage. Out of 44 replacement schools, six schools were added to replace that the schools that were dropped after baseline. However, the number of replacement control schools is much higher due to two reasons. Firstly, when a treatment school dropped after baseline then nearby control school(s) were also introduced as replacements in addition to a treatment school. Secondly, ambiguous school names in the endline datasets which could not be corrected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905500" cy="2805336"/>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78156" name=""/>
                    <pic:cNvPicPr>
                      <a:picLocks noChangeAspect="1"/>
                    </pic:cNvPicPr>
                  </pic:nvPicPr>
                  <pic:blipFill>
                    <a:blip xmlns:r="http://schemas.openxmlformats.org/officeDocument/2006/relationships" r:embed="rId6"/>
                    <a:stretch>
                      <a:fillRect/>
                    </a:stretch>
                  </pic:blipFill>
                  <pic:spPr>
                    <a:xfrm>
                      <a:off x="0" y="0"/>
                      <a:ext cx="5905500" cy="2805336"/>
                    </a:xfrm>
                    <a:prstGeom prst="rect">
                      <a:avLst/>
                    </a:prstGeom>
                  </pic:spPr>
                </pic:pic>
              </a:graphicData>
            </a:graphic>
          </wp:inline>
        </w:drawing>
      </w:r>
    </w:p>
    <w:p>
      <w:pPr>
        <w:spacing w:before="15" w:after="300"/>
        <w:ind w:left="0" w:right="0"/>
        <w:jc w:val="center"/>
      </w:pPr>
      <w:r>
        <w:t xml:space="preserve">Table 3: Balance Test </w:t>
      </w:r>
    </w:p>
    <w:p>
      <w:pPr>
        <w:spacing w:before="240" w:after="240"/>
        <w:jc w:val="both"/>
      </w:pPr>
      <w:r>
        <w:t>Table 3 indicates a lack of balance between treatment and control groups at baseline. Notably, differences in the number of students, proportion of male students, and outcome variables are evident. This imbalance is attributed to the non-random selection of control schools, based on proximity to treatment schools.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spacing w:before="240" w:after="240"/>
        <w:jc w:val="both"/>
      </w:pPr>
      <w:r>
        <w:rPr>
          <w:b/>
          <w:bCs/>
        </w:rPr>
        <w:t>3.3.1. ASER Grades 1 - 3</w:t>
      </w:r>
    </w:p>
    <w:p>
      <w:pPr>
        <w:spacing w:before="0" w:after="0"/>
        <w:ind w:left="0" w:right="0"/>
        <w:jc w:val="center"/>
      </w:pPr>
      <w:r>
        <w:rPr>
          <w:strike w:val="0"/>
          <w:u w:val="none"/>
        </w:rPr>
        <w:drawing>
          <wp:inline>
            <wp:extent cx="5715000" cy="3322063"/>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36432" name=""/>
                    <pic:cNvPicPr>
                      <a:picLocks noChangeAspect="1"/>
                    </pic:cNvPicPr>
                  </pic:nvPicPr>
                  <pic:blipFill>
                    <a:blip xmlns:r="http://schemas.openxmlformats.org/officeDocument/2006/relationships" r:embed="rId7"/>
                    <a:stretch>
                      <a:fillRect/>
                    </a:stretch>
                  </pic:blipFill>
                  <pic:spPr>
                    <a:xfrm>
                      <a:off x="0" y="0"/>
                      <a:ext cx="5715000" cy="3322063"/>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Grades 1 - 3 instrument, comparing results by Taleemabad and CERP Analytics </w:t>
      </w:r>
    </w:p>
    <w:p>
      <w:pPr>
        <w:spacing w:before="240" w:after="240"/>
        <w:jc w:val="both"/>
      </w:pPr>
      <w:r>
        <w:t>At endline, 2.54% of treatment schools met the criteria for all 3 subjects compared to 1.06% of control schools. This represents a difference of .452 standard deviations compared to the control group, which is equivalent to 3.48 LAYS.</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0" w:after="0"/>
        <w:ind w:left="0" w:right="0"/>
        <w:jc w:val="center"/>
      </w:pPr>
      <w:r>
        <w:rPr>
          <w:strike w:val="0"/>
          <w:u w:val="none"/>
        </w:rPr>
        <w:drawing>
          <wp:inline>
            <wp:extent cx="5715000" cy="2727970"/>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0194" name=""/>
                    <pic:cNvPicPr>
                      <a:picLocks noChangeAspect="1"/>
                    </pic:cNvPicPr>
                  </pic:nvPicPr>
                  <pic:blipFill>
                    <a:blip xmlns:r="http://schemas.openxmlformats.org/officeDocument/2006/relationships" r:embed="rId8"/>
                    <a:stretch>
                      <a:fillRect/>
                    </a:stretch>
                  </pic:blipFill>
                  <pic:spPr>
                    <a:xfrm>
                      <a:off x="0" y="0"/>
                      <a:ext cx="5715000" cy="2727970"/>
                    </a:xfrm>
                    <a:prstGeom prst="rect">
                      <a:avLst/>
                    </a:prstGeom>
                  </pic:spPr>
                </pic:pic>
              </a:graphicData>
            </a:graphic>
          </wp:inline>
        </w:drawing>
      </w:r>
    </w:p>
    <w:p>
      <w:pPr>
        <w:spacing w:before="15" w:after="300"/>
        <w:ind w:left="0" w:right="0"/>
        <w:jc w:val="center"/>
      </w:pPr>
      <w:r>
        <w:t xml:space="preserve">Figure 2: Percentage Difference in Grade Threshold Clearing Between Treatment and Control Schools at Baseline and Endline using ASER Grades 4 - 5 instrument, comparing results by Taleemabad and CERP Analytics </w:t>
      </w:r>
    </w:p>
    <w:p>
      <w:pPr>
        <w:spacing w:before="240" w:after="240"/>
        <w:jc w:val="both"/>
      </w:pPr>
      <w:r>
        <w:t>At endline, 6.77% of treatment schools met the criteria for all 3 subjects compared to 4.41% of control schools. This represents a difference of .234 standard deviations compared to the control group, which is equivalent to 1.8 LAYS.</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738005"/>
            <wp:docPr id="100006"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514" name=""/>
                    <pic:cNvPicPr>
                      <a:picLocks noChangeAspect="1"/>
                    </pic:cNvPicPr>
                  </pic:nvPicPr>
                  <pic:blipFill>
                    <a:blip xmlns:r="http://schemas.openxmlformats.org/officeDocument/2006/relationships" r:embed="rId9"/>
                    <a:stretch>
                      <a:fillRect/>
                    </a:stretch>
                  </pic:blipFill>
                  <pic:spPr>
                    <a:xfrm>
                      <a:off x="0" y="0"/>
                      <a:ext cx="5715000" cy="2738005"/>
                    </a:xfrm>
                    <a:prstGeom prst="rect">
                      <a:avLst/>
                    </a:prstGeom>
                  </pic:spPr>
                </pic:pic>
              </a:graphicData>
            </a:graphic>
          </wp:inline>
        </w:drawing>
      </w:r>
    </w:p>
    <w:p>
      <w:pPr>
        <w:spacing w:before="15" w:after="300"/>
        <w:ind w:left="0" w:right="0"/>
        <w:jc w:val="center"/>
      </w:pPr>
      <w:r>
        <w:t xml:space="preserve">Figure 3: Percentage Difference in Scores between Treatment and Control Schools at Baseline and Endline using MELQO, comparing results by Taleemabad and CERP Analytics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3.4. Results using Truncated Sample</w:t>
      </w:r>
    </w:p>
    <w:p>
      <w:pPr>
        <w:spacing w:before="240" w:after="240"/>
        <w:jc w:val="both"/>
      </w:pPr>
      <w:r>
        <w:t>The following results pertain to the truncated sample of 42 consistent schools, with 21 schools part of the treatment group and an equivalent number part of the control group.</w:t>
      </w:r>
    </w:p>
    <w:p>
      <w:pPr>
        <w:spacing w:before="240" w:after="240"/>
        <w:jc w:val="both"/>
      </w:pPr>
      <w:r>
        <w:rPr>
          <w:b/>
          <w:bCs/>
        </w:rPr>
        <w:t>3.4.1. ASER Grades 1 - 3</w:t>
      </w:r>
    </w:p>
    <w:p>
      <w:pPr>
        <w:spacing w:before="0" w:after="0"/>
        <w:ind w:left="0" w:right="0"/>
        <w:jc w:val="center"/>
      </w:pPr>
      <w:r>
        <w:rPr>
          <w:strike w:val="0"/>
          <w:u w:val="none"/>
        </w:rPr>
        <w:drawing>
          <wp:inline>
            <wp:extent cx="5715000" cy="3336581"/>
            <wp:docPr id="100007"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46344" name=""/>
                    <pic:cNvPicPr>
                      <a:picLocks noChangeAspect="1"/>
                    </pic:cNvPicPr>
                  </pic:nvPicPr>
                  <pic:blipFill>
                    <a:blip xmlns:r="http://schemas.openxmlformats.org/officeDocument/2006/relationships" r:embed="rId10"/>
                    <a:stretch>
                      <a:fillRect/>
                    </a:stretch>
                  </pic:blipFill>
                  <pic:spPr>
                    <a:xfrm>
                      <a:off x="0" y="0"/>
                      <a:ext cx="5715000" cy="3336581"/>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Grades 1 - 3 instrument </w:t>
      </w:r>
    </w:p>
    <w:p>
      <w:pPr>
        <w:spacing w:before="240" w:after="240"/>
        <w:jc w:val="both"/>
      </w:pPr>
      <w:r>
        <w:t>At endline, 3.02% of treatment schools met the criteria for all 3 subjects compared to 1.15% of control schools. This represents a difference of .582 standard deviations compared to the control group.</w:t>
      </w:r>
    </w:p>
    <w:p>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1.375 standard deviations above control schools for English at endline.</w:t>
      </w:r>
    </w:p>
    <w:p>
      <w:pPr>
        <w:spacing w:before="240" w:after="240"/>
        <w:jc w:val="both"/>
      </w:pPr>
      <w:r>
        <w:t>At baseline, the percentage difference between treatment and control schools for Maths is -.06% which is statistically insignificant from zero. At endline, the percentage difference between treatment and control schools for Maths is 3.99% which is statistically insignificant from zero. Expressed in standard deviations, treatment schools are .277 standard deviations above control schools for Maths at endline.</w:t>
      </w:r>
    </w:p>
    <w:p>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.572 standard deviations above control schools for Urdu at endline.</w:t>
      </w:r>
    </w:p>
    <w:p>
      <w:pPr>
        <w:spacing w:before="240" w:after="240"/>
        <w:jc w:val="both"/>
      </w:pPr>
      <w:r>
        <w:rPr>
          <w:b/>
          <w:bCs/>
        </w:rPr>
        <w:t>3.4.2. ASER Grades 4 - 5</w:t>
      </w:r>
    </w:p>
    <w:p>
      <w:pPr>
        <w:spacing w:before="0" w:after="0"/>
        <w:ind w:left="0" w:right="0"/>
        <w:jc w:val="center"/>
      </w:pPr>
      <w:r>
        <w:rPr>
          <w:strike w:val="0"/>
          <w:u w:val="none"/>
        </w:rPr>
        <w:drawing>
          <wp:inline>
            <wp:extent cx="5715000" cy="3103113"/>
            <wp:docPr id="100008"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14597" name=""/>
                    <pic:cNvPicPr>
                      <a:picLocks noChangeAspect="1"/>
                    </pic:cNvPicPr>
                  </pic:nvPicPr>
                  <pic:blipFill>
                    <a:blip xmlns:r="http://schemas.openxmlformats.org/officeDocument/2006/relationships" r:embed="rId11"/>
                    <a:stretch>
                      <a:fillRect/>
                    </a:stretch>
                  </pic:blipFill>
                  <pic:spPr>
                    <a:xfrm>
                      <a:off x="0" y="0"/>
                      <a:ext cx="5715000" cy="3103113"/>
                    </a:xfrm>
                    <a:prstGeom prst="rect">
                      <a:avLst/>
                    </a:prstGeom>
                  </pic:spPr>
                </pic:pic>
              </a:graphicData>
            </a:graphic>
          </wp:inline>
        </w:drawing>
      </w:r>
    </w:p>
    <w:p>
      <w:pPr>
        <w:spacing w:before="15" w:after="300"/>
        <w:ind w:left="0" w:right="0"/>
        <w:jc w:val="center"/>
      </w:pPr>
      <w:r>
        <w:t xml:space="preserve">Figure 2: Percentage Difference in Grade Threshold Clearing Between Treatment and Control Schools at Baseline and Endline using ASER Grades 4 - 5 instrument </w:t>
      </w:r>
    </w:p>
    <w:p>
      <w:pPr>
        <w:spacing w:before="240" w:after="240"/>
        <w:jc w:val="both"/>
      </w:pPr>
      <w:r>
        <w:t>At endline, 7.66% of treatment schools met the criteria for all 3 subjects compared to 1.67% of control schools. This represents a difference of 1.614 standard deviations compared to the control group.</w:t>
      </w:r>
    </w:p>
    <w:p>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.905 standard deviations above control schools for English at endline.</w:t>
      </w:r>
    </w:p>
    <w:p>
      <w:pPr>
        <w:spacing w:before="240" w:after="240"/>
        <w:jc w:val="both"/>
      </w:pPr>
      <w:r>
        <w:t>At baseline, the percentage difference between treatment and control schools for Maths is 25.19% which is statistically significant at the 5% level. At endline, the percentage difference between treatment and control schools for Maths is 7.5% which is statistically insignificant from zero. Expressed in standard deviations, treatment schools are .271 standard deviations above control schools for Maths at endline.</w:t>
      </w:r>
    </w:p>
    <w:p>
      <w:pPr>
        <w:spacing w:before="240" w:after="240"/>
        <w:jc w:val="both"/>
      </w:pPr>
      <w:r>
        <w:t>At baseline, the percentage difference between treatment and control schools for Urdu is 6.55% which is statistically insignificant from zero. At endline, the percentage difference between treatment and control schools for Urdu is 19.85% which is statistically insignificant from zero. Expressed in standard deviations, treatment schools are .636 standard deviations above control schools for Urdu at endline.</w:t>
      </w:r>
    </w:p>
    <w:p>
      <w:pPr>
        <w:spacing w:before="240" w:after="240"/>
        <w:jc w:val="both"/>
      </w:pPr>
      <w:r>
        <w:rPr>
          <w:b/>
          <w:bCs/>
        </w:rPr>
        <w:t>3.4.3. MELQO</w:t>
      </w:r>
    </w:p>
    <w:p>
      <w:pPr>
        <w:spacing w:before="0" w:after="0"/>
        <w:ind w:left="0" w:right="0"/>
        <w:jc w:val="center"/>
      </w:pPr>
      <w:r>
        <w:rPr>
          <w:strike w:val="0"/>
          <w:u w:val="none"/>
        </w:rPr>
        <w:drawing>
          <wp:inline>
            <wp:extent cx="5715000" cy="3456452"/>
            <wp:docPr id="100009"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9525" name=""/>
                    <pic:cNvPicPr>
                      <a:picLocks noChangeAspect="1"/>
                    </pic:cNvPicPr>
                  </pic:nvPicPr>
                  <pic:blipFill>
                    <a:blip xmlns:r="http://schemas.openxmlformats.org/officeDocument/2006/relationships" r:embed="rId12"/>
                    <a:stretch>
                      <a:fillRect/>
                    </a:stretch>
                  </pic:blipFill>
                  <pic:spPr>
                    <a:xfrm>
                      <a:off x="0" y="0"/>
                      <a:ext cx="5715000" cy="3456452"/>
                    </a:xfrm>
                    <a:prstGeom prst="rect">
                      <a:avLst/>
                    </a:prstGeom>
                  </pic:spPr>
                </pic:pic>
              </a:graphicData>
            </a:graphic>
          </wp:inline>
        </w:drawing>
      </w:r>
    </w:p>
    <w:p>
      <w:pPr>
        <w:spacing w:before="15" w:after="300"/>
        <w:ind w:left="0" w:right="0"/>
        <w:jc w:val="center"/>
      </w:pPr>
      <w:r>
        <w:t xml:space="preserve">Figure 6: Percentage Difference in Scores between Treatment and Control Schools at Baseline and Endline using MELQO </w:t>
      </w:r>
    </w:p>
    <w:p>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.383 standard deviations above control schools for pre-literacy at endline.</w:t>
      </w:r>
    </w:p>
    <w:p>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pre-numeracy at endline.</w:t>
      </w:r>
    </w:p>
    <w:p>
      <w:pPr>
        <w:spacing w:before="240" w:after="240"/>
        <w:jc w:val="both"/>
      </w:pPr>
      <w:r>
        <w:rPr>
          <w:b/>
          <w:bCs/>
        </w:rPr>
        <w:t>4. Limitations of the design</w:t>
      </w:r>
    </w:p>
    <w:p>
      <w:pPr>
        <w:numPr>
          <w:ilvl w:val="0"/>
          <w:numId w:val="3"/>
        </w:numPr>
        <w:tabs>
          <w:tab w:val="left" w:pos="388"/>
        </w:tabs>
        <w:spacing w:before="240"/>
        <w:ind w:left="0" w:firstLine="0"/>
        <w:jc w:val="both"/>
      </w:pPr>
      <w:r>
        <w:t xml:space="preserve">Inability to Track Test Scores for the Same Student at Baseline and Endline: </w:t>
      </w:r>
    </w:p>
    <w:p>
      <w:pPr>
        <w:spacing w:before="240" w:after="240"/>
        <w:ind w:left="0"/>
        <w:jc w:val="both"/>
      </w:pPr>
      <w:r>
        <w:t xml:space="preserve">One of the significant limitations of the evaluation design is the inability to consistently track test scores for the same student at both baseline and endline assessments. This constraint hinders our capacity to conduct comprehensive child-level analyses, which could provide valuable insights into individual progress over the course of the intervention. </w:t>
      </w:r>
    </w:p>
    <w:p>
      <w:pPr>
        <w:spacing w:before="240" w:after="240"/>
        <w:ind w:left="0"/>
        <w:jc w:val="both"/>
      </w:pPr>
      <w:r>
        <w:t>Additionally, due to the unavailability of test scores for the same student at baseline and endline, we are compelled to aggregate test scores at the school level for analysis. However, collapsing on the school level introduces a potential distortion in our findings as the average test scores at the school level may not accurately represent how individual children within the same school are actually performing. Variability in student performance is obscured, and the aggregated school-level analysis may provide a skewed representation of Taleemabad program's impact on educational outcomes.</w:t>
      </w:r>
    </w:p>
    <w:p>
      <w:pPr>
        <w:numPr>
          <w:ilvl w:val="0"/>
          <w:numId w:val="3"/>
        </w:numPr>
        <w:tabs>
          <w:tab w:val="left" w:pos="532"/>
        </w:tabs>
        <w:ind w:left="0" w:firstLine="0"/>
        <w:jc w:val="both"/>
      </w:pPr>
      <w:r>
        <w:t xml:space="preserve">Lack of Sufficient Data on External Factors: </w:t>
      </w:r>
    </w:p>
    <w:p>
      <w:pPr>
        <w:spacing w:before="240" w:after="240"/>
        <w:ind w:left="0"/>
        <w:jc w:val="both"/>
      </w:pPr>
      <w:r>
        <w:t>Our evaluation design faces a challenge due to the insufficient availability of data on external factors. The absence of comprehensive information on variables, such as socio-economic status, family support, or prior educational experiences, poses a substantial obstacle to effectively isolating the treatment effect from other potential influences.</w:t>
      </w:r>
    </w:p>
    <w:p>
      <w:pPr>
        <w:spacing w:before="240" w:after="240"/>
        <w:ind w:left="0"/>
        <w:jc w:val="both"/>
      </w:pPr>
      <w:r>
        <w:t>For instance, without detailed data on socio-economic status, we may overlook how financial resources within households could independently impact a student's academic performance. If a student's improved outcomes align with an increase in parental involvement, discerning the isolated impact of the program becomes intricate. Household characteristics, including parental education levels or the availability of educational resources at home, could significantly influence a student's performance, but our current design lacks the granularity to account for these nuances.</w:t>
      </w:r>
    </w:p>
    <w:p>
      <w:pPr>
        <w:spacing w:before="240" w:after="240"/>
        <w:ind w:left="0"/>
        <w:jc w:val="both"/>
      </w:pPr>
      <w:r>
        <w:t>Consequently, the observed differences in means cannot be conclusively attributed to the treatment alone. This limitation not only undermines the internal validity of our study but also restricts the extent to which causal inferences can be drawn. The complexity introduced by unaccounted household characteristics highlights the need for more comprehensive data collection strategies to strengthen the robustness of our analysis and enhance the validity of our conclusions.</w:t>
      </w:r>
    </w:p>
    <w:p>
      <w:pPr>
        <w:numPr>
          <w:ilvl w:val="0"/>
          <w:numId w:val="3"/>
        </w:numPr>
        <w:tabs>
          <w:tab w:val="left" w:pos="676"/>
        </w:tabs>
        <w:ind w:left="0" w:firstLine="0"/>
        <w:jc w:val="both"/>
      </w:pPr>
      <w:r>
        <w:t xml:space="preserve">Inherent Difficulty in Establishing Causation: </w:t>
      </w:r>
    </w:p>
    <w:p>
      <w:pPr>
        <w:spacing w:before="240" w:after="240"/>
        <w:ind w:left="0"/>
        <w:jc w:val="both"/>
      </w:pPr>
      <w:r>
        <w:t>The design's limitations extend to the broader issue of establishing causation. The lack of a controlled environment and comprehensive data on confounding variables, such as teacher quality or school resources, introduces complexities in confidently attributing changes in outcomes solely to the implemented treatment. For instance, improved educational outcomes may be linked not only to the Taleemabad program but also to unaccounted variations in teaching methods or additional resources allocated to specific schools.</w:t>
      </w:r>
    </w:p>
    <w:p>
      <w:pPr>
        <w:numPr>
          <w:ilvl w:val="0"/>
          <w:numId w:val="3"/>
        </w:numPr>
        <w:tabs>
          <w:tab w:val="left" w:pos="532"/>
        </w:tabs>
        <w:ind w:left="0" w:firstLine="0"/>
        <w:jc w:val="both"/>
      </w:pPr>
      <w:r>
        <w:t xml:space="preserve">Potential for Selection Bias in Selection of Control Schools: </w:t>
      </w:r>
    </w:p>
    <w:p>
      <w:pPr>
        <w:spacing w:before="240" w:after="240"/>
        <w:ind w:left="0"/>
        <w:jc w:val="both"/>
      </w:pPr>
      <w:r>
        <w:t xml:space="preserve">A notable limitation in our study arises from the process of selecting control schools based on proximity to treatment schools. This method, though practical, introduces the potential for selection bias. The proximity-based selection of control schools may inadvertently lead to differences in contextual factors between treatment and control groups. Local variations in community characteristics and educational resources may exist impacting the baseline comparability of the two groups. Variations in characteristics between treatment and control groups may confound our ability to attribute observed changes solely to the Taleemabad program. </w:t>
      </w:r>
    </w:p>
    <w:p>
      <w:pPr>
        <w:spacing w:before="240" w:after="240"/>
        <w:jc w:val="both"/>
      </w:pPr>
      <w:r>
        <w:rPr>
          <w:b/>
          <w:bCs/>
        </w:rPr>
        <w:t>5.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