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pStyle w:val="Heading2"/>
        <w:keepNext w:val="0"/>
        <w:spacing w:before="0" w:after="299"/>
        <w:rPr>
          <w:b/>
          <w:bCs/>
          <w:sz w:val="36"/>
          <w:szCs w:val="36"/>
        </w:rPr>
      </w:pPr>
      <w:hyperlink w:anchor="taleemabad-evaluation-by-cerp-analytics" w:history="1">
        <w:bookmarkStart w:id="0" w:name="taleemabad-evaluation-by-cerp-analytics"/>
        <w:r>
          <w:rPr>
            <w:rFonts w:ascii="Times New Roman" w:eastAsia="Times New Roman" w:hAnsi="Times New Roman" w:cs="Times New Roman"/>
            <w:i w:val="0"/>
            <w:iCs w:val="0"/>
            <w:color w:val="0000EE"/>
            <w:u w:val="single" w:color="0000EE"/>
          </w:rPr>
          <w:t>Taleemabad Evaluation by CERP Analytics</w:t>
        </w:r>
      </w:hyperlink>
      <w:bookmarkEnd w:id="0"/>
    </w:p>
    <w:p>
      <w:pPr>
        <w:pStyle w:val="Heading3"/>
        <w:keepNext w:val="0"/>
        <w:spacing w:before="281" w:after="281"/>
        <w:rPr>
          <w:b/>
          <w:bCs/>
          <w:sz w:val="28"/>
          <w:szCs w:val="28"/>
        </w:rPr>
      </w:pPr>
      <w:hyperlink w:anchor="table-of-contents" w:history="1">
        <w:bookmarkStart w:id="1" w:name="table-of-contents"/>
        <w:r>
          <w:rPr>
            <w:rFonts w:ascii="Times New Roman" w:eastAsia="Times New Roman" w:hAnsi="Times New Roman" w:cs="Times New Roman"/>
            <w:i w:val="0"/>
            <w:color w:val="0000EE"/>
            <w:u w:val="single" w:color="0000EE"/>
          </w:rPr>
          <w:t>Table of contents</w:t>
        </w:r>
      </w:hyperlink>
      <w:bookmarkEnd w:id="1"/>
    </w:p>
    <w:p>
      <w:pPr>
        <w:numPr>
          <w:ilvl w:val="0"/>
          <w:numId w:val="1"/>
        </w:numPr>
        <w:spacing w:before="240"/>
        <w:ind w:left="720" w:hanging="388"/>
        <w:jc w:val="left"/>
      </w:pPr>
      <w:r>
        <w:t>Introduction</w:t>
      </w:r>
    </w:p>
    <w:p>
      <w:pPr>
        <w:numPr>
          <w:ilvl w:val="0"/>
          <w:numId w:val="1"/>
        </w:numPr>
        <w:ind w:left="720" w:hanging="388"/>
        <w:jc w:val="left"/>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left"/>
      </w:pPr>
      <w:r>
        <w:t>Analytics by CERP</w:t>
      </w:r>
      <w:r>
        <w:br/>
      </w:r>
      <w:r>
        <w:t>3.1. School level Master Dataset and Variables (Cleaning raw datasets, Raw datasets to one master dataset at School level, Treatment Variable, Matching variable)</w:t>
      </w:r>
      <w:r>
        <w:br/>
      </w:r>
      <w:r>
        <w:t>3.2. Balance Test</w:t>
      </w:r>
      <w:r>
        <w:br/>
      </w:r>
      <w:r>
        <w:t>3.3. Results (with graphs)</w:t>
      </w:r>
      <w:r>
        <w:br/>
      </w:r>
      <w:r>
        <w:t>3.3.1. ASER Grades 1 - 3</w:t>
      </w:r>
      <w:r>
        <w:br/>
      </w:r>
      <w:r>
        <w:t>3.3.2. ASER Grades 4 - 5</w:t>
      </w:r>
      <w:r>
        <w:br/>
      </w:r>
      <w:r>
        <w:t>3.3.3. MELQO</w:t>
      </w:r>
    </w:p>
    <w:p>
      <w:pPr>
        <w:numPr>
          <w:ilvl w:val="0"/>
          <w:numId w:val="1"/>
        </w:numPr>
        <w:spacing w:after="240"/>
        <w:ind w:left="720" w:hanging="388"/>
        <w:jc w:val="left"/>
      </w:pPr>
      <w:r>
        <w:t>Conclusion</w:t>
      </w:r>
    </w:p>
    <w:p>
      <w:pPr>
        <w:spacing w:before="240" w:after="240"/>
      </w:pPr>
      <w:r>
        <w:rPr>
          <w:b/>
          <w:bCs/>
        </w:rPr>
        <w:t>1. Introduction</w:t>
      </w:r>
    </w:p>
    <w:p>
      <w:pPr>
        <w:spacing w:before="240" w:after="240"/>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pPr>
      <w:r>
        <w:rPr>
          <w:b/>
          <w:bCs/>
        </w:rPr>
        <w:t>2. Taleemabad’s Evaluation</w:t>
      </w:r>
    </w:p>
    <w:p>
      <w:pPr>
        <w:spacing w:before="240" w:after="240"/>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pPr>
      <w:r>
        <w:rPr>
          <w:b/>
          <w:bCs/>
        </w:rPr>
        <w:t>2.1. Instrument and Data Collection</w:t>
      </w:r>
    </w:p>
    <w:p>
      <w:pPr>
        <w:spacing w:before="240" w:after="240"/>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pPr>
      <w:r>
        <w:rPr>
          <w:b/>
          <w:bCs/>
        </w:rPr>
        <w:t>2.2. Sampling and Measurement</w:t>
      </w:r>
    </w:p>
    <w:p>
      <w:pPr>
        <w:spacing w:before="240" w:after="240"/>
      </w:pPr>
      <w:r>
        <w:rPr>
          <w:b/>
          <w:bCs/>
        </w:rPr>
        <w:t>2.3. Summary of Results</w:t>
      </w:r>
    </w:p>
    <w:p>
      <w:pPr>
        <w:spacing w:before="240" w:after="240"/>
      </w:pPr>
      <w:r>
        <w:rPr>
          <w:b/>
          <w:bCs/>
        </w:rPr>
        <w:t>2.3.1. Grades 1-3:</w:t>
      </w:r>
    </w:p>
    <w:p>
      <w:pPr>
        <w:spacing w:before="240" w:after="240"/>
      </w:pPr>
      <w:r>
        <w:t>50.7% of all Taleemabad students meet the criteria for all 3 subjects compared to 29.4% of control students at endline. This represents a difference of 0.46 standard deviations compared to the control group (1.58 LAYS). 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w:t>
      </w:r>
    </w:p>
    <w:p>
      <w:pPr>
        <w:spacing w:before="240" w:after="240"/>
      </w:pPr>
      <w:r>
        <w:rPr>
          <w:b/>
          <w:bCs/>
        </w:rPr>
        <w:t>2.3.2. Grades 4-5:</w:t>
      </w:r>
    </w:p>
    <w:p>
      <w:pPr>
        <w:spacing w:before="240" w:after="240"/>
      </w:pPr>
      <w:r>
        <w:t>7.2% of all Taleemabad students meet the criteria for all 3 subjects compared to 6.2% of control students at endline. This represents a difference of 0.05 standard deviations compared to the control group (0.4 LAYS). 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w:t>
      </w:r>
    </w:p>
    <w:p>
      <w:pPr>
        <w:spacing w:before="240" w:after="240"/>
      </w:pPr>
      <w:r>
        <w:rPr>
          <w:b/>
          <w:bCs/>
        </w:rPr>
        <w:t>2.3.3. MELQO:</w:t>
      </w:r>
    </w:p>
    <w:p>
      <w:pPr>
        <w:spacing w:before="240" w:after="240"/>
      </w:pPr>
      <w:r>
        <w:t>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w:t>
      </w:r>
    </w:p>
    <w:p>
      <w:pPr>
        <w:spacing w:before="240" w:after="240"/>
      </w:pPr>
      <w:r>
        <w:rPr>
          <w:b/>
          <w:bCs/>
        </w:rPr>
        <w:t>3. Analytics by CERP:</w:t>
      </w:r>
    </w:p>
    <w:p>
      <w:pPr>
        <w:spacing w:before="240" w:after="240"/>
      </w:pPr>
      <w:r>
        <w:rPr>
          <w:b/>
          <w:bCs/>
        </w:rPr>
        <w:t>3.1. School level Master Dataset and Variables (Cleaning raw datasets, Raw datasets to one master dataset at School level, Treatment Variable, Matching variable)</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       treatment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matching |         0          1 |     Total</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Attrition |         5          6 |        11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Replacement |        33          5 |        38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Consistent |        21         21 |        42 </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Total |        59         32 |        91 </w:t>
      </w:r>
    </w:p>
    <w:p>
      <w:pPr>
        <w:spacing w:before="0" w:after="0"/>
        <w:rPr>
          <w:rFonts w:ascii="Courier New" w:eastAsia="Courier New" w:hAnsi="Courier New" w:cs="Courier New"/>
          <w:sz w:val="20"/>
          <w:szCs w:val="20"/>
        </w:rPr>
      </w:pPr>
    </w:p>
    <w:p>
      <w:pPr>
        <w:spacing w:before="240" w:after="240"/>
      </w:pPr>
      <w:r>
        <w:rPr>
          <w:b/>
          <w:bCs/>
        </w:rPr>
        <w:t>3.2. Balance Test (Orth_out at baseline and Control) - Results and Graphs</w:t>
      </w:r>
      <w:r>
        <w:rPr>
          <w:b/>
          <w:bCs/>
        </w:rPr>
        <w:br/>
      </w:r>
      <w:r>
        <w:t>Treatment and Control Mean at baseline and endline</w:t>
      </w:r>
    </w:p>
    <w:p>
      <w:pPr>
        <w:spacing w:before="20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aser_b_english_Sentence:mean  20.628  48.278</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aser_e_english_Sentence:mean  12.875  27.381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aser_b_math_Subtract:mean  29.217  28.237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aser_e_math_Subtract:mean  27.125  26.009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aser_b_urdu_Story:mean   6.610  23.937</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aser_e_urdu_Story:mean  14.226  22.512</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0:      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_       _</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aser_b_eng_4_5_G5Sentence:mean   8.184   4.623</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aser_e_eng_4_5_G5Sentence:mean   9.085  14.871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aser_b_maths_4_5_Division:mean  28.821  55.910</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aser_e_maths_4_5_Division:mean  59.868  62.129</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aser_b_urdu_4_5_G5Story:mean  60.370  71.126</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aser_e_urdu_4_5_G5Story:mean  57.726  68.574</w:t>
      </w:r>
    </w:p>
    <w:p>
      <w:pPr>
        <w:spacing w:before="0" w:after="0"/>
        <w:rPr>
          <w:rFonts w:ascii="Courier New" w:eastAsia="Courier New" w:hAnsi="Courier New" w:cs="Courier New"/>
          <w:sz w:val="20"/>
          <w:szCs w:val="20"/>
        </w:rPr>
      </w:pPr>
    </w:p>
    <w:p>
      <w:pPr>
        <w:spacing w:before="240" w:after="240"/>
      </w:pPr>
      <w:r>
        <w:rPr>
          <w:b/>
          <w:bCs/>
        </w:rPr>
        <w:t>3.3. Results (with graphs)</w:t>
      </w:r>
      <w:r>
        <w:rPr>
          <w:b/>
          <w:bCs/>
        </w:rPr>
        <w:br/>
      </w:r>
      <w:r>
        <w:t>difference in treatment and control at baseline and endline, and testing whether diff is statistically significant</w:t>
      </w:r>
    </w:p>
    <w:p>
      <w:pPr>
        <w:spacing w:before="240" w:after="240"/>
      </w:pPr>
      <w:r>
        <w:rPr>
          <w:b/>
          <w:bCs/>
        </w:rPr>
        <w:t>3.3.1. ASER Grades 1 - 3</w:t>
      </w:r>
    </w:p>
    <w:p>
      <w:pPr>
        <w:spacing w:before="240" w:after="240"/>
      </w:pPr>
      <w:r>
        <w:t>At baseline, the percentage difference between treatment and control schools for English is 27.65% which is statistically significant at the 5% level. At endline, the percentage difference between treatment and control schools for English is 14.51% which is statistically significant at 5%. Expressed in standard deviations, treatment schools are .87 standard deviations above control schools for English at endline.</w:t>
      </w:r>
    </w:p>
    <w:p>
      <w:pPr>
        <w:spacing w:before="240" w:after="240"/>
      </w:pPr>
      <w:r>
        <w:t>At baseline, the percentage difference between treatment and control schools for Maths is -.98% which is statistically insignificant from zero. At endline, the percentage difference between treatment and control schools for Maths is -1.12% which is statistically insignificant from zero. Expressed in standard deviations, treatment schools are .057 standard deviations below control schools for Maths at endline.</w:t>
      </w:r>
    </w:p>
    <w:p>
      <w:pPr>
        <w:spacing w:before="240" w:after="240"/>
      </w:pPr>
      <w:r>
        <w:t>At baseline, the percentage difference between treatment and control schools for Urdu is 17.33% which is statistically significant at the 5% level. At endline, the percentage difference between treatment and control schools for Urdu is 8.300000000000001% which is statistically insignificant from zero. Expressed in standard deviations, treatment schools are .366 standard deviations above control schools for Urdu at endline.</w:t>
      </w:r>
    </w:p>
    <w:p>
      <w:pPr>
        <w:spacing w:before="240" w:after="240"/>
      </w:pPr>
      <w:r>
        <w:rPr>
          <w:b/>
          <w:bCs/>
        </w:rPr>
        <w:t>3.3.2. ASER Grades 4 - 5</w:t>
      </w:r>
    </w:p>
    <w:p>
      <w:pPr>
        <w:spacing w:before="240" w:after="240"/>
      </w:pPr>
      <w:r>
        <w:t>At baseline, the percentage difference between treatment and control schools for English is -3.56% which is statistically insignificant from zero. At endline, the percentage difference between treatment and control schools for English is 5.79% which is statistically insignificant from zero. Expressed in standard deviations, treatment schools are .41 standard deviations above control schools for English at endline.</w:t>
      </w:r>
    </w:p>
    <w:p>
      <w:pPr>
        <w:spacing w:before="240" w:after="240"/>
      </w:pPr>
      <w:r>
        <w:t>At baseline, the percentage difference between treatment and control schools for Maths is 27.09% which is statistically significant at the 5% level. At endline, the percentage difference between treatment and control schools for Maths is 2.26% which is statistically insignificant from zero. Expressed in standard deviations, treatment schools are .088 standard deviations above control schools for Maths at endline.</w:t>
      </w:r>
    </w:p>
    <w:p>
      <w:pPr>
        <w:spacing w:before="240" w:after="240"/>
      </w:pPr>
      <w:r>
        <w:t>At baseline, the percentage difference between treatment and control schools for Urdu is 10.76% which is statistically significant at the 5% level. At endline, the percentage difference between treatment and control schools for Urdu is 10.85% which is statistically insignificant from zero. Expressed in standard deviations, treatment schools are .3 standard deviations above control schools for Urdu at endline.</w:t>
      </w:r>
    </w:p>
    <w:p>
      <w:pPr>
        <w:spacing w:before="240" w:after="240"/>
      </w:pPr>
      <w:r>
        <w:rPr>
          <w:b/>
          <w:bCs/>
        </w:rPr>
        <w:t>3.3.3. MELQO</w:t>
      </w:r>
    </w:p>
    <w:p>
      <w:pPr>
        <w:spacing w:before="240" w:after="240"/>
      </w:pPr>
      <w:r>
        <w:rPr>
          <w:b/>
          <w:bCs/>
        </w:rPr>
        <w:t>4. Conclusion</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numbering" Target="numbering.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