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37776"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5347"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715000" cy="1662779"/>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23142" name=""/>
                    <pic:cNvPicPr>
                      <a:picLocks noChangeAspect="1"/>
                    </pic:cNvPicPr>
                  </pic:nvPicPr>
                  <pic:blipFill>
                    <a:blip xmlns:r="http://schemas.openxmlformats.org/officeDocument/2006/relationships" r:embed="rId6"/>
                    <a:stretch>
                      <a:fillRect/>
                    </a:stretch>
                  </pic:blipFill>
                  <pic:spPr>
                    <a:xfrm>
                      <a:off x="0" y="0"/>
                      <a:ext cx="5715000" cy="1662779"/>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The above table depicts whether the treatment and control groups are balanced in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0" w:after="0"/>
        <w:ind w:left="0" w:right="0"/>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49563"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15" w:after="300"/>
        <w:ind w:left="0" w:right="0"/>
        <w:jc w:val="center"/>
      </w:pPr>
      <w:r>
        <w:t xml:space="preserve">Table 4: Percentage Difference in Grade Threshold Clearing Between Treatment and Control Schools at Baseline and Endline using ASER Instruments </w:t>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1501"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15" w:after="300"/>
        <w:ind w:left="0" w:right="0"/>
        <w:jc w:val="center"/>
      </w:pPr>
      <w:r>
        <w:t xml:space="preserve">Table 5: Percentage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