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r>
        <w:rPr>
          <w:color w:val="000000"/>
          <w:sz w:val="30"/>
          <w:szCs w:val="30"/>
        </w:rPr>
        <w:t>Table of contents</w:t>
      </w:r>
    </w:p>
    <w:p>
      <w:pPr>
        <w:keepNext w:val="0"/>
        <w:jc w:val="both"/>
      </w:pPr>
      <w:r>
        <w:rPr>
          <w:color w:val="000000"/>
        </w:rPr>
        <w:t>1. Introduction</w:t>
      </w:r>
      <w:r>
        <w:rPr>
          <w:color w:val="000000"/>
        </w:rPr>
        <w:br/>
      </w:r>
      <w:r>
        <w:rPr>
          <w:color w:val="000000"/>
        </w:rPr>
        <w:t>2. Taleemabad’s Evaluation</w:t>
      </w:r>
      <w:r>
        <w:rPr>
          <w:color w:val="000000"/>
        </w:rPr>
        <w:br/>
      </w:r>
      <w:r>
        <w:rPr>
          <w:color w:val="000000"/>
        </w:rPr>
        <w:t>2.1. Instrument and Data Collection</w:t>
      </w:r>
      <w:r>
        <w:rPr>
          <w:color w:val="000000"/>
        </w:rPr>
        <w:br/>
      </w:r>
      <w:r>
        <w:rPr>
          <w:color w:val="000000"/>
        </w:rPr>
        <w:t>2.2. Sampling and Measurement</w:t>
      </w:r>
      <w:r>
        <w:rPr>
          <w:color w:val="000000"/>
        </w:rPr>
        <w:br/>
      </w:r>
      <w:r>
        <w:rPr>
          <w:color w:val="000000"/>
        </w:rPr>
        <w:t>2.3. Summary of Results</w:t>
      </w:r>
      <w:r>
        <w:rPr>
          <w:color w:val="000000"/>
        </w:rPr>
        <w:br/>
      </w:r>
      <w:r>
        <w:rPr>
          <w:color w:val="000000"/>
        </w:rPr>
        <w:t>2.3.1. ASER Grades 1 - 3</w:t>
      </w:r>
      <w:r>
        <w:rPr>
          <w:color w:val="000000"/>
        </w:rPr>
        <w:br/>
      </w:r>
      <w:r>
        <w:rPr>
          <w:color w:val="000000"/>
        </w:rPr>
        <w:t>2.3.2. ASER Grades 4 - 5</w:t>
      </w:r>
      <w:r>
        <w:rPr>
          <w:color w:val="000000"/>
        </w:rPr>
        <w:br/>
      </w:r>
      <w:r>
        <w:rPr>
          <w:color w:val="000000"/>
        </w:rPr>
        <w:t>2.3.3. MELQO</w:t>
      </w:r>
      <w:r>
        <w:rPr>
          <w:color w:val="000000"/>
        </w:rPr>
        <w:br/>
      </w:r>
      <w:r>
        <w:rPr>
          <w:color w:val="000000"/>
        </w:rPr>
        <w:t>3. Analytics by CERP</w:t>
      </w:r>
      <w:r>
        <w:rPr>
          <w:color w:val="000000"/>
        </w:rPr>
        <w:br/>
      </w:r>
      <w:r>
        <w:rPr>
          <w:color w:val="000000"/>
        </w:rPr>
        <w:t>3.1. School level Master Dataset and Variables</w:t>
      </w:r>
      <w:r>
        <w:rPr>
          <w:color w:val="000000"/>
        </w:rPr>
        <w:br/>
      </w:r>
      <w:r>
        <w:rPr>
          <w:color w:val="000000"/>
        </w:rPr>
        <w:t>3.2. Balance Test</w:t>
      </w:r>
      <w:r>
        <w:rPr>
          <w:color w:val="000000"/>
        </w:rPr>
        <w:br/>
      </w:r>
      <w:r>
        <w:rPr>
          <w:color w:val="000000"/>
        </w:rPr>
        <w:t>3.3. Results</w:t>
      </w:r>
      <w:r>
        <w:rPr>
          <w:color w:val="000000"/>
        </w:rPr>
        <w:br/>
      </w:r>
      <w:r>
        <w:rPr>
          <w:color w:val="000000"/>
        </w:rPr>
        <w:t>3.3.1. ASER Grades 1 - 3</w:t>
      </w:r>
      <w:r>
        <w:rPr>
          <w:color w:val="000000"/>
        </w:rPr>
        <w:br/>
      </w:r>
      <w:r>
        <w:rPr>
          <w:color w:val="000000"/>
        </w:rPr>
        <w:t>3.3.2. ASER Grades 4 - 5</w:t>
      </w:r>
      <w:r>
        <w:rPr>
          <w:color w:val="000000"/>
        </w:rPr>
        <w:br/>
      </w:r>
      <w:r>
        <w:rPr>
          <w:color w:val="000000"/>
        </w:rPr>
        <w:t>3.3.3. MELQO</w:t>
      </w:r>
      <w:r>
        <w:rPr>
          <w:color w:val="000000"/>
        </w:rPr>
        <w:br/>
      </w:r>
      <w:r>
        <w:rPr>
          <w:color w:val="000000"/>
        </w:rPr>
        <w:t xml:space="preserve">4. Conclusion </w:t>
      </w:r>
    </w:p>
    <w:p>
      <w:pPr>
        <w:jc w:val="both"/>
        <w:sectPr>
          <w:pgMar w:header="708" w:footer="708"/>
          <w:cols w:space="708"/>
        </w:sectPr>
      </w:pP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88503"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r>
        <w:t xml:space="preserve">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jc w:val="both"/>
      </w:pPr>
      <w:r>
        <w:rPr>
          <w:b/>
          <w:bCs/>
        </w:rPr>
        <w:t>2.3.2. ASER Grades 4-5:</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School level Master Dataset and Variables</w:t>
      </w:r>
    </w:p>
    <w:p>
      <w:pPr>
        <w:spacing w:before="240" w:after="240"/>
        <w:jc w:val="both"/>
      </w:pPr>
      <w:r>
        <w:t>The cleaning process for the six child-level raw datasets provided by Taleemabad involved a series of systematic steps to enhance data quality and analytical reliability. The first crucial step involved a thorough revision of variable names to ensure clarity and maintain consistency across all six datasets, including baseline and endline datasets for ASER grades 1 - 3, ASER grades 4 - 5, and MELQO. This meticulous effort aimed to make the data more understandable and user-friendly for subsequent analysis.</w:t>
      </w:r>
    </w:p>
    <w:p>
      <w:pPr>
        <w:spacing w:before="240" w:after="240"/>
        <w:jc w:val="both"/>
      </w:pPr>
      <w:r>
        <w:t>Additionally, the school name variable in the raw datasets underwent a comprehensive cleaning process, utilizing the school name correction files provided by Taleemabad. This step was pivotal, as it aimed to standardize and match school names consistently across all six datasets. The correction files, instrumental in this process, contained columns outlining various spellings or discrepancies in school names across the datasets and identifying the correct names. The overarching goal was to create a master school-level dataset that incorporated information from all baseline and endline datasets for ASER grades 1 - 3, ASER grades 4 - 5, and MELQO.</w:t>
      </w:r>
    </w:p>
    <w:p>
      <w:pPr>
        <w:spacing w:before="240" w:after="240"/>
        <w:jc w:val="both"/>
      </w:pPr>
      <w:r>
        <w:t>Furthermore, the raw child-level datasets included student marks for each question in the ASER instrument. To facilitate analysis, categorical variables were generated using the ASER ranking methodology. These variables categorized test scores into predefined groups, representing various levels of proficiency in English, Urdu, and Maths. Subsequently, dummy variables were created for each proficiency category, indicating whether a student belonged to a specific proficiency level. Considering the lack of guidelines regarding thresholds for MELQO, the percentage scores obtained by students for pre-numeracy, pre-literacy and motor skills is calculated.</w:t>
      </w:r>
    </w:p>
    <w:p>
      <w:pPr>
        <w:spacing w:before="240" w:after="240"/>
        <w:jc w:val="both"/>
      </w:pPr>
      <w:r>
        <w:t>Following the cleaning of endline and baseline school level datasets for ASER grades 1 - 3, ASER grades 4 - 5 and MELQO, the individual datasets were collapsed on school names to create school level datasets. Consequently, dummy variables that were previously created for each proficiency category now indicated the proportion of students in each school belonging to specific proficiency levels. Similarly, pre-numeracy, pre-literacy and motor skills indicators now represented average percentage scores at school level. The baseline and endline datasets for ASER grades 1 - 3, ASER grades 4 - 5 and MELQO were merged on school names, and then a school level master dataset was created merging the three on school names.</w:t>
      </w:r>
    </w:p>
    <w:p>
      <w:pPr>
        <w:spacing w:before="240" w:after="240"/>
        <w:jc w:val="both"/>
      </w:pPr>
      <w:r>
        <w:t>As mentioned earlier, not all schools present during the baseline assessment were retained in the endline, and new schools were introduced as replacements. To categorize this dynamic, a matching variable was created which identified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jc w:val="center"/>
      </w:pPr>
      <w:r>
        <w:rPr>
          <w:strike w:val="0"/>
          <w:u w:val="none"/>
        </w:rPr>
        <w:drawing>
          <wp:inline>
            <wp:extent cx="3048000" cy="251840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98634" name=""/>
                    <pic:cNvPicPr>
                      <a:picLocks noChangeAspect="1"/>
                    </pic:cNvPicPr>
                  </pic:nvPicPr>
                  <pic:blipFill>
                    <a:blip xmlns:r="http://schemas.openxmlformats.org/officeDocument/2006/relationships" r:embed="rId5"/>
                    <a:stretch>
                      <a:fillRect/>
                    </a:stretch>
                  </pic:blipFill>
                  <pic:spPr>
                    <a:xfrm>
                      <a:off x="0" y="0"/>
                      <a:ext cx="3048000" cy="2518403"/>
                    </a:xfrm>
                    <a:prstGeom prst="rect">
                      <a:avLst/>
                    </a:prstGeom>
                  </pic:spPr>
                </pic:pic>
              </a:graphicData>
            </a:graphic>
          </wp:inline>
        </w:drawing>
      </w:r>
    </w:p>
    <w:p>
      <w:pPr>
        <w:spacing w:before="240" w:after="240"/>
        <w:jc w:val="both"/>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 Six treatment schools were added in the endline assessment to replace an equivalent number that were dropped. However, the number of replacement control schools is much higher due to two reasons. Firstly, when a treatment school dropped after baseline then nearby control school(s) were also introduced as replacements in addition to a treatment school. Secondly, certain school names in the endline datasets were ambiguous and could not be corrected. These schools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jc w:val="center"/>
      </w:pPr>
      <w:r>
        <w:rPr>
          <w:strike w:val="0"/>
          <w:u w:val="none"/>
        </w:rPr>
        <w:drawing>
          <wp:inline>
            <wp:extent cx="5715000" cy="1668856"/>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3876" name=""/>
                    <pic:cNvPicPr>
                      <a:picLocks noChangeAspect="1"/>
                    </pic:cNvPicPr>
                  </pic:nvPicPr>
                  <pic:blipFill>
                    <a:blip xmlns:r="http://schemas.openxmlformats.org/officeDocument/2006/relationships" r:embed="rId6"/>
                    <a:stretch>
                      <a:fillRect/>
                    </a:stretch>
                  </pic:blipFill>
                  <pic:spPr>
                    <a:xfrm>
                      <a:off x="0" y="0"/>
                      <a:ext cx="5715000" cy="1668856"/>
                    </a:xfrm>
                    <a:prstGeom prst="rect">
                      <a:avLst/>
                    </a:prstGeom>
                  </pic:spPr>
                </pic:pic>
              </a:graphicData>
            </a:graphic>
          </wp:inline>
        </w:drawing>
      </w:r>
    </w:p>
    <w:p>
      <w:pPr>
        <w:spacing w:before="240" w:after="240"/>
        <w:jc w:val="both"/>
      </w:pPr>
      <w:r>
        <w:t>The above table depicts whether the treatment and control groups are balanced in baseline and endline in terms of the outcome variables.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pPr>
        <w:jc w:val="center"/>
      </w:pPr>
      <w:r>
        <w:rPr>
          <w:strike w:val="0"/>
          <w:u w:val="none"/>
        </w:rPr>
        <w:drawing>
          <wp:inline>
            <wp:extent cx="5715000" cy="2501747"/>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562" name=""/>
                    <pic:cNvPicPr>
                      <a:picLocks noChangeAspect="1"/>
                    </pic:cNvPicPr>
                  </pic:nvPicPr>
                  <pic:blipFill>
                    <a:blip xmlns:r="http://schemas.openxmlformats.org/officeDocument/2006/relationships" r:embed="rId7"/>
                    <a:stretch>
                      <a:fillRect/>
                    </a:stretch>
                  </pic:blipFill>
                  <pic:spPr>
                    <a:xfrm>
                      <a:off x="0" y="0"/>
                      <a:ext cx="5715000" cy="2501747"/>
                    </a:xfrm>
                    <a:prstGeom prst="rect">
                      <a:avLst/>
                    </a:prstGeom>
                  </pic:spPr>
                </pic:pic>
              </a:graphicData>
            </a:graphic>
          </wp:inline>
        </w:drawing>
      </w:r>
    </w:p>
    <w:p>
      <w:pPr>
        <w:spacing w:before="240" w:after="240"/>
        <w:jc w:val="both"/>
      </w:pPr>
      <w:r>
        <w:rPr>
          <w:b/>
          <w:bCs/>
        </w:rPr>
        <w:t>3.3.1. ASER Grades 1 - 3</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jc w:val="center"/>
      </w:pPr>
      <w:r>
        <w:rPr>
          <w:strike w:val="0"/>
          <w:u w:val="none"/>
        </w:rPr>
        <w:drawing>
          <wp:inline>
            <wp:extent cx="5715000" cy="2651628"/>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76351" name=""/>
                    <pic:cNvPicPr>
                      <a:picLocks noChangeAspect="1"/>
                    </pic:cNvPicPr>
                  </pic:nvPicPr>
                  <pic:blipFill>
                    <a:blip xmlns:r="http://schemas.openxmlformats.org/officeDocument/2006/relationships" r:embed="rId8"/>
                    <a:stretch>
                      <a:fillRect/>
                    </a:stretch>
                  </pic:blipFill>
                  <pic:spPr>
                    <a:xfrm>
                      <a:off x="0" y="0"/>
                      <a:ext cx="5715000" cy="2651628"/>
                    </a:xfrm>
                    <a:prstGeom prst="rect">
                      <a:avLst/>
                    </a:prstGeom>
                  </pic:spPr>
                </pic:pic>
              </a:graphicData>
            </a:graphic>
          </wp:inline>
        </w:drawing>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pre-numeracy at endline.</w:t>
      </w:r>
    </w:p>
    <w:p>
      <w:pPr>
        <w:spacing w:before="240" w:after="240"/>
        <w:jc w:val="both"/>
      </w:pPr>
      <w:r>
        <w:rPr>
          <w:b/>
          <w:bCs/>
        </w:rPr>
        <w:t>4.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