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School level Master Dataset and Variables</w:t>
      </w:r>
      <w:r>
        <w:br/>
      </w:r>
      <w:r>
        <w:t>3.2. Balance Test</w:t>
      </w:r>
      <w:r>
        <w:br/>
      </w:r>
      <w:r>
        <w:t>3.3. Results</w:t>
      </w:r>
      <w:r>
        <w:br/>
      </w:r>
      <w:r>
        <w:t>3.3.1. ASER Grades 1 - 3</w:t>
      </w:r>
      <w:r>
        <w:br/>
      </w:r>
      <w:r>
        <w:t>3.3.2. ASER Grades 4 - 5</w:t>
      </w:r>
      <w:r>
        <w:br/>
      </w:r>
      <w:r>
        <w:t>3.3.3. MELQO</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3580"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for bringing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to Taleemabad mapped various spellings and discrepancies in the school names. Once consistent correct names were created, schools were assigned a unique id which was used to create a master school-level dataset that incorporated information from all baseline and endline datasets for ASER grades 1 - 3, ASER grades 4 - 5, and MELQO.</w:t>
      </w:r>
    </w:p>
    <w:p>
      <w:pPr>
        <w:numPr>
          <w:ilvl w:val="0"/>
          <w:numId w:val="2"/>
        </w:numPr>
        <w:spacing w:after="24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Due to the lack of guidelines regarding thresholds for MELQO, the percentage scores obtained by students for pre-numeracy, pre-literacy and motor skills are calculated.</w:t>
      </w:r>
    </w:p>
    <w:p>
      <w:pPr>
        <w:jc w:val="both"/>
      </w:pPr>
      <w:r>
        <w:t xml:space="preserve">Following the cleaning of endline and baseline data for ASER grades 1 - 3, ASER grades 4 - 5 and MELQO, the individual datasets were collapsed on school to create school 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the basis of schools to create a school level master dataset. </w:t>
      </w:r>
    </w:p>
    <w:p>
      <w:pPr>
        <w:spacing w:before="240" w:after="240"/>
        <w:jc w:val="both"/>
      </w:pPr>
      <w:r>
        <w:t>Sine not all schools during the baseline assessment were included in the endline, and new schools were introduced as replacements,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7411"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at the endline stage. Out of 44 replacement schools, six schools were added to replace that the schools that were dropped after baseline. However, the number of replacement control schools is much higher due to two reasons. Firstly, when a treatment school dropped after baseline then nearby control school(s) were also introduced as replacements in addition to a treatment school. Secondly, ambiguous school names in the endline datasets which could not be corrected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715000" cy="1662779"/>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71576" name=""/>
                    <pic:cNvPicPr>
                      <a:picLocks noChangeAspect="1"/>
                    </pic:cNvPicPr>
                  </pic:nvPicPr>
                  <pic:blipFill>
                    <a:blip xmlns:r="http://schemas.openxmlformats.org/officeDocument/2006/relationships" r:embed="rId6"/>
                    <a:stretch>
                      <a:fillRect/>
                    </a:stretch>
                  </pic:blipFill>
                  <pic:spPr>
                    <a:xfrm>
                      <a:off x="0" y="0"/>
                      <a:ext cx="5715000" cy="1662779"/>
                    </a:xfrm>
                    <a:prstGeom prst="rect">
                      <a:avLst/>
                    </a:prstGeom>
                  </pic:spPr>
                </pic:pic>
              </a:graphicData>
            </a:graphic>
          </wp:inline>
        </w:drawing>
      </w:r>
    </w:p>
    <w:p>
      <w:pPr>
        <w:spacing w:before="15" w:after="300"/>
        <w:ind w:left="0" w:right="0"/>
        <w:jc w:val="center"/>
      </w:pPr>
      <w:r>
        <w:t xml:space="preserve">Table 3: Balance Test </w:t>
      </w:r>
    </w:p>
    <w:p>
      <w:pPr>
        <w:spacing w:before="240" w:after="240"/>
        <w:jc w:val="both"/>
      </w:pPr>
      <w:r>
        <w:t>The above table depicts whether the treatment and control groups are balanced at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0" w:after="0"/>
        <w:ind w:left="0" w:right="0"/>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7283"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Instruments </w:t>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651628"/>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75699" name=""/>
                    <pic:cNvPicPr>
                      <a:picLocks noChangeAspect="1"/>
                    </pic:cNvPicPr>
                  </pic:nvPicPr>
                  <pic:blipFill>
                    <a:blip xmlns:r="http://schemas.openxmlformats.org/officeDocument/2006/relationships" r:embed="rId8"/>
                    <a:stretch>
                      <a:fillRect/>
                    </a:stretch>
                  </pic:blipFill>
                  <pic:spPr>
                    <a:xfrm>
                      <a:off x="0" y="0"/>
                      <a:ext cx="5715000" cy="2651628"/>
                    </a:xfrm>
                    <a:prstGeom prst="rect">
                      <a:avLst/>
                    </a:prstGeom>
                  </pic:spPr>
                </pic:pic>
              </a:graphicData>
            </a:graphic>
          </wp:inline>
        </w:drawing>
      </w:r>
    </w:p>
    <w:p>
      <w:pPr>
        <w:spacing w:before="15" w:after="300"/>
        <w:ind w:left="0" w:right="0"/>
        <w:jc w:val="center"/>
      </w:pPr>
      <w:r>
        <w:t xml:space="preserve">Figure 2: Percentage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