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pStyle w:val="Heading2"/>
        <w:keepNext w:val="0"/>
        <w:spacing w:before="0" w:after="299"/>
        <w:rPr>
          <w:b/>
          <w:bCs/>
          <w:sz w:val="36"/>
          <w:szCs w:val="36"/>
        </w:rPr>
      </w:pPr>
      <w:hyperlink w:anchor="taleemabad-evaluation-by-cerp-analytics" w:history="1">
        <w:bookmarkStart w:id="0" w:name="taleemabad-evaluation-by-cerp-analytics"/>
        <w:r>
          <w:rPr>
            <w:rFonts w:ascii="Times New Roman" w:eastAsia="Times New Roman" w:hAnsi="Times New Roman" w:cs="Times New Roman"/>
            <w:i w:val="0"/>
            <w:iCs w:val="0"/>
            <w:color w:val="0000EE"/>
            <w:u w:val="single" w:color="0000EE"/>
          </w:rPr>
          <w:t>Taleemabad Evaluation by CERP Analytics</w:t>
        </w:r>
      </w:hyperlink>
      <w:bookmarkEnd w:id="0"/>
    </w:p>
    <w:p>
      <w:pPr>
        <w:pStyle w:val="Heading3"/>
        <w:keepNext w:val="0"/>
        <w:spacing w:before="281" w:after="281"/>
        <w:rPr>
          <w:b/>
          <w:bCs/>
          <w:sz w:val="28"/>
          <w:szCs w:val="28"/>
        </w:rPr>
      </w:pPr>
      <w:hyperlink w:anchor="table-of-contents" w:history="1">
        <w:bookmarkStart w:id="1" w:name="table-of-contents"/>
        <w:r>
          <w:rPr>
            <w:rFonts w:ascii="Times New Roman" w:eastAsia="Times New Roman" w:hAnsi="Times New Roman" w:cs="Times New Roman"/>
            <w:i w:val="0"/>
            <w:color w:val="0000EE"/>
            <w:u w:val="single" w:color="0000EE"/>
          </w:rPr>
          <w:t>Table of contents</w:t>
        </w:r>
      </w:hyperlink>
      <w:bookmarkEnd w:id="1"/>
    </w:p>
    <w:p>
      <w:pPr>
        <w:numPr>
          <w:ilvl w:val="0"/>
          <w:numId w:val="1"/>
        </w:numPr>
        <w:spacing w:before="240"/>
        <w:ind w:left="720" w:hanging="388"/>
        <w:jc w:val="left"/>
      </w:pPr>
      <w:r>
        <w:t>Introduction</w:t>
      </w:r>
    </w:p>
    <w:p>
      <w:pPr>
        <w:numPr>
          <w:ilvl w:val="0"/>
          <w:numId w:val="1"/>
        </w:numPr>
        <w:ind w:left="720" w:hanging="388"/>
        <w:jc w:val="left"/>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left"/>
      </w:pPr>
      <w:r>
        <w:t>Analytics by CERP</w:t>
      </w:r>
      <w:r>
        <w:br/>
      </w:r>
      <w:r>
        <w:t>3.1. School level Master Dataset and Variables (Cleaning raw datasets, Raw datasets to one master dataset at School level, Treatment Variable, Matching variable)</w:t>
      </w:r>
      <w:r>
        <w:br/>
      </w:r>
      <w:r>
        <w:t>3.2. Balance Test</w:t>
      </w:r>
      <w:r>
        <w:br/>
      </w:r>
      <w:r>
        <w:t>3.3. Results (with graphs)</w:t>
      </w:r>
      <w:r>
        <w:br/>
      </w:r>
      <w:r>
        <w:t>3.3.1. ASER Grades 1 - 3</w:t>
      </w:r>
      <w:r>
        <w:br/>
      </w:r>
      <w:r>
        <w:t>3.3.2. ASER Grades 4 - 5</w:t>
      </w:r>
      <w:r>
        <w:br/>
      </w:r>
      <w:r>
        <w:t>3.3.3. MELQO</w:t>
      </w:r>
    </w:p>
    <w:p>
      <w:pPr>
        <w:numPr>
          <w:ilvl w:val="0"/>
          <w:numId w:val="1"/>
        </w:numPr>
        <w:spacing w:after="240"/>
        <w:ind w:left="720" w:hanging="388"/>
        <w:jc w:val="left"/>
      </w:pPr>
      <w:r>
        <w:t>Conclusion</w:t>
      </w:r>
    </w:p>
    <w:p>
      <w:pPr>
        <w:spacing w:before="240" w:after="240"/>
      </w:pPr>
      <w:r>
        <w:rPr>
          <w:b/>
          <w:bCs/>
        </w:rPr>
        <w:t>1. Introduction</w:t>
      </w:r>
    </w:p>
    <w:p>
      <w:pPr>
        <w:spacing w:before="240" w:after="240"/>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pPr>
      <w:r>
        <w:rPr>
          <w:b/>
          <w:bCs/>
        </w:rPr>
        <w:t>2. Taleemabad’s Evaluation</w:t>
      </w:r>
    </w:p>
    <w:p>
      <w:pPr>
        <w:spacing w:before="240" w:after="240"/>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pPr>
      <w:r>
        <w:rPr>
          <w:b/>
          <w:bCs/>
        </w:rPr>
        <w:t>2.1. Instrument and Data Collection</w:t>
      </w:r>
    </w:p>
    <w:p>
      <w:pPr>
        <w:spacing w:before="240" w:after="240"/>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pPr>
      <w:r>
        <w:rPr>
          <w:b/>
          <w:bCs/>
        </w:rPr>
        <w:t>2.2. Sampling and Measurement</w:t>
      </w:r>
    </w:p>
    <w:p>
      <w:pPr>
        <w:spacing w:before="240" w:after="240"/>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r>
        <w:br/>
      </w: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39513"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240" w:after="240"/>
      </w:pPr>
      <w:r>
        <w:rPr>
          <w:b/>
          <w:bCs/>
        </w:rPr>
        <w:t>2.3. Summary of Results</w:t>
      </w:r>
    </w:p>
    <w:p>
      <w:pPr>
        <w:spacing w:before="240" w:after="240"/>
      </w:pPr>
      <w:r>
        <w:rPr>
          <w:b/>
          <w:bCs/>
        </w:rPr>
        <w:t>2.3.1. ASER Grades 1-3:</w:t>
      </w:r>
    </w:p>
    <w:p>
      <w:pPr>
        <w:spacing w:before="240" w:after="240"/>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pPr>
      <w:r>
        <w:rPr>
          <w:b/>
          <w:bCs/>
        </w:rPr>
        <w:t>2.3.2. ASER Grades 4-5:</w:t>
      </w:r>
    </w:p>
    <w:p>
      <w:pPr>
        <w:spacing w:before="240" w:after="240"/>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pPr>
      <w:r>
        <w:rPr>
          <w:b/>
          <w:bCs/>
        </w:rPr>
        <w:t>2.3.3. MELQO:</w:t>
      </w:r>
    </w:p>
    <w:p>
      <w:pPr>
        <w:spacing w:before="240" w:after="240"/>
      </w:pPr>
      <w:r>
        <w:t>For MELQO, the difference between average scores obtained by treatment and control schools for pre-numeracy, pre-literacy and motor skills is calculated. A threshold such as one for ASER is not imposed due to a lack of available guidelines regarding thresholds.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pPr>
      <w:r>
        <w:rPr>
          <w:b/>
          <w:bCs/>
        </w:rPr>
        <w:t>3. Analytics by CERP:</w:t>
      </w:r>
    </w:p>
    <w:p>
      <w:pPr>
        <w:spacing w:before="240" w:after="240"/>
      </w:pPr>
      <w:r>
        <w:rPr>
          <w:b/>
          <w:bCs/>
        </w:rPr>
        <w:t>3.1. School level Master Dataset and Variables</w:t>
      </w:r>
    </w:p>
    <w:p>
      <w:pPr>
        <w:spacing w:before="240" w:after="240"/>
      </w:pPr>
      <w:r>
        <w:t>The cleaning process for the six child-level raw datasets provided by Taleemabad involved a series of systematic steps to enhance data quality and analytical reliability. The first crucial step involved a thorough revision of variable names to ensure clarity and maintain consistency across all six datasets, including baseline and endline datasets for ASER grades 1 - 3, ASER grades 4 - 5, and MELQO. This meticulous effort aimed to make the data more understandable and user-friendly for subsequent analysis.</w:t>
      </w:r>
    </w:p>
    <w:p>
      <w:pPr>
        <w:spacing w:before="240" w:after="240"/>
      </w:pPr>
      <w:r>
        <w:t>Additionally, the school name variable in the raw datasets underwent a comprehensive cleaning process, utilizing the school name correction files provided by Taleemabad. This step was pivotal, as it aimed to standardize and match school names consistently across all six datasets. The correction files, instrumental in this process, contained columns outlining various spellings or discrepancies in school names across the datasets and identifying the correct names. The overarching goal was to create a master school-level dataset that incorporated information from all baseline and endline datasets for ASER grades 1 - 3, ASER grades 4 - 5, and MELQO.</w:t>
      </w:r>
    </w:p>
    <w:p>
      <w:pPr>
        <w:spacing w:before="240" w:after="240"/>
      </w:pPr>
      <w:r>
        <w:t>Furthermore, the raw child-level datasets included student marks for each question in the ASER instrument. To facilitate analysis, categorical variables were generated using the ASER ranking methodology. These variables categorized test scores into predefined groups, representing various levels of proficiency in English, Urdu, and Maths. Subsequently, dummy variables were created for each proficiency category, indicating whether a student belonged to a specific proficiency level.</w:t>
      </w:r>
    </w:p>
    <w:p>
      <w:pPr>
        <w:spacing w:before="240" w:after="240"/>
      </w:pPr>
      <w:r>
        <w:t>[add about melqo]</w:t>
      </w:r>
    </w:p>
    <w:p>
      <w:pPr>
        <w:spacing w:before="240" w:after="240"/>
      </w:pPr>
      <w:r>
        <w:t>Following the cleaning of endline and baseline school level datasets for ASER grades 1 - 3, ASER grades 4 - 5 and MELQO, the individual datasets were collapsed on school names to create school level datasets. Consequently, dummy variables that were previously created for each proficiency category now indicated the proportion of students in each school belonging to specific proficiency levels. The baseline and endline datasets for ASER grades 1 - 3, ASER grades 4 - 5 and MELQO were merged on school names, and then a school level master dataset was created merging the three on school names.</w:t>
      </w:r>
    </w:p>
    <w:p>
      <w:pPr>
        <w:spacing w:before="240" w:after="240"/>
      </w:pPr>
      <w:r>
        <w:t>As mentioned earlier, not all schools present during the baseline assessment were retained in the endline, and new schools were introduced as replacements. To categorize this dynamic, a matching variable was created which identified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w:t>
      </w:r>
    </w:p>
    <w:p>
      <w:pPr>
        <w:jc w:val="center"/>
      </w:pPr>
      <w:r>
        <w:rPr>
          <w:strike w:val="0"/>
          <w:u w:val="none"/>
        </w:rPr>
        <w:drawing>
          <wp:inline>
            <wp:extent cx="3048000" cy="2410453"/>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10062" name=""/>
                    <pic:cNvPicPr>
                      <a:picLocks noChangeAspect="1"/>
                    </pic:cNvPicPr>
                  </pic:nvPicPr>
                  <pic:blipFill>
                    <a:blip xmlns:r="http://schemas.openxmlformats.org/officeDocument/2006/relationships" r:embed="rId5"/>
                    <a:stretch>
                      <a:fillRect/>
                    </a:stretch>
                  </pic:blipFill>
                  <pic:spPr>
                    <a:xfrm>
                      <a:off x="0" y="0"/>
                      <a:ext cx="3048000" cy="2410453"/>
                    </a:xfrm>
                    <a:prstGeom prst="rect">
                      <a:avLst/>
                    </a:prstGeom>
                  </pic:spPr>
                </pic:pic>
              </a:graphicData>
            </a:graphic>
          </wp:inline>
        </w:drawing>
      </w:r>
    </w:p>
    <w:p>
      <w:pPr>
        <w:spacing w:before="240" w:after="240"/>
      </w:pPr>
      <w:r>
        <w:t>The table provided above demonstrates the distribution of schools categorized as Consistent, Attrition, and Replacement within both the treatment and control groups. The first row has frequencies; second row has row percentages and third row has column percentages. There are 97 unique schools in the master dataset, out of which 11 schools dropped after baseline and 44 schools were added as replacements. Six treatment schools were added in the endline assessment to replace an equivalent number that were dropped. However, the number of replacement control schools is much higher due to two reasons. Firstly, when a treatment school dropped after baseline then nearby control school(s) were also introduced as replacements in addition to a treatment school. Secondly, certain school names in the endline datasets were ambiguous and could not be corrected. These schools were consequently renamed as unknown and added to the control group. Both of these decisions were taken by Taleemabad.</w:t>
      </w:r>
    </w:p>
    <w:p>
      <w:pPr>
        <w:spacing w:before="240" w:after="240"/>
      </w:pPr>
      <w:r>
        <w:t>Furthermore, three schools were initially enrolled in the Taleemabad program at baseline but withdrew from the program but agreed to undergo the endline assessment. Hence, their treatment status changed from treatment in baseline to control in endline. Specifically, these schools have been regarded as control schools in both baseline and endline.</w:t>
      </w:r>
    </w:p>
    <w:p>
      <w:pPr>
        <w:spacing w:before="240" w:after="240"/>
      </w:pPr>
      <w:r>
        <w:t>In the full sample, there are 97 unique school out of which 33 are treatment schools and 64 are control schools. The truncated sample, which consists of Consistent schools only, contains 21 treatment schools and 21 control schools.</w:t>
      </w:r>
    </w:p>
    <w:p>
      <w:pPr>
        <w:spacing w:before="240" w:after="240"/>
      </w:pPr>
      <w:r>
        <w:rPr>
          <w:b/>
          <w:bCs/>
        </w:rPr>
        <w:t>3.2. Balance Test (Orth_out at baseline and Control) - Results and Graphs</w:t>
      </w:r>
      <w:r>
        <w:rPr>
          <w:b/>
          <w:bCs/>
        </w:rPr>
        <w:br/>
      </w:r>
      <w:r>
        <w:t>[explain: whether treatment and control group are balanced in baseline and endline in terms of outcome variables]</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aser_b_english_Sentence:mean  20.628  48.278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aser_e_english_Sentence:mean  11.909  29.159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aser_b_math_Subtract:mean  29.217  28.237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aser_e_math_Subtract:mean  27.759  24.584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aser_b_urdu_Story:mean   6.610  23.937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aser_e_urdu_Story:mean  14.226  22.512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aser_b_eng_4_5_G5Sentence:mean   8.184   4.623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aser_e_eng_4_5_G5Sentence:mean  10.204  12.758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aser_b_maths_4_5_Division:mean  28.821  55.910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aser_e_maths_4_5_Division:mean  58.900  63.665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aser_b_urdu_4_5_G5Story:mean  60.370  71.126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aser_e_urdu_4_5_G5Story:mean  56.581  70.064</w:t>
      </w:r>
    </w:p>
    <w:p>
      <w:pPr>
        <w:spacing w:before="0" w:after="0"/>
        <w:rPr>
          <w:rFonts w:ascii="Courier New" w:eastAsia="Courier New" w:hAnsi="Courier New" w:cs="Courier New"/>
          <w:sz w:val="20"/>
          <w:szCs w:val="20"/>
        </w:rPr>
      </w:pPr>
    </w:p>
    <w:p>
      <w:pPr>
        <w:spacing w:before="240" w:after="240"/>
      </w:pPr>
      <w:r>
        <w:rPr>
          <w:b/>
          <w:bCs/>
        </w:rPr>
        <w:t>3.3. Results</w:t>
      </w:r>
    </w:p>
    <w:p>
      <w:pPr>
        <w:spacing w:before="240" w:after="240"/>
      </w:pPr>
      <w:r>
        <w:t>This study evaluates the impact of the Taleemabad program on the student learning outcomes by comparing the mean differences, in percentages, between the treatment and control groups at baseline and endline, and testing whether these differences are statistically significant. The following results pertain to the full sample of 97 schools.</w:t>
      </w:r>
    </w:p>
    <w:p>
      <w:pPr>
        <w:spacing w:before="240" w:after="240"/>
      </w:pPr>
      <w:r>
        <w:rPr>
          <w:b/>
          <w:bCs/>
        </w:rPr>
        <w:t>3.3.1. ASER Grades 1 - 3</w:t>
      </w:r>
    </w:p>
    <w:p>
      <w:pPr>
        <w:spacing w:before="240" w:after="240"/>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pPr>
      <w:r>
        <w:rPr>
          <w:b/>
          <w:bCs/>
        </w:rPr>
        <w:t>3.3.2. ASER Grades 4 - 5</w:t>
      </w:r>
    </w:p>
    <w:p>
      <w:pPr>
        <w:spacing w:before="240" w:after="240"/>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pPr>
      <w:r>
        <w:rPr>
          <w:b/>
          <w:bCs/>
        </w:rPr>
        <w:t>3.3.3. MELQO</w:t>
      </w:r>
    </w:p>
    <w:p>
      <w:pPr>
        <w:spacing w:before="240" w:after="240"/>
      </w:pPr>
      <w:r>
        <w:rPr>
          <w:b/>
          <w:bCs/>
        </w:rPr>
        <w:t>4. Conclusion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