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discerning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 [add png here]</w:t>
      </w:r>
    </w:p>
    <w:p>
      <w:pPr>
        <w:spacing w:before="240" w:after="240"/>
      </w:pPr>
      <w:r>
        <w:rPr>
          <w:b/>
          <w:bCs/>
        </w:rPr>
        <w:t>2.3. Summary of Results</w:t>
      </w:r>
    </w:p>
    <w:p>
      <w:pPr>
        <w:spacing w:before="240" w:after="240"/>
      </w:pPr>
      <w:r>
        <w:rPr>
          <w:b/>
          <w:bCs/>
        </w:rPr>
        <w:t>2.3.1. Grades 1-3:</w:t>
      </w:r>
    </w:p>
    <w:p>
      <w:pPr>
        <w:spacing w:before="240" w:after="240"/>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pPr>
      <w:r>
        <w:rPr>
          <w:b/>
          <w:bCs/>
        </w:rPr>
        <w:t>2.3.2. Grades 4-5:</w:t>
      </w:r>
    </w:p>
    <w:p>
      <w:pPr>
        <w:spacing w:before="240" w:after="240"/>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pPr>
      <w:r>
        <w:rPr>
          <w:b/>
          <w:bCs/>
        </w:rPr>
        <w:t>2.3.3. MELQO:</w:t>
      </w:r>
    </w:p>
    <w:p>
      <w:pPr>
        <w:spacing w:before="240" w:after="240"/>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tbl>
      <w:tblPr>
        <w:tblCellSpacing w:w="15" w:type="dxa"/>
        <w:tblInd w:w="15" w:type="dxa"/>
        <w:tblCellMar>
          <w:top w:w="15" w:type="dxa"/>
          <w:left w:w="15" w:type="dxa"/>
          <w:bottom w:w="15" w:type="dxa"/>
          <w:right w:w="15" w:type="dxa"/>
        </w:tblCellMar>
      </w:tblPr>
      <w:tblGrid>
        <w:gridCol w:w="7255"/>
        <w:gridCol w:w="656"/>
        <w:gridCol w:w="656"/>
        <w:gridCol w:w="750"/>
      </w:tblGrid>
      <w:tr>
        <w:tblPrEx>
          <w:tblCellSpacing w:w="15" w:type="dxa"/>
          <w:tblInd w:w="15" w:type="dxa"/>
          <w:tblCellMar>
            <w:top w:w="15" w:type="dxa"/>
            <w:left w:w="15" w:type="dxa"/>
            <w:bottom w:w="15" w:type="dxa"/>
            <w:right w:w="15" w:type="dxa"/>
          </w:tblCellMar>
        </w:tblPrEx>
        <w:trPr>
          <w:tblHeader/>
          <w:tblCellSpacing w:w="15" w:type="dxa"/>
        </w:trPr>
        <w:tc>
          <w:tcPr>
            <w:noWrap w:val="0"/>
            <w:tcMar>
              <w:top w:w="15" w:type="dxa"/>
              <w:left w:w="15" w:type="dxa"/>
              <w:bottom w:w="15" w:type="dxa"/>
              <w:right w:w="15" w:type="dxa"/>
            </w:tcMar>
            <w:vAlign w:val="center"/>
            <w:hideMark/>
          </w:tcPr>
          <w:p>
            <w:pPr>
              <w:jc w:val="center"/>
              <w:rPr>
                <w:b/>
                <w:bCs/>
                <w:i w:val="0"/>
                <w:iCs w:val="0"/>
                <w:smallCaps w:val="0"/>
                <w:color w:val="000000"/>
              </w:rPr>
            </w:pPr>
          </w:p>
        </w:tc>
        <w:tc>
          <w:tcPr>
            <w:gridSpan w:val="2"/>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treatment </w:t>
            </w:r>
          </w:p>
        </w:tc>
        <w:tc>
          <w:tcPr>
            <w:noWrap w:val="0"/>
            <w:tcMar>
              <w:top w:w="15" w:type="dxa"/>
              <w:left w:w="15" w:type="dxa"/>
              <w:bottom w:w="15" w:type="dxa"/>
              <w:right w:w="15" w:type="dxa"/>
            </w:tcMar>
            <w:vAlign w:val="center"/>
            <w:hideMark/>
          </w:tcPr>
          <w:p>
            <w:pPr>
              <w:jc w:val="center"/>
              <w:rPr>
                <w:b/>
                <w:bCs/>
                <w:i w:val="0"/>
                <w:iCs w:val="0"/>
                <w:smallCaps w:val="0"/>
                <w:color w:val="000000"/>
              </w:rPr>
            </w:pPr>
          </w:p>
        </w:tc>
      </w:tr>
      <w:tr>
        <w:tblPrEx>
          <w:tblCellSpacing w:w="15" w:type="dxa"/>
          <w:tblInd w:w="15" w:type="dxa"/>
          <w:tblCellMar>
            <w:top w:w="15" w:type="dxa"/>
            <w:left w:w="15" w:type="dxa"/>
            <w:bottom w:w="15" w:type="dxa"/>
            <w:right w:w="15" w:type="dxa"/>
          </w:tblCellMar>
        </w:tblPrEx>
        <w:trPr>
          <w:tblHeader/>
          <w:tblCellSpacing w:w="15" w:type="dxa"/>
        </w:trPr>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indicates whether the school existed in endline and/or baseline. Not whether tre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0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1 </w:t>
            </w:r>
          </w:p>
        </w:tc>
        <w:tc>
          <w:tcPr>
            <w:noWrap w:val="0"/>
            <w:tcMar>
              <w:top w:w="15" w:type="dxa"/>
              <w:left w:w="15" w:type="dxa"/>
              <w:bottom w:w="15" w:type="dxa"/>
              <w:right w:w="15" w:type="dxa"/>
            </w:tcMar>
            <w:vAlign w:val="center"/>
            <w:hideMark/>
          </w:tcPr>
          <w:p>
            <w:pPr>
              <w:jc w:val="center"/>
              <w:rPr>
                <w:b/>
                <w:bCs/>
                <w:i w:val="0"/>
                <w:iCs w:val="0"/>
                <w:smallCaps w:val="0"/>
                <w:color w:val="000000"/>
              </w:rPr>
            </w:pPr>
            <w:r>
              <w:rPr>
                <w:b/>
                <w:bCs/>
                <w:i w:val="0"/>
                <w:iCs w:val="0"/>
                <w:smallCaps w:val="0"/>
                <w:color w:val="000000"/>
              </w:rPr>
              <w:t xml:space="preserve">Total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Attrition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5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11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Replacement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38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44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Consistent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21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21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42 </w:t>
            </w:r>
          </w:p>
        </w:tc>
      </w:tr>
      <w:tr>
        <w:tblPrEx>
          <w:tblCellSpacing w:w="15" w:type="dxa"/>
          <w:tblInd w:w="15" w:type="dxa"/>
          <w:tblCellMar>
            <w:top w:w="15" w:type="dxa"/>
            <w:left w:w="15" w:type="dxa"/>
            <w:bottom w:w="15" w:type="dxa"/>
            <w:right w:w="15" w:type="dxa"/>
          </w:tblCellMar>
        </w:tblPrEx>
        <w:trPr>
          <w:tblCellSpacing w:w="15" w:type="dxa"/>
        </w:trPr>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Total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64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33 </w:t>
            </w:r>
          </w:p>
        </w:tc>
        <w:tc>
          <w:tcPr>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97 </w:t>
            </w:r>
          </w:p>
        </w:tc>
      </w:tr>
    </w:tbl>
    <w:p>
      <w:pPr>
        <w:spacing w:before="240" w:after="240"/>
      </w:pPr>
      <w:r>
        <w:t>[mention reason why the number of control schools in endline is high: 1) when replacing control schools for endline, nearby schools were also added. 2) Unknown schools considered as control 3) schools which changed from treatment to control considered as control in both (3 schools). 1 and 2 by taleemabad, 3 by cerp]</w:t>
      </w:r>
    </w:p>
    <w:p>
      <w:pPr>
        <w:spacing w:before="240" w:after="240"/>
      </w:pPr>
      <w:r>
        <w:rPr>
          <w:b/>
          <w:bCs/>
        </w:rPr>
        <w:t>3.2. Balance Test (Orth_out at baseline and Control) - Results and Graphs</w:t>
      </w:r>
      <w:r>
        <w:rPr>
          <w:b/>
          <w:bCs/>
        </w:rPr>
        <w:br/>
      </w:r>
      <w:r>
        <w:t>Treatment and Control Mean at baseline and endline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11.909  29.159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27.759  24.584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10.204  12.758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58.900  63.665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56.581  70.064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8.300000000000001%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pPr>
      <w:r>
        <w:t>At baseline, the percentage difference between treatment and control schools for Urdu is 10.76% which is statistically significant at the 5% level.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