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3"/>
        <w:keepNext w:val="0"/>
        <w:spacing w:before="281" w:after="281"/>
        <w:rPr>
          <w:b/>
          <w:bCs/>
          <w:sz w:val="28"/>
          <w:szCs w:val="28"/>
        </w:rPr>
      </w:pPr>
      <w:hyperlink w:anchor="table-of-contents" w:history="1">
        <w:bookmarkStart w:id="1" w:name="table-of-contents"/>
        <w:r>
          <w:rPr>
            <w:rFonts w:ascii="Times New Roman" w:eastAsia="Times New Roman" w:hAnsi="Times New Roman" w:cs="Times New Roman"/>
            <w:i w:val="0"/>
            <w:color w:val="0000EE"/>
            <w:u w:val="single" w:color="0000EE"/>
          </w:rPr>
          <w:t>Table of contents</w:t>
        </w:r>
      </w:hyperlink>
      <w:bookmarkEnd w:id="1"/>
    </w:p>
    <w:p>
      <w:pPr>
        <w:numPr>
          <w:ilvl w:val="0"/>
          <w:numId w:val="1"/>
        </w:numPr>
        <w:spacing w:before="240"/>
        <w:ind w:left="720" w:hanging="388"/>
        <w:jc w:val="left"/>
      </w:pPr>
      <w:r>
        <w:t>Introduction</w:t>
      </w:r>
    </w:p>
    <w:p>
      <w:pPr>
        <w:numPr>
          <w:ilvl w:val="0"/>
          <w:numId w:val="1"/>
        </w:numPr>
        <w:ind w:left="720" w:hanging="388"/>
        <w:jc w:val="left"/>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left"/>
      </w:pPr>
      <w:r>
        <w:t>Analytics by CERP</w:t>
      </w:r>
      <w:r>
        <w:br/>
      </w:r>
      <w:r>
        <w:t>3.1. School level Master Dataset and Variables (Cleaning raw datasets, Raw datasets to one master dataset at School level, Treatment Variable, Matching variable)</w:t>
      </w:r>
      <w:r>
        <w:br/>
      </w:r>
      <w:r>
        <w:t>3.2. Balance Test</w:t>
      </w:r>
      <w:r>
        <w:br/>
      </w:r>
      <w:r>
        <w:t>3.3. Results (with graphs)</w:t>
      </w:r>
      <w:r>
        <w:br/>
      </w:r>
      <w:r>
        <w:t>3.3.1. ASER Grades 1 - 3</w:t>
      </w:r>
      <w:r>
        <w:br/>
      </w:r>
      <w:r>
        <w:t>3.3.2. ASER Grades 4 - 5</w:t>
      </w:r>
      <w:r>
        <w:br/>
      </w:r>
      <w:r>
        <w:t>3.3.3. MELQO</w:t>
      </w:r>
    </w:p>
    <w:p>
      <w:pPr>
        <w:numPr>
          <w:ilvl w:val="0"/>
          <w:numId w:val="1"/>
        </w:numPr>
        <w:spacing w:after="240"/>
        <w:ind w:left="720" w:hanging="388"/>
        <w:jc w:val="left"/>
      </w:pPr>
      <w:r>
        <w:t>Conclusion</w:t>
      </w:r>
    </w:p>
    <w:p>
      <w:pPr>
        <w:spacing w:before="240" w:after="240"/>
      </w:pPr>
      <w:r>
        <w:rPr>
          <w:b/>
          <w:bCs/>
        </w:rPr>
        <w:t>1. Introduction</w:t>
      </w:r>
    </w:p>
    <w:p>
      <w:pPr>
        <w:spacing w:before="240" w:after="240"/>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pPr>
      <w:r>
        <w:rPr>
          <w:b/>
          <w:bCs/>
        </w:rPr>
        <w:t>2. Taleemabad’s Evaluation</w:t>
      </w:r>
    </w:p>
    <w:p>
      <w:pPr>
        <w:spacing w:before="240" w:after="240"/>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pPr>
      <w:r>
        <w:rPr>
          <w:b/>
          <w:bCs/>
        </w:rPr>
        <w:t>2.1. Instrument and Data Collection</w:t>
      </w:r>
    </w:p>
    <w:p>
      <w:pPr>
        <w:spacing w:before="240" w:after="240"/>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pPr>
      <w:r>
        <w:rPr>
          <w:b/>
          <w:bCs/>
        </w:rPr>
        <w:t>2.2. Sampling and Measurement</w:t>
      </w:r>
    </w:p>
    <w:p>
      <w:pPr>
        <w:spacing w:before="240" w:after="240"/>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focussed on discerning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 [add png here]</w:t>
      </w:r>
    </w:p>
    <w:p>
      <w:pPr>
        <w:spacing w:before="240" w:after="240"/>
      </w:pPr>
      <w:r>
        <w:rPr>
          <w:b/>
          <w:bCs/>
        </w:rPr>
        <w:t>2.3. Summary of Results</w:t>
      </w:r>
    </w:p>
    <w:p>
      <w:pPr>
        <w:spacing w:before="240" w:after="240"/>
      </w:pPr>
      <w:r>
        <w:rPr>
          <w:b/>
          <w:bCs/>
        </w:rPr>
        <w:t>2.3.1. Grades 1-3:</w:t>
      </w:r>
    </w:p>
    <w:p>
      <w:pPr>
        <w:spacing w:before="240" w:after="240"/>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pPr>
      <w:r>
        <w:rPr>
          <w:b/>
          <w:bCs/>
        </w:rPr>
        <w:t>2.3.2. Grades 4-5:</w:t>
      </w:r>
    </w:p>
    <w:p>
      <w:pPr>
        <w:spacing w:before="240" w:after="240"/>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pPr>
      <w:r>
        <w:rPr>
          <w:b/>
          <w:bCs/>
        </w:rPr>
        <w:t>2.3.3. MELQO:</w:t>
      </w:r>
    </w:p>
    <w:p>
      <w:pPr>
        <w:spacing w:before="240" w:after="240"/>
      </w:pPr>
      <w:r>
        <w:t>For MELQO, the difference between average scores obtained by treatment and control schools for pre-numeracy, pre-literacy and motor skills is calculated. A threshold such as one for ASER is not imposed due to a lack of available guidelines regarding thresholds.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pPr>
      <w:r>
        <w:rPr>
          <w:b/>
          <w:bCs/>
        </w:rPr>
        <w:t>3. Analytics by CERP:</w:t>
      </w:r>
    </w:p>
    <w:p>
      <w:pPr>
        <w:spacing w:before="240" w:after="240"/>
      </w:pPr>
      <w:r>
        <w:rPr>
          <w:b/>
          <w:bCs/>
        </w:rPr>
        <w:t>3.1. School level Master Dataset and Variables (Cleaning raw datasets, Raw datasets to one master dataset at School level, Treatment Variable, Matching variable)</w:t>
      </w:r>
    </w:p>
    <w:tbl>
      <w:tblPr>
        <w:tblCellSpacing w:w="15" w:type="dxa"/>
        <w:tblInd w:w="15" w:type="dxa"/>
        <w:tblCellMar>
          <w:top w:w="15" w:type="dxa"/>
          <w:left w:w="15" w:type="dxa"/>
          <w:bottom w:w="15" w:type="dxa"/>
          <w:right w:w="15" w:type="dxa"/>
        </w:tblCellMar>
      </w:tblPr>
      <w:tblGrid>
        <w:gridCol w:w="1761"/>
        <w:gridCol w:w="1184"/>
        <w:gridCol w:w="1473"/>
        <w:gridCol w:w="896"/>
      </w:tblGrid>
      <w:tr>
        <w:tblPrEx>
          <w:tblCellSpacing w:w="15" w:type="dxa"/>
          <w:tblInd w:w="15" w:type="dxa"/>
          <w:tblCellMar>
            <w:top w:w="15" w:type="dxa"/>
            <w:left w:w="15" w:type="dxa"/>
            <w:bottom w:w="15" w:type="dxa"/>
            <w:right w:w="15" w:type="dxa"/>
          </w:tblCellMar>
        </w:tblPrEx>
        <w:trPr>
          <w:tblHeader/>
          <w:tblCellSpacing w:w="15" w:type="dxa"/>
        </w:trPr>
        <w:tc>
          <w:tcPr>
            <w:noWrap w:val="0"/>
            <w:tcMar>
              <w:top w:w="15" w:type="dxa"/>
              <w:left w:w="15" w:type="dxa"/>
              <w:bottom w:w="15" w:type="dxa"/>
              <w:right w:w="15" w:type="dxa"/>
            </w:tcMar>
            <w:vAlign w:val="center"/>
            <w:hideMark/>
          </w:tcPr>
          <w:p>
            <w:pPr>
              <w:jc w:val="center"/>
              <w:rPr>
                <w:b/>
                <w:bCs/>
                <w:i w:val="0"/>
                <w:iCs w:val="0"/>
                <w:smallCaps w:val="0"/>
                <w:color w:val="000000"/>
              </w:rPr>
            </w:pPr>
          </w:p>
        </w:tc>
        <w:tc>
          <w:tcPr>
            <w:gridSpan w:val="2"/>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Treatment </w:t>
            </w:r>
          </w:p>
        </w:tc>
        <w:tc>
          <w:tcPr>
            <w:noWrap w:val="0"/>
            <w:tcMar>
              <w:top w:w="15" w:type="dxa"/>
              <w:left w:w="15" w:type="dxa"/>
              <w:bottom w:w="15" w:type="dxa"/>
              <w:right w:w="15" w:type="dxa"/>
            </w:tcMar>
            <w:vAlign w:val="center"/>
            <w:hideMark/>
          </w:tcPr>
          <w:p>
            <w:pPr>
              <w:jc w:val="center"/>
              <w:rPr>
                <w:b/>
                <w:bCs/>
                <w:i w:val="0"/>
                <w:iCs w:val="0"/>
                <w:smallCaps w:val="0"/>
                <w:color w:val="000000"/>
              </w:rPr>
            </w:pPr>
          </w:p>
        </w:tc>
      </w:tr>
      <w:tr>
        <w:tblPrEx>
          <w:tblCellSpacing w:w="15" w:type="dxa"/>
          <w:tblInd w:w="15" w:type="dxa"/>
          <w:tblCellMar>
            <w:top w:w="15" w:type="dxa"/>
            <w:left w:w="15" w:type="dxa"/>
            <w:bottom w:w="15" w:type="dxa"/>
            <w:right w:w="15" w:type="dxa"/>
          </w:tblCellMar>
        </w:tblPrEx>
        <w:trPr>
          <w:tblHeader/>
          <w:tblCellSpacing w:w="15" w:type="dxa"/>
        </w:trPr>
        <w:tc>
          <w:tcPr>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Matching </w:t>
            </w:r>
          </w:p>
        </w:tc>
        <w:tc>
          <w:tcPr>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Control </w:t>
            </w:r>
          </w:p>
        </w:tc>
        <w:tc>
          <w:tcPr>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Taleemaba </w:t>
            </w:r>
          </w:p>
        </w:tc>
        <w:tc>
          <w:tcPr>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Total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Attrition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5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6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11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Replacement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38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6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44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Consistent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21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21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42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Total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64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33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97 </w:t>
            </w:r>
          </w:p>
        </w:tc>
      </w:tr>
    </w:tbl>
    <w:p>
      <w:pPr>
        <w:spacing w:before="240" w:after="240"/>
      </w:pPr>
      <w:r>
        <w:t>[mention reason why the number of control schools in endline is high: 1) when replacing control schools for endline, nearby schools were also added. 2) Unknown schools considered as control 3) schools which changed from treatment to control considered as control in both (3 schools). 1 and 2 by taleemabad, 3 by cerp]</w:t>
      </w:r>
    </w:p>
    <w:p>
      <w:pPr>
        <w:spacing w:before="240" w:after="240"/>
      </w:pPr>
      <w:r>
        <w:rPr>
          <w:b/>
          <w:bCs/>
        </w:rPr>
        <w:t>3.2. Balance Test (Orth_out at baseline and Control) - Results and Graphs</w:t>
      </w:r>
      <w:r>
        <w:rPr>
          <w:b/>
          <w:bCs/>
        </w:rPr>
        <w:br/>
      </w:r>
      <w:r>
        <w:t>Treatment and Control Mean at baseline and endline</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aser_b_english_Sentence:mean  20.628  48.278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aser_e_english_Sentence:mean  11.909  29.159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29.217  28.237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27.759  24.584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6.610  23.937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aser_b_eng_4_5_G5Sentence:mean   8.184   4.623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aser_e_eng_4_5_G5Sentence:mean  10.204  12.758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aser_b_maths_4_5_Division:mean  28.821  55.910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aser_e_maths_4_5_Division:mean  58.900  63.665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60.370  71.126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56.581  70.064</w:t>
      </w:r>
    </w:p>
    <w:p>
      <w:pPr>
        <w:spacing w:before="0" w:after="0"/>
        <w:rPr>
          <w:rFonts w:ascii="Courier New" w:eastAsia="Courier New" w:hAnsi="Courier New" w:cs="Courier New"/>
          <w:sz w:val="20"/>
          <w:szCs w:val="20"/>
        </w:rPr>
      </w:pPr>
    </w:p>
    <w:p>
      <w:pPr>
        <w:spacing w:before="240" w:after="240"/>
      </w:pPr>
      <w:r>
        <w:rPr>
          <w:b/>
          <w:bCs/>
        </w:rPr>
        <w:t>3.3. Results (with graphs)</w:t>
      </w:r>
      <w:r>
        <w:rPr>
          <w:b/>
          <w:bCs/>
        </w:rPr>
        <w:br/>
      </w:r>
      <w:r>
        <w:t>difference in treatment and control at baseline and endline, and testing whether diff is statistically significant</w:t>
      </w:r>
    </w:p>
    <w:p>
      <w:pPr>
        <w:spacing w:before="240" w:after="240"/>
      </w:pPr>
      <w:r>
        <w:rPr>
          <w:b/>
          <w:bCs/>
        </w:rPr>
        <w:t>3.3.1. ASER Grades 1 - 3</w:t>
      </w:r>
    </w:p>
    <w:p>
      <w:pPr>
        <w:spacing w:before="240" w:after="240"/>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pPr>
      <w:r>
        <w:rPr>
          <w:b/>
          <w:bCs/>
        </w:rPr>
        <w:t>3.3.2. ASER Grades 4 - 5</w:t>
      </w:r>
    </w:p>
    <w:p>
      <w:pPr>
        <w:spacing w:before="240" w:after="240"/>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pPr>
      <w:r>
        <w:rPr>
          <w:b/>
          <w:bCs/>
        </w:rPr>
        <w:t>3.3.3. MELQO</w:t>
      </w:r>
    </w:p>
    <w:p>
      <w:pPr>
        <w:spacing w:before="240" w:after="240"/>
      </w:pPr>
      <w:r>
        <w:rPr>
          <w:b/>
          <w:bCs/>
        </w:rPr>
        <w:t>4. Conclusion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