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Azure
   (Databricks, Data Factory, Synapse, DevOps, Key Vault),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 Core/Cloud, PySpark, Kafka, Data Vault   
  2.0, CDC, ELT, Looker, Looker API, Apache Airflow (Astronomer/DAGs)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GitHub Actions, CI/CD pipelines, Azure DevOps,
  Agile/Scrum, Automated Testing, L3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Data Modelling, Physical Modelling, Query 
  Optimisation, Clustering, Caching, Data Ingestion, Data Migration,
  Streaming, Data Warehousing, Data Analysis, CDC, Reconciliation, Semantic   
  Layers, Rules Engines, Data Lineage, Observability, Data Mesh, GDPR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and optimised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platform with **dbt     
  Core** semantic layer models, applying query tuning, clustering, and caching
   strategies across 120+ TB and 100+ source systems for sub-second BI        
  response.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 Core</w:t>
      </w:r>
      <w:r>
        <w:rPr>
          <w:rFonts w:ascii="Calibri" w:hAnsi="Calibri" w:cs="Calibri"/>
          <w:sz w:val="18"/>
          <w:szCs w:val="18"/>
          <w:color w:val="auto"/>
        </w:rPr>
        <w:t xml:space="preserve"> to dbt Fusion migration, establishing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
  target schemas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DevOps</w:t>
      </w:r>
      <w:r>
        <w:rPr>
          <w:rFonts w:ascii="Calibri" w:hAnsi="Calibri" w:cs="Calibri"/>
          <w:sz w:val="18"/>
          <w:szCs w:val="18"/>
          <w:color w:val="auto"/>
        </w:rPr>
        <w:t xml:space="preserve"> and
 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suites, cutting deployment errors by 40%.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Automated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workflows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DAG
  orchestration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, processing 5-8 TB daily from telemetry systems
  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with observability monitoring and data reliability engineering  
  checks.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data governance and lineage frameworks for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   
  data marts underpinning Gen AI-powered analytics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
  self-service BI, delivering full data traceability for 150+ business users.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and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ingestion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DAG      
  orchestration, supporting trading desks and risk functions processing 250+  
  TB.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advanced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reconciliation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
  pipelines with query optimisation and caching strategies for pre-trade      
  market data, supporting P&amp;L reporting and VaR analysis.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rules-engine-driven data quality frameworks with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-integrated observability practices and full data lineage tracking,
   ensuring governance and compliance for 30+ front-office and risk
 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Provided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L3</w:t>
      </w:r>
      <w:r>
        <w:rPr>
          <w:rFonts w:ascii="Calibri" w:hAnsi="Calibri" w:cs="Calibri"/>
          <w:sz w:val="18"/>
          <w:szCs w:val="18"/>
          <w:color w:val="auto"/>
        </w:rPr>
        <w:t xml:space="preserve"> production support, led root cause analysis for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warehouse incidents, 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hotfixes, and  
  mentored junior engineers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and pipeline best practices.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-managed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models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DevOps</w:t>
      </w:r>
      <w:r>
        <w:rPr>
          <w:rFonts w:ascii="Calibri" w:hAnsi="Calibri" w:cs="Calibri"/>
          <w:sz w:val="18"/>
          <w:szCs w:val="18"/>
          <w:color w:val="auto"/>
        </w:rPr>
        <w:t xml:space="preserve"> CI/CD, enforcing data lineage,    
  access control, and compliance across all reporting layers.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 pipeline design for
   AMETA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</w:t>
      </w:r>
      <w:r>
        <w:rPr>
          <w:rFonts w:ascii="Calibri" w:hAnsi="Calibri" w:cs="Calibri"/>
          <w:sz w:val="18"/>
          <w:szCs w:val="18"/>
          <w:color w:val="auto"/>
        </w:rPr>
        <w:t xml:space="preserve"> ADF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orchestration, eliminating
   third-party tooling and reducing infrastructure costs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 as engineering lead, collaborating with architects   
  and business stakeholders to deliver a reconciliation and financial
  transparency dashboard supporting 1M+ daily user decisions.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via **Azure Data   
  Factory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sz w:val="18"/>
          <w:szCs w:val="18"/>
          <w:color w:val="auto"/>
        </w:rPr>
        <w:t xml:space="preserve">Azure DevOps** CI/CD with data reliability engineering      
  practices, delivering fault-tolerant, schema-evolved warehouse solutions.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junior engineers through knowledge-sharing initiatives and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code reviews;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implementation with rules      
  engines for data quality, reducing redundancy by 45%.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  
  BAT's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multi-cluster migration, implementing workload isolation
   and storage optimisation strategies to ensure 99.9% SLA compliance.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
  semi-structured data (JSON, Parquet)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modelling</w:t>
      </w:r>
      <w:r>
        <w:rPr>
          <w:rFonts w:ascii="Calibri" w:hAnsi="Calibri" w:cs="Calibri"/>
          <w:sz w:val="18"/>
          <w:szCs w:val="18"/>
          <w:color w:val="auto"/>
        </w:rPr>
        <w:t xml:space="preserve"> and query 
  tuning best practices, integrating IoT/supply-chain feeds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      
  pipelines.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Migrated AMD Malaysia data warehouse from Informatica to Wherescape  
 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; authored advanced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and built  
 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loading 1B records with 80% efficiency gain.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