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Pandas,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Azure
   (Databricks, Data Factory,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PySpark, Kafka, Data Vault 2.0, CDC,    
  ELT, Looker, LookML, Looker API, Apache Airflow (DAGs), n8n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Azure DevOps, Agile/Scrum, TDD,
  Automated Testing, L3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Physical Modelling, Data  
  Contracts, Data Lineage, Observability, Fault-tolerant Pipelines, Schema    
  Evolution, Data Ingestion, Data Migration, Streaming, Data Warehousing, Data
   Analysis, CDC, Reconciliation, Semantic Layers, Rules Engines, GDPR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end-to-end data platform architecture, designing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 
  contracts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 models integrating 100+ source systems into
   a centralised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warehouse processing 120+ TB.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platform migration to dbt Fusion, establishing modular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  
  schemas,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suites, and Architecture
   Decision Records (ADRs) to enforce engineering standards across the team.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Engineered fault-tolerant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processing 5-8 TB daily  
 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 IaC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, with built-in observability 
  and data quality monitoring, reducing pipeline failures by 35%.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ML-ready data foundations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LookML</w:t>
      </w:r>
      <w:r>
        <w:rPr>
          <w:rFonts w:ascii="Calibri" w:hAnsi="Calibri" w:cs="Calibri"/>
          <w:sz w:val="18"/>
          <w:szCs w:val="18"/>
          <w:color w:val="auto"/>
        </w:rPr>
        <w:t xml:space="preserve">
   semantic abstractions, enabling Gen AI-powered natural language querying   
  for 150+ users with production-grade traceability and data lineage.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fault-tolerant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across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,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/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ingestion and **Apache    
  Airflow** DAG orchestration, supporting trading desks processing 250+ TB.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-driven reconciliation pipelines with
   clearly defined data contracts for pre-trade market data (prices,
  positions, curves), supporting P&amp;L reporting and VaR analysis.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rules-engine-driven data quality and observability frameworks  
  with full data lineage tracking, delivering transparency into P&amp;L and trade 
  settlements for 30+ front-office and risk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production incident resolution as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L3</w:t>
      </w:r>
      <w:r>
        <w:rPr>
          <w:rFonts w:ascii="Calibri" w:hAnsi="Calibri" w:cs="Calibri"/>
          <w:sz w:val="18"/>
          <w:szCs w:val="18"/>
          <w:color w:val="auto"/>
        </w:rPr>
        <w:t xml:space="preserve"> escalation lead,      
  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hotfixes, authored technical documentation and ADRs,   
  and mentored engineers on system design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enterprise-grade governance framework using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-managed infrastructure, enforcing access control, data        
  lineage, auditability, and GDPR compliance across REMIT/EMIR regulatory     
  datasets.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end-to-end data platform design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ingestion for  
  AMETA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ADF,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eliminating
  third-party tooling and reducing infrastructure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 as senior technical lead, defining data contracts and
   architecture standards for a fintech transaction platform supporting       
  reconciliation insights across 1M+ daily user decisions.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modular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Data Factory</w:t>
      </w:r>
      <w:r>
        <w:rPr>
          <w:rFonts w:ascii="Calibri" w:hAnsi="Calibri" w:cs="Calibri"/>
          <w:sz w:val="18"/>
          <w:szCs w:val="18"/>
          <w:color w:val="auto"/>
        </w:rPr>
        <w:t xml:space="preserve"> and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 DAG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 with workflow automation, enabling     
  fault-tolerant, schema-evolving data delivery to the warehouse.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Defined technical roadmap for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**physical
  modelling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 adoption; mentored engineers on system design and </w:t>
      </w:r>
      <w:r>
        <w:rPr>
          <w:rFonts w:ascii="Calibri" w:hAnsi="Calibri" w:cs="Calibri"/>
          <w:sz w:val="18"/>
          <w:szCs w:val="18"/>
          <w:color w:val="auto"/>
        </w:rPr>
        <w:t xml:space="preserve">SQL**,      
  implementing rules engines that reduced data redundancy by 45%.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  
  BAT's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multi-cluster migration, owning production deployment   
  with workload isolation ensuring SLA compliance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L3 support</w:t>
      </w:r>
      <w:r>
        <w:rPr>
          <w:rFonts w:ascii="Calibri" w:hAnsi="Calibri" w:cs="Calibri"/>
          <w:sz w:val="18"/>
          <w:szCs w:val="18"/>
          <w:color w:val="auto"/>
        </w:rPr>
        <w:t xml:space="preserve">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
  semi-structured data (JSON, Parquet) applying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 and    
  partitioning best practices, integrating IoT/supply-chain feeds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
  pipelines.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Migrated AMD Malaysia data warehouse from Informatica to Wherescape  
 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, authoring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scripts and building
   modular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loading 1B records with 80% efficiency gain.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