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C++, Pandas, SQLAlchemy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BigQuery, Azure (Data Factory,     
 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Fivetran, PySpark, Kafka, Data Vault 2.0, CDC, ELT, Looker, Looker    
  API, Apache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Automated Testing, Code Reviews, L3        
 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Data Quality Frameworks, Data       
  Governance, Observability, Analytics-Ready Datasets, Data Ingestion, Data Migration, Streaming, Data      
  Warehousing, Data Analysis, CDC, Reconciliation, Semantic Layers, Rules Engines, Self-Service Analytics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analytics-ready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integrating 100+ source systems into 
 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processing 120+ TB, translating complex business requirements into  
  clean, trusted datasets.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 
 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reducing production deployment errors by      
  40%.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ingestion workflows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processing 5-8 TB
   daily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infrastructure,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ensuring pipeline reliability across  
  varied data sources.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</w:t>
      </w:r>
      <w:r>
        <w:rPr>
          <w:rFonts w:ascii="Calibri" w:hAnsi="Calibri" w:cs="Calibri"/>
          <w:sz w:val="18"/>
          <w:szCs w:val="18"/>
          <w:color w:val="auto"/>
        </w:rPr>
        <w:t xml:space="preserve"> platform using Looker API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
  abstractions, enabling 150+ non-technical stakeholders to independently discover and query trusted 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products.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 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 across multiple trading desks, delivering production-grade
  analytics-ready datasets over 250+ TB.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 for pre-trade and market data,
  translating complex stakeholder requirements into governed, analytics-ready datasets supporting P&amp;L and   
 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with rules-engine-driven testing controls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 
  dashboards, ensuring reliable, trusted data products for 30+ front-office and risk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technical documentation for all data warehouse changes, developed production hotfixes, and
   mentored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design patterns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full lineage,     
  auditability, and compliance controls, ensuring secure and reliable reporting across all downstream       
  analytics consumers.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data ingestion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connectors, Azure ADF,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       
  building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that eliminated third-party tooling and reduced external app costs  
 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designing a fintech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</w:t>
      </w:r>
      <w:r>
        <w:rPr>
          <w:rFonts w:ascii="Calibri" w:hAnsi="Calibri" w:cs="Calibri"/>
          <w:sz w:val="18"/>
          <w:szCs w:val="18"/>
          <w:color w:val="auto"/>
        </w:rPr>
        <w:t xml:space="preserve"> platform       
  providing reconciliation and trusted data insights supporting 1M+ daily user decisions across the AMETA   
  region.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using Azure Data Factory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controls, delivering reliable analytics across multiple       
  cross-functional teams.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physical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with rules engines
   enforcing quality standards, reducing data redundancy by 45% and accelerating SDLC delivery cycles.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multi-client data engineering across varied stacks, implementing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migrations
  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workload isolation,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ensuring production SLA      
  compliance for FTSE-scale clients including BAT.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(JSON, Parquet) using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producing analytics-ready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datasets for IoT and
  supply-chain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   
  Malaysia data warehouse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     
  delivery across a varied client stack.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