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Azure (Data Factory, Databricks,   
 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PySpark, Kafka, Data Vault 2.0, CDC, ELT, Looker, Looker API, Apache  
  Airflow (DAGs)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CI/CD pipelines, Azure DevOps, Agile/Scrum, Automated Testing, Continuous Improvement, 
  L3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Data Modelling, Physical Modelling, API Integrations, Analytics-Ready   
  Datasets, Data Quality, Documentation, Data Ingestion, Data Migration, Streaming, Data Warehousing, Data  
  Analysis, CDC, Reconciliation, Semantic Layers, Rules Engines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end-to-end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data products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, integrating  
  100+ source systems into analytics-ready datasets with full documentation, testing standards, and
  governance.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platform migration establishing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schemas,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pipelines, **Apache     
  Airflow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 orchestration, and </w:t>
      </w:r>
      <w:r>
        <w:rPr>
          <w:rFonts w:ascii="Calibri" w:hAnsi="Calibri" w:cs="Calibri"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 patterns with </w:t>
      </w:r>
      <w:r>
        <w:rPr>
          <w:rFonts w:ascii="Calibri" w:hAnsi="Calibri" w:cs="Calibri"/>
          <w:sz w:val="18"/>
          <w:szCs w:val="18"/>
          <w:color w:val="auto"/>
        </w:rPr>
        <w:t xml:space="preserve">automated testing**, improving team delivery       
  standards by 40%.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Engineered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-based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processing 5-8 TB daily, leveraging       
  AI-enabled development workflows to accelerate delivery without compromising data quality best
  practices.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AI-powered analytics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 API</w:t>
      </w:r>
      <w:r>
        <w:rPr>
          <w:rFonts w:ascii="Calibri" w:hAnsi="Calibri" w:cs="Calibri"/>
          <w:sz w:val="18"/>
          <w:szCs w:val="18"/>
          <w:color w:val="auto"/>
        </w:rPr>
        <w:t xml:space="preserve"> integrations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</w:t>
      </w:r>
      <w:r>
        <w:rPr>
          <w:rFonts w:ascii="Calibri" w:hAnsi="Calibri" w:cs="Calibri"/>
          <w:sz w:val="18"/>
          <w:szCs w:val="18"/>
          <w:color w:val="auto"/>
        </w:rPr>
        <w:t xml:space="preserve"> abstractions,
   translating business needs into production-ready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products for 150+ self-serve
  stakeholders.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data pipelines and production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models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using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, delivering analytics-ready financial datasets for trading desks processing 250+   
  TB.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pipelines for portfolio performance monitoring,    
  translating pre-trade market data (positions, exposures, P&amp;L curves) into governed, analytics-ready       
  datasets.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rules-engine-driven data quality checks with full technical documentation and Power BI       
  dashboards, ensuring maintainable, trustworthy data products for 30+ fintech front-office and risk        
 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API-based source system integrations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hotfixes for production data
  incidents; authored technical documentation and mentored junior engineers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best     
  practices.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REMIT/EMIR regulatory datasets into governed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data models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Terraform</w:t>
      </w:r>
      <w:r>
        <w:rPr>
          <w:rFonts w:ascii="Calibri" w:hAnsi="Calibri" w:cs="Calibri"/>
          <w:sz w:val="18"/>
          <w:szCs w:val="18"/>
          <w:color w:val="auto"/>
        </w:rPr>
        <w:t xml:space="preserve">,   
  enforcing lineage, auditability, and compliance for fintech regulatory and investor-facing reporting.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end-to-end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fintech data product delivery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ingestion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</w:t>
      </w:r>
      <w:r>
        <w:rPr>
          <w:rFonts w:ascii="Calibri" w:hAnsi="Calibri" w:cs="Calibri"/>
          <w:sz w:val="18"/>
          <w:szCs w:val="18"/>
          <w:color w:val="auto"/>
        </w:rPr>
        <w:t xml:space="preserve">  
  ADF,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 translating business needs into scalable data models and reducing costs 
 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CTO, translating complex fintech business requirements into production-grade data      
  models for transaction and portfolio monitoring dashboards supporting 1M+ daily financial decisions.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patterns,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     
  orchestration,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continuously improving how the team ships reliable data
  products.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engineers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and data quality standards; 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physical modelling
   with documented, maintainable rules engines, reducing fintech data redundancy by 45%.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BAT's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
  multi-cluster migration, building production-grade data models with workload isolation ensuring SLA       
  compliance.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API</w:t>
      </w:r>
      <w:r>
        <w:rPr>
          <w:rFonts w:ascii="Calibri" w:hAnsi="Calibri" w:cs="Calibri"/>
          <w:sz w:val="18"/>
          <w:szCs w:val="18"/>
          <w:color w:val="auto"/>
        </w:rPr>
        <w:t xml:space="preserve">-based source integrations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     
  semi-structured data (JSON, Parquet), delivering analytics-ready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IoT/supply-chain   
  feeds.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Authored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and built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AMD    
  Malaysia data warehouse migration, delivering robust production data models loading 1B records with 80%   
  efficiency gain.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