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BigQuery, Azure (Data Factory,     
  Databricks,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Fivetran, PySpark, Kafka, Data Vault 2.0, CDC, ELT, Looker, Looker    
  API, Apache Airflow (DAGs), Lightdash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Azure DevOps, Agile/Scrum, Automated Testing, Code Reviews, L3        
 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Data Modelling, Physical Modelling, Analytics-Ready Datasets, Data      
  Governance, Observability, Data Quality, Incremental Modelling, Data Ingestion, Data Migration, Streaming,
   Data Warehousing, Data Analysis, CDC, Reconciliation, Semantic Layers, Rules Engines, Self-Service       
  Analytics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Owned and developed analytics-ready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models transforming raw data into clean, documented,   
  trusted sources of truth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, integrating 100+ source systems across 120+ TB with full       
  version control.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end-to-end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platform migration establishing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schemas,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with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and observable, version-controlled analytics environments reducing deployment      
  errors by 40%.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Automated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ingestion workflows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Fivetran</w:t>
      </w:r>
      <w:r>
        <w:rPr>
          <w:rFonts w:ascii="Calibri" w:hAnsi="Calibri" w:cs="Calibri"/>
          <w:sz w:val="18"/>
          <w:szCs w:val="18"/>
          <w:color w:val="auto"/>
        </w:rPr>
        <w:t xml:space="preserve"> connectors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processing 5-8  
  TB daily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infrastructure,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ensuring pipeline reliability and   
  data quality.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self-service analytics platform</w:t>
      </w:r>
      <w:r>
        <w:rPr>
          <w:rFonts w:ascii="Calibri" w:hAnsi="Calibri" w:cs="Calibri"/>
          <w:sz w:val="18"/>
          <w:szCs w:val="18"/>
          <w:color w:val="auto"/>
        </w:rPr>
        <w:t xml:space="preserve"> using Looker API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</w:t>
      </w:r>
      <w:r>
        <w:rPr>
          <w:rFonts w:ascii="Calibri" w:hAnsi="Calibri" w:cs="Calibri"/>
          <w:sz w:val="18"/>
          <w:szCs w:val="18"/>
          <w:color w:val="auto"/>
        </w:rPr>
        <w:t xml:space="preserve"> abstractions
   over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, enabling 150+ stakeholders to independently discover, query, and build on trusted    
  data marts.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ingestion   
 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orchestration, delivering trusted analytics-ready datasets across 250+ TB of       
  fintech trading data.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reconciliation models for pre-trade market data, translating      
  complex fintech business requirements into governed, analytics-ready datasets supporting P&amp;L and VaR      
  analysis.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rules-engine-driven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governance</w:t>
      </w:r>
      <w:r>
        <w:rPr>
          <w:rFonts w:ascii="Calibri" w:hAnsi="Calibri" w:cs="Calibri"/>
          <w:sz w:val="18"/>
          <w:szCs w:val="18"/>
          <w:color w:val="auto"/>
        </w:rPr>
        <w:t xml:space="preserve"> controls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dashboards with Power 
  BI, ensuring reliable, trusted data products for 30+ front-office and risk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Authored comprehensive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model documentation, conducted code reviews, and mentored junior    
  engineers; championed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and version control standards raising team analytics engineering
  maturity.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governed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data models with lineage,
  auditability, and compliance controls ensuring secure, reliable fintech reporting across all downstream   
  consumers.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data ingestion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Fivetran</w:t>
      </w:r>
      <w:r>
        <w:rPr>
          <w:rFonts w:ascii="Calibri" w:hAnsi="Calibri" w:cs="Calibri"/>
          <w:sz w:val="18"/>
          <w:szCs w:val="18"/>
          <w:color w:val="auto"/>
        </w:rPr>
        <w:t xml:space="preserve"> connectors, Azure ADF,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       
  building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that eliminated third-party tools and reduced external app costs by 
 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 as Engineering lead, designing a fintech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self-service analytics platform</w:t>
      </w:r>
      <w:r>
        <w:rPr>
          <w:rFonts w:ascii="Calibri" w:hAnsi="Calibri" w:cs="Calibri"/>
          <w:sz w:val="18"/>
          <w:szCs w:val="18"/>
          <w:color w:val="auto"/>
        </w:rPr>
        <w:t xml:space="preserve">       
  providing reconciliation and trusted data products supporting 1M+ daily user decisions across the AMETA   
  region.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and 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controls, enabling self-service data access and reliable delivery to 50+ downstream     
  business stakeholders.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junior engineers and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physical modelling with rules engines
  enforcing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governance</w:t>
      </w:r>
      <w:r>
        <w:rPr>
          <w:rFonts w:ascii="Calibri" w:hAnsi="Calibri" w:cs="Calibri"/>
          <w:sz w:val="18"/>
          <w:szCs w:val="18"/>
          <w:color w:val="auto"/>
        </w:rPr>
        <w:t xml:space="preserve"> and quality standards, reducing data redundancy by 45% and accelerating     
  delivery cycles.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BAT's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
  multi-cluster migration, building governed, version-controlled data models with workload isolation        
  ensuring SLA compliance.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 semi-structured data (JSON, Parquet) using
   physical modelling best practices, producing analytics-ready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datasets for IoT and supply-chain   
  consumers.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Authored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and built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AMD    
  Malaysia data warehouse migration, loading 1B records with 80% efficiency gain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      
  delivery.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