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
 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Function, Agile/Scrum, Automated Testing, L3 Support,     
  SDLC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Data Ingestion, Data
  Migration, Streaming, Data Warehousing, Data Analysis, CDC, Reconciliation, Semantic Layers, Rules  
  Engines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maintained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
 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, integrating 100+ source systems processing 120+ TB of structured and   
  semi-structured data.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SDLC</w:t>
      </w:r>
      <w:r>
        <w:rPr>
          <w:rFonts w:ascii="Calibri" w:hAnsi="Calibri" w:cs="Calibri"/>
          <w:sz w:val="18"/>
          <w:szCs w:val="18"/>
          <w:color w:val="auto"/>
        </w:rPr>
        <w:t xml:space="preserve"> migration from dbt Core to dbt Fusion,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target 
  schemas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suites, cutting deployment errors by     
 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processing 5-8 TB daily from telemetry and operational systems 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-provisioned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infrastructure, reducing ingestion 
  latency by 35%.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Gen AI-powered analytics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query interfaces over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marts, enabling self-service BI for 50+ non-technical stakeholders and reducing  
  ad-hoc query load by 60%.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DBT,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/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with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ingestion, delivering sub-hour data freshness for Natural Gas and Power trading desks 
  across 250+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reconciliation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ETL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for pre-trade market data  
  (prices, positions, exposures, curves), supporting P&amp;L reporting, mark-to-market, and VaR
 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rules-engine</w:t>
      </w:r>
      <w:r>
        <w:rPr>
          <w:rFonts w:ascii="Calibri" w:hAnsi="Calibri" w:cs="Calibri"/>
          <w:sz w:val="18"/>
          <w:szCs w:val="18"/>
          <w:color w:val="auto"/>
        </w:rPr>
        <w:t xml:space="preserve">-driven data quality frameworks and Power BI dashboards, translating   
 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outputs into business-friendly reporting for 30+ front-office and risk   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Provided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 support</w:t>
      </w:r>
      <w:r>
        <w:rPr>
          <w:rFonts w:ascii="Calibri" w:hAnsi="Calibri" w:cs="Calibri"/>
          <w:sz w:val="18"/>
          <w:szCs w:val="18"/>
          <w:color w:val="auto"/>
        </w:rPr>
        <w:t xml:space="preserve">, developed hotfixes for production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incidents
  maintaining 99.9% uptime SLA, authored technical documentation,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mentored junior developers</w:t>
      </w:r>
      <w:r>
        <w:rPr>
          <w:rFonts w:ascii="Calibri" w:hAnsi="Calibri" w:cs="Calibri"/>
          <w:sz w:val="18"/>
          <w:szCs w:val="18"/>
          <w:color w:val="auto"/>
        </w:rPr>
        <w:t xml:space="preserve">  
  on best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models</w:t>
      </w:r>
      <w:r>
        <w:rPr>
          <w:rFonts w:ascii="Calibri" w:hAnsi="Calibri" w:cs="Calibri"/>
          <w:sz w:val="18"/>
          <w:szCs w:val="18"/>
          <w:color w:val="auto"/>
        </w:rPr>
        <w:t xml:space="preserve"> using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infrastructure, ensuring full lineage, auditability, and compliance across all
   reporting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data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design for the AMETA region using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eliminating third-party tools and reducing external    
 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translating complex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requirements into
   business-friendly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reconciliation</w:t>
      </w:r>
      <w:r>
        <w:rPr>
          <w:rFonts w:ascii="Calibri" w:hAnsi="Calibri" w:cs="Calibri"/>
          <w:sz w:val="18"/>
          <w:szCs w:val="18"/>
          <w:color w:val="auto"/>
        </w:rPr>
        <w:t xml:space="preserve"> dashboards for fintech transactions supporting 1M+ daily user 
 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and Azure       
  Functions orchestration, acting as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 support</w:t>
      </w:r>
      <w:r>
        <w:rPr>
          <w:rFonts w:ascii="Calibri" w:hAnsi="Calibri" w:cs="Calibri"/>
          <w:sz w:val="18"/>
          <w:szCs w:val="18"/>
          <w:color w:val="auto"/>
        </w:rPr>
        <w:t xml:space="preserve"> escalation point and resolving 95% of incidents   
  within SLA.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Mentored junior developers</w:t>
      </w:r>
      <w:r>
        <w:rPr>
          <w:rFonts w:ascii="Calibri" w:hAnsi="Calibri" w:cs="Calibri"/>
          <w:sz w:val="18"/>
          <w:szCs w:val="18"/>
          <w:color w:val="auto"/>
        </w:rPr>
        <w:t xml:space="preserve"> and architected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using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rules engines</w:t>
      </w:r>
      <w:r>
        <w:rPr>
          <w:rFonts w:ascii="Calibri" w:hAnsi="Calibri" w:cs="Calibri"/>
          <w:sz w:val="18"/>
          <w:szCs w:val="18"/>
          <w:color w:val="auto"/>
        </w:rPr>
        <w:t xml:space="preserve">, reducing redundancy by 45% and accelerating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SDLC</w:t>
      </w:r>
      <w:r>
        <w:rPr>
          <w:rFonts w:ascii="Calibri" w:hAnsi="Calibri" w:cs="Calibri"/>
          <w:sz w:val="18"/>
          <w:szCs w:val="18"/>
          <w:color w:val="auto"/>
        </w:rPr>
        <w:t xml:space="preserve"> 
  delivery by 30%.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multi-cluster warehouses for BAT via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Synapse</w:t>
      </w:r>
      <w:r>
        <w:rPr>
          <w:rFonts w:ascii="Calibri" w:hAnsi="Calibri" w:cs="Calibri"/>
          <w:sz w:val="18"/>
          <w:szCs w:val="18"/>
          <w:color w:val="auto"/>
        </w:rPr>
        <w:t xml:space="preserve"> migration, enforcing workload isolation, SLA compliance, and full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 support</w:t>
      </w:r>
      <w:r>
        <w:rPr>
          <w:rFonts w:ascii="Calibri" w:hAnsi="Calibri" w:cs="Calibri"/>
          <w:sz w:val="18"/>
          <w:szCs w:val="18"/>
          <w:color w:val="auto"/>
        </w:rPr>
        <w:t xml:space="preserve"> 
  coverage.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 Parquet)
 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integrating IoT/supply-chain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into   
  analytics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from Informatica to Wherescape using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;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loading 1B records,
   achieving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