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 Databricks,   
 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Apache Airflow (DAGs), Kafka, Fivetran, PySpark, CDC, ELT, Looker,    
  Looker API, MLOps, Model Registry, Experiment Tracking, Model Versioning, Grafana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Automated Testing, Azure DevOps, Agile/Scrum, L3 Support, Operational 
  Playbooks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Event-Driven Architecture, Near-Real-Time Processing, Financial
  Reconciliation, Settlement Tracking, Ledger-Style Data Modelling, Merchant Reporting, Transaction Health  
  Monitoring, Data Quality, Observability, Data Modelling, Physical Modelling, Data Ingestion, Streaming,   
  Data Warehousing, CDC, Semantic Layers, Rules Engines, Self-Service Analytics, Feature Drift Monitoring,  
  Model Rollback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operated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event-driven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,        
  integrating 100+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processing 120+ TB with        
  end-to-end production ownership.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production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monitoring for data correctness, freshness, and   
  reliability.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near-real-time</w:t>
      </w:r>
      <w:r>
        <w:rPr>
          <w:rFonts w:ascii="Calibri" w:hAnsi="Calibri" w:cs="Calibri"/>
          <w:sz w:val="18"/>
          <w:szCs w:val="18"/>
          <w:color w:val="auto"/>
        </w:rPr>
        <w:t xml:space="preserve"> data ingestion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and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-provisioned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with monitoring and alerting ensuring pipeline
  reliability and data quality.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Gen AI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 and backend data services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MLOps</w:t>
      </w:r>
      <w:r>
        <w:rPr>
          <w:rFonts w:ascii="Calibri" w:hAnsi="Calibri" w:cs="Calibri"/>
          <w:sz w:val="18"/>
          <w:szCs w:val="18"/>
          <w:color w:val="auto"/>
        </w:rPr>
        <w:t xml:space="preserve">        
  pipelines, exposing trusted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to downstream teams via governed APIs and **semantic       
  layer** abstractions.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event-driven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with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processing high-volume
  transactional trading and settlement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near-real-time financial reconciliation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ledger-style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
   for pre-trade market data (prices, positions, exposures), supporting P&amp;L reporting, mark-to-market, and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settlement tracking</w:t>
      </w:r>
      <w:r>
        <w:rPr>
          <w:rFonts w:ascii="Calibri" w:hAnsi="Calibri" w:cs="Calibri"/>
          <w:sz w:val="18"/>
          <w:szCs w:val="18"/>
          <w:color w:val="auto"/>
        </w:rPr>
        <w:t xml:space="preserve">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monitoring dashboards, ensuring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transaction health</w:t>
      </w:r>
      <w:r>
        <w:rPr>
          <w:rFonts w:ascii="Calibri" w:hAnsi="Calibri" w:cs="Calibri"/>
          <w:sz w:val="18"/>
          <w:szCs w:val="18"/>
          <w:color w:val="auto"/>
        </w:rPr>
        <w:t xml:space="preserve">, pipeline freshness, and data correctness for 30+ front-office and risk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and operated production data systems end-to-end, authoring operational playbooks, developing 
  hotfixes for production incidents, and mentoring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engineering   
  best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full lineage,     
  auditability,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controls ensuring compliance across all downstream financial reporting 
 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event-driven</w:t>
      </w:r>
      <w:r>
        <w:rPr>
          <w:rFonts w:ascii="Calibri" w:hAnsi="Calibri" w:cs="Calibri"/>
          <w:sz w:val="18"/>
          <w:szCs w:val="18"/>
          <w:color w:val="auto"/>
        </w:rPr>
        <w:t xml:space="preserve"> data ingestion for the AMETA fintech region using Azure ADF,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transaction health</w:t>
      </w:r>
      <w:r>
        <w:rPr>
          <w:rFonts w:ascii="Calibri" w:hAnsi="Calibri" w:cs="Calibri"/>
          <w:sz w:val="18"/>
          <w:szCs w:val="18"/>
          <w:color w:val="auto"/>
        </w:rPr>
        <w:t xml:space="preserve"> and      
  pipeline reliability.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designing a fintech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financial reconciliation</w:t>
      </w:r>
      <w:r>
        <w:rPr>
          <w:rFonts w:ascii="Calibri" w:hAnsi="Calibri" w:cs="Calibri"/>
          <w:sz w:val="18"/>
          <w:szCs w:val="18"/>
          <w:color w:val="auto"/>
        </w:rPr>
        <w:t xml:space="preserve"> platform processing 1M+ daily    
  transactions, providing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merchant reporting</w:t>
      </w:r>
      <w:r>
        <w:rPr>
          <w:rFonts w:ascii="Calibri" w:hAnsi="Calibri" w:cs="Calibri"/>
          <w:sz w:val="18"/>
          <w:szCs w:val="18"/>
          <w:color w:val="auto"/>
        </w:rPr>
        <w:t xml:space="preserve"> and rich visual summaries of payment decisions and user    
  activity.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near-real-time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production monitoring, delivering reliable data systems with full SLA
  compliance.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transactional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with rules   
  engines enforcing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standards, reducing data redundancy by 45% and accelerating delivery   
  cycles.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production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workload isolation, and  
  high-volume transactional data handling, ensuring SLA compliance and operational reliability for
  FTSE-scale enterprise clients.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 Parquet) using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ledger-style</w:t>
      </w:r>
      <w:r>
        <w:rPr>
          <w:rFonts w:ascii="Calibri" w:hAnsi="Calibri" w:cs="Calibri"/>
          <w:sz w:val="18"/>
          <w:szCs w:val="18"/>
          <w:color w:val="auto"/>
        </w:rPr>
        <w:t xml:space="preserve"> physical modelling best practices, producing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datasets for IoT and supply-chain  
 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   
  Malaysia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and production      
  engineering standards.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