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80"/>
        <w:jc w:val="center"/>
      </w:pPr>
      <w:r>
        <w:rPr>
          <w:rFonts w:ascii="Arial" w:cs="Arial" w:eastAsia="Arial" w:hAnsi="Arial"/>
          <w:b/>
          <w:bCs/>
          <w:color w:val="1B5E20"/>
          <w:sz w:val="52"/>
          <w:szCs w:val="52"/>
        </w:rPr>
        <w:t xml:space="preserve">MEDSPA GROWTH ENGINE</w:t>
      </w:r>
    </w:p>
    <w:p>
      <w:pPr>
        <w:spacing w:after="200"/>
        <w:jc w:val="center"/>
      </w:pPr>
      <w:r>
        <w:rPr>
          <w:rFonts w:ascii="Arial" w:cs="Arial" w:eastAsia="Arial" w:hAnsi="Arial"/>
          <w:color w:val="666666"/>
          <w:sz w:val="32"/>
          <w:szCs w:val="32"/>
        </w:rPr>
        <w:t xml:space="preserve">App Concept Validation Brief</w:t>
      </w:r>
    </w:p>
    <w:p>
      <w:pPr>
        <w:spacing w:after="40"/>
        <w:jc w:val="center"/>
      </w:pPr>
      <w:r>
        <w:rPr>
          <w:rFonts w:ascii="Arial" w:cs="Arial" w:eastAsia="Arial" w:hAnsi="Arial"/>
          <w:color w:val="888888"/>
          <w:sz w:val="24"/>
          <w:szCs w:val="24"/>
        </w:rPr>
        <w:t xml:space="preserve">AI-Powered Revenue Acceleration for Aesthetic Clinics</w:t>
      </w:r>
    </w:p>
    <w:p>
      <w:pPr>
        <w:spacing w:after="60"/>
      </w:pPr>
    </w:p>
    <w:p>
      <w:pPr>
        <w:spacing w:after="60"/>
      </w:pPr>
    </w:p>
    <w:p>
      <w:pPr>
        <w:spacing w:after="40"/>
        <w:jc w:val="center"/>
      </w:pPr>
      <w:r>
        <w:rPr>
          <w:rFonts w:ascii="Arial" w:cs="Arial" w:eastAsia="Arial" w:hAnsi="Arial"/>
          <w:color w:val="AAAAAA"/>
          <w:sz w:val="22"/>
          <w:szCs w:val="22"/>
        </w:rPr>
        <w:t xml:space="preserve">Version 1.0 — March 12, 2026</w:t>
      </w:r>
    </w:p>
    <w:p>
      <w:r>
        <w:br w:type="page"/>
      </w:r>
    </w:p>
    <w:p>
      <w:pPr>
        <w:pStyle w:val="Heading1"/>
      </w:pPr>
      <w:r>
        <w:t xml:space="preserve">1. Executive Summary</w:t>
      </w:r>
    </w:p>
    <w:p>
      <w:pPr>
        <w:spacing w:after="120"/>
      </w:pPr>
      <w:r>
        <w:t xml:space="preserve">MedSpa Growth Engine is a mobile-first iOS app that sits on top of existing medspa scheduling and EMR systems as a revenue acceleration layer. It does not replace existing software. Instead, it adds the intelligence layer that no current platform provides: AI-driven treatment pathway modeling, optimal rebooking timing, revenue pipeline forecasting, and automated review generation.</w:t>
      </w:r>
    </w:p>
    <w:p>
      <w:pPr>
        <w:spacing w:after="60"/>
      </w:pPr>
    </w:p>
    <w:p>
      <w:pPr>
        <w:spacing w:after="120"/>
      </w:pPr>
      <w:r>
        <w:t xml:space="preserve">The core insight: medspas lose 30-40% of potential recurring revenue because clients do not rebook at the clinically optimal interval. Botox clients should return every 12-16 weeks, laser clients need 6-8 sessions spaced 4-6 weeks apart, and chemical peel clients need maintenance every 4-6 weeks. Current booking systems treat every appointment as a standalone event and have no concept of treatment pathways or rebooking intelligence.</w:t>
      </w:r>
    </w:p>
    <w:p>
      <w:pPr>
        <w:spacing w:after="60"/>
      </w:pPr>
    </w:p>
    <w:p>
      <w:pPr>
        <w:pStyle w:val="Heading1"/>
      </w:pPr>
      <w:r>
        <w:t xml:space="preserve">2.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F5F5F5" w:val="clear"/>
          </w:tcPr>
          <w:p>
            <w:r>
              <w:rPr>
                <w:rFonts w:ascii="Arial" w:cs="Arial" w:eastAsia="Arial" w:hAnsi="Arial"/>
                <w:b/>
                <w:bCs/>
                <w:sz w:val="22"/>
                <w:szCs w:val="22"/>
              </w:rPr>
              <w:t xml:space="preserve">US MedSpa Market Size (2025)</w:t>
            </w:r>
          </w:p>
        </w:tc>
        <w:tc>
          <w:tcPr>
            <w:tcW w:type="dxa" w:w="4360"/>
            <w:tcBorders>
              <w:top w:val="single" w:color="CCCCCC" w:sz="1"/>
              <w:left w:val="single" w:color="CCCCCC" w:sz="1"/>
              <w:bottom w:val="single" w:color="CCCCCC" w:sz="1"/>
              <w:right w:val="single" w:color="CCCCCC" w:sz="1"/>
            </w:tcBorders>
            <w:shd w:fill="E8F5E9" w:val="clear"/>
          </w:tcPr>
          <w:p>
            <w:pPr>
              <w:jc w:val="right"/>
            </w:pPr>
            <w:r>
              <w:rPr>
                <w:rFonts w:ascii="Arial" w:cs="Arial" w:eastAsia="Arial" w:hAnsi="Arial"/>
                <w:b/>
                <w:bCs/>
                <w:sz w:val="22"/>
                <w:szCs w:val="22"/>
              </w:rPr>
              <w:t xml:space="preserve">$8.39 Billion</w:t>
            </w:r>
          </w:p>
        </w:tc>
      </w:tr>
      <w:tr>
        <w:tc>
          <w:tcPr>
            <w:tcW w:type="dxa" w:w="5000"/>
            <w:tcBorders>
              <w:top w:val="single" w:color="CCCCCC" w:sz="1"/>
              <w:left w:val="single" w:color="CCCCCC" w:sz="1"/>
              <w:bottom w:val="single" w:color="CCCCCC" w:sz="1"/>
              <w:right w:val="single" w:color="CCCCCC" w:sz="1"/>
            </w:tcBorders>
            <w:shd w:fill="F5F5F5" w:val="clear"/>
          </w:tcPr>
          <w:p>
            <w:r>
              <w:rPr>
                <w:rFonts w:ascii="Arial" w:cs="Arial" w:eastAsia="Arial" w:hAnsi="Arial"/>
                <w:b/>
                <w:bCs/>
                <w:sz w:val="22"/>
                <w:szCs w:val="22"/>
              </w:rPr>
              <w:t xml:space="preserve">Projected US Market (2035)</w:t>
            </w:r>
          </w:p>
        </w:tc>
        <w:tc>
          <w:tcPr>
            <w:tcW w:type="dxa" w:w="4360"/>
            <w:tcBorders>
              <w:top w:val="single" w:color="CCCCCC" w:sz="1"/>
              <w:left w:val="single" w:color="CCCCCC" w:sz="1"/>
              <w:bottom w:val="single" w:color="CCCCCC" w:sz="1"/>
              <w:right w:val="single" w:color="CCCCCC" w:sz="1"/>
            </w:tcBorders>
            <w:shd w:fill="E8F5E9" w:val="clear"/>
          </w:tcPr>
          <w:p>
            <w:pPr>
              <w:jc w:val="right"/>
            </w:pPr>
            <w:r>
              <w:rPr>
                <w:rFonts w:ascii="Arial" w:cs="Arial" w:eastAsia="Arial" w:hAnsi="Arial"/>
                <w:b/>
                <w:bCs/>
                <w:sz w:val="22"/>
                <w:szCs w:val="22"/>
              </w:rPr>
              <w:t xml:space="preserve">$31.10 Billion</w:t>
            </w:r>
          </w:p>
        </w:tc>
      </w:tr>
      <w:tr>
        <w:tc>
          <w:tcPr>
            <w:tcW w:type="dxa" w:w="5000"/>
            <w:tcBorders>
              <w:top w:val="single" w:color="CCCCCC" w:sz="1"/>
              <w:left w:val="single" w:color="CCCCCC" w:sz="1"/>
              <w:bottom w:val="single" w:color="CCCCCC" w:sz="1"/>
              <w:right w:val="single" w:color="CCCCCC" w:sz="1"/>
            </w:tcBorders>
            <w:shd w:fill="F5F5F5" w:val="clear"/>
          </w:tcPr>
          <w:p>
            <w:r>
              <w:rPr>
                <w:rFonts w:ascii="Arial" w:cs="Arial" w:eastAsia="Arial" w:hAnsi="Arial"/>
                <w:b/>
                <w:bCs/>
                <w:sz w:val="22"/>
                <w:szCs w:val="22"/>
              </w:rPr>
              <w:t xml:space="preserve">Industry CAGR</w:t>
            </w:r>
          </w:p>
        </w:tc>
        <w:tc>
          <w:tcPr>
            <w:tcW w:type="dxa" w:w="4360"/>
            <w:tcBorders>
              <w:top w:val="single" w:color="CCCCCC" w:sz="1"/>
              <w:left w:val="single" w:color="CCCCCC" w:sz="1"/>
              <w:bottom w:val="single" w:color="CCCCCC" w:sz="1"/>
              <w:right w:val="single" w:color="CCCCCC" w:sz="1"/>
            </w:tcBorders>
            <w:shd w:fill="E8F5E9" w:val="clear"/>
          </w:tcPr>
          <w:p>
            <w:pPr>
              <w:jc w:val="right"/>
            </w:pPr>
            <w:r>
              <w:rPr>
                <w:rFonts w:ascii="Arial" w:cs="Arial" w:eastAsia="Arial" w:hAnsi="Arial"/>
                <w:b/>
                <w:bCs/>
                <w:sz w:val="22"/>
                <w:szCs w:val="22"/>
              </w:rPr>
              <w:t xml:space="preserve">14-15.8%</w:t>
            </w:r>
          </w:p>
        </w:tc>
      </w:tr>
      <w:tr>
        <w:tc>
          <w:tcPr>
            <w:tcW w:type="dxa" w:w="5000"/>
            <w:tcBorders>
              <w:top w:val="single" w:color="CCCCCC" w:sz="1"/>
              <w:left w:val="single" w:color="CCCCCC" w:sz="1"/>
              <w:bottom w:val="single" w:color="CCCCCC" w:sz="1"/>
              <w:right w:val="single" w:color="CCCCCC" w:sz="1"/>
            </w:tcBorders>
            <w:shd w:fill="F5F5F5" w:val="clear"/>
          </w:tcPr>
          <w:p>
            <w:r>
              <w:rPr>
                <w:rFonts w:ascii="Arial" w:cs="Arial" w:eastAsia="Arial" w:hAnsi="Arial"/>
                <w:b/>
                <w:bCs/>
                <w:sz w:val="22"/>
                <w:szCs w:val="22"/>
              </w:rPr>
              <w:t xml:space="preserve">Number of US MedSpas (2024 est.)</w:t>
            </w:r>
          </w:p>
        </w:tc>
        <w:tc>
          <w:tcPr>
            <w:tcW w:type="dxa" w:w="4360"/>
            <w:tcBorders>
              <w:top w:val="single" w:color="CCCCCC" w:sz="1"/>
              <w:left w:val="single" w:color="CCCCCC" w:sz="1"/>
              <w:bottom w:val="single" w:color="CCCCCC" w:sz="1"/>
              <w:right w:val="single" w:color="CCCCCC" w:sz="1"/>
            </w:tcBorders>
            <w:shd w:fill="E8F5E9" w:val="clear"/>
          </w:tcPr>
          <w:p>
            <w:pPr>
              <w:jc w:val="right"/>
            </w:pPr>
            <w:r>
              <w:rPr>
                <w:rFonts w:ascii="Arial" w:cs="Arial" w:eastAsia="Arial" w:hAnsi="Arial"/>
                <w:b/>
                <w:bCs/>
                <w:sz w:val="22"/>
                <w:szCs w:val="22"/>
              </w:rPr>
              <w:t xml:space="preserve">~12,000+</w:t>
            </w:r>
          </w:p>
        </w:tc>
      </w:tr>
      <w:tr>
        <w:tc>
          <w:tcPr>
            <w:tcW w:type="dxa" w:w="5000"/>
            <w:tcBorders>
              <w:top w:val="single" w:color="CCCCCC" w:sz="1"/>
              <w:left w:val="single" w:color="CCCCCC" w:sz="1"/>
              <w:bottom w:val="single" w:color="CCCCCC" w:sz="1"/>
              <w:right w:val="single" w:color="CCCCCC" w:sz="1"/>
            </w:tcBorders>
            <w:shd w:fill="F5F5F5" w:val="clear"/>
          </w:tcPr>
          <w:p>
            <w:r>
              <w:rPr>
                <w:rFonts w:ascii="Arial" w:cs="Arial" w:eastAsia="Arial" w:hAnsi="Arial"/>
                <w:b/>
                <w:bCs/>
                <w:sz w:val="22"/>
                <w:szCs w:val="22"/>
              </w:rPr>
              <w:t xml:space="preserve">% Single-Location Owner-Operated</w:t>
            </w:r>
          </w:p>
        </w:tc>
        <w:tc>
          <w:tcPr>
            <w:tcW w:type="dxa" w:w="4360"/>
            <w:tcBorders>
              <w:top w:val="single" w:color="CCCCCC" w:sz="1"/>
              <w:left w:val="single" w:color="CCCCCC" w:sz="1"/>
              <w:bottom w:val="single" w:color="CCCCCC" w:sz="1"/>
              <w:right w:val="single" w:color="CCCCCC" w:sz="1"/>
            </w:tcBorders>
            <w:shd w:fill="E8F5E9" w:val="clear"/>
          </w:tcPr>
          <w:p>
            <w:pPr>
              <w:jc w:val="right"/>
            </w:pPr>
            <w:r>
              <w:rPr>
                <w:rFonts w:ascii="Arial" w:cs="Arial" w:eastAsia="Arial" w:hAnsi="Arial"/>
                <w:b/>
                <w:bCs/>
                <w:sz w:val="22"/>
                <w:szCs w:val="22"/>
              </w:rPr>
              <w:t xml:space="preserve">81%</w:t>
            </w:r>
          </w:p>
        </w:tc>
      </w:tr>
      <w:tr>
        <w:tc>
          <w:tcPr>
            <w:tcW w:type="dxa" w:w="5000"/>
            <w:tcBorders>
              <w:top w:val="single" w:color="CCCCCC" w:sz="1"/>
              <w:left w:val="single" w:color="CCCCCC" w:sz="1"/>
              <w:bottom w:val="single" w:color="CCCCCC" w:sz="1"/>
              <w:right w:val="single" w:color="CCCCCC" w:sz="1"/>
            </w:tcBorders>
            <w:shd w:fill="F5F5F5" w:val="clear"/>
          </w:tcPr>
          <w:p>
            <w:r>
              <w:rPr>
                <w:rFonts w:ascii="Arial" w:cs="Arial" w:eastAsia="Arial" w:hAnsi="Arial"/>
                <w:b/>
                <w:bCs/>
                <w:sz w:val="22"/>
                <w:szCs w:val="22"/>
              </w:rPr>
              <w:t xml:space="preserve">Average Revenue Per Location</w:t>
            </w:r>
          </w:p>
        </w:tc>
        <w:tc>
          <w:tcPr>
            <w:tcW w:type="dxa" w:w="4360"/>
            <w:tcBorders>
              <w:top w:val="single" w:color="CCCCCC" w:sz="1"/>
              <w:left w:val="single" w:color="CCCCCC" w:sz="1"/>
              <w:bottom w:val="single" w:color="CCCCCC" w:sz="1"/>
              <w:right w:val="single" w:color="CCCCCC" w:sz="1"/>
            </w:tcBorders>
            <w:shd w:fill="E8F5E9" w:val="clear"/>
          </w:tcPr>
          <w:p>
            <w:pPr>
              <w:jc w:val="right"/>
            </w:pPr>
            <w:r>
              <w:rPr>
                <w:rFonts w:ascii="Arial" w:cs="Arial" w:eastAsia="Arial" w:hAnsi="Arial"/>
                <w:b/>
                <w:bCs/>
                <w:sz w:val="22"/>
                <w:szCs w:val="22"/>
              </w:rPr>
              <w:t xml:space="preserve">$1.98M/year</w:t>
            </w:r>
          </w:p>
        </w:tc>
      </w:tr>
      <w:tr>
        <w:tc>
          <w:tcPr>
            <w:tcW w:type="dxa" w:w="5000"/>
            <w:tcBorders>
              <w:top w:val="single" w:color="CCCCCC" w:sz="1"/>
              <w:left w:val="single" w:color="CCCCCC" w:sz="1"/>
              <w:bottom w:val="single" w:color="CCCCCC" w:sz="1"/>
              <w:right w:val="single" w:color="CCCCCC" w:sz="1"/>
            </w:tcBorders>
            <w:shd w:fill="F5F5F5" w:val="clear"/>
          </w:tcPr>
          <w:p>
            <w:r>
              <w:rPr>
                <w:rFonts w:ascii="Arial" w:cs="Arial" w:eastAsia="Arial" w:hAnsi="Arial"/>
                <w:b/>
                <w:bCs/>
                <w:sz w:val="22"/>
                <w:szCs w:val="22"/>
              </w:rPr>
              <w:t xml:space="preserve">Average Client Spend Per Visit</w:t>
            </w:r>
          </w:p>
        </w:tc>
        <w:tc>
          <w:tcPr>
            <w:tcW w:type="dxa" w:w="4360"/>
            <w:tcBorders>
              <w:top w:val="single" w:color="CCCCCC" w:sz="1"/>
              <w:left w:val="single" w:color="CCCCCC" w:sz="1"/>
              <w:bottom w:val="single" w:color="CCCCCC" w:sz="1"/>
              <w:right w:val="single" w:color="CCCCCC" w:sz="1"/>
            </w:tcBorders>
            <w:shd w:fill="E8F5E9" w:val="clear"/>
          </w:tcPr>
          <w:p>
            <w:pPr>
              <w:jc w:val="right"/>
            </w:pPr>
            <w:r>
              <w:rPr>
                <w:rFonts w:ascii="Arial" w:cs="Arial" w:eastAsia="Arial" w:hAnsi="Arial"/>
                <w:b/>
                <w:bCs/>
                <w:sz w:val="22"/>
                <w:szCs w:val="22"/>
              </w:rPr>
              <w:t xml:space="preserve">$530</w:t>
            </w:r>
          </w:p>
        </w:tc>
      </w:tr>
      <w:tr>
        <w:tc>
          <w:tcPr>
            <w:tcW w:type="dxa" w:w="5000"/>
            <w:tcBorders>
              <w:top w:val="single" w:color="CCCCCC" w:sz="1"/>
              <w:left w:val="single" w:color="CCCCCC" w:sz="1"/>
              <w:bottom w:val="single" w:color="CCCCCC" w:sz="1"/>
              <w:right w:val="single" w:color="CCCCCC" w:sz="1"/>
            </w:tcBorders>
            <w:shd w:fill="F5F5F5" w:val="clear"/>
          </w:tcPr>
          <w:p>
            <w:r>
              <w:rPr>
                <w:rFonts w:ascii="Arial" w:cs="Arial" w:eastAsia="Arial" w:hAnsi="Arial"/>
                <w:b/>
                <w:bCs/>
                <w:sz w:val="22"/>
                <w:szCs w:val="22"/>
              </w:rPr>
              <w:t xml:space="preserve">Client Return Rate (Same Spa)</w:t>
            </w:r>
          </w:p>
        </w:tc>
        <w:tc>
          <w:tcPr>
            <w:tcW w:type="dxa" w:w="4360"/>
            <w:tcBorders>
              <w:top w:val="single" w:color="CCCCCC" w:sz="1"/>
              <w:left w:val="single" w:color="CCCCCC" w:sz="1"/>
              <w:bottom w:val="single" w:color="CCCCCC" w:sz="1"/>
              <w:right w:val="single" w:color="CCCCCC" w:sz="1"/>
            </w:tcBorders>
            <w:shd w:fill="E8F5E9" w:val="clear"/>
          </w:tcPr>
          <w:p>
            <w:pPr>
              <w:jc w:val="right"/>
            </w:pPr>
            <w:r>
              <w:rPr>
                <w:rFonts w:ascii="Arial" w:cs="Arial" w:eastAsia="Arial" w:hAnsi="Arial"/>
                <w:b/>
                <w:bCs/>
                <w:sz w:val="22"/>
                <w:szCs w:val="22"/>
              </w:rPr>
              <w:t xml:space="preserve">65%</w:t>
            </w:r>
          </w:p>
        </w:tc>
      </w:tr>
      <w:tr>
        <w:tc>
          <w:tcPr>
            <w:tcW w:type="dxa" w:w="5000"/>
            <w:tcBorders>
              <w:top w:val="single" w:color="CCCCCC" w:sz="1"/>
              <w:left w:val="single" w:color="CCCCCC" w:sz="1"/>
              <w:bottom w:val="single" w:color="CCCCCC" w:sz="1"/>
              <w:right w:val="single" w:color="CCCCCC" w:sz="1"/>
            </w:tcBorders>
            <w:shd w:fill="F5F5F5" w:val="clear"/>
          </w:tcPr>
          <w:p>
            <w:r>
              <w:rPr>
                <w:rFonts w:ascii="Arial" w:cs="Arial" w:eastAsia="Arial" w:hAnsi="Arial"/>
                <w:b/>
                <w:bCs/>
                <w:sz w:val="22"/>
                <w:szCs w:val="22"/>
              </w:rPr>
              <w:t xml:space="preserve">MedSpas Offering Memberships</w:t>
            </w:r>
          </w:p>
        </w:tc>
        <w:tc>
          <w:tcPr>
            <w:tcW w:type="dxa" w:w="4360"/>
            <w:tcBorders>
              <w:top w:val="single" w:color="CCCCCC" w:sz="1"/>
              <w:left w:val="single" w:color="CCCCCC" w:sz="1"/>
              <w:bottom w:val="single" w:color="CCCCCC" w:sz="1"/>
              <w:right w:val="single" w:color="CCCCCC" w:sz="1"/>
            </w:tcBorders>
            <w:shd w:fill="E8F5E9" w:val="clear"/>
          </w:tcPr>
          <w:p>
            <w:pPr>
              <w:jc w:val="right"/>
            </w:pPr>
            <w:r>
              <w:rPr>
                <w:rFonts w:ascii="Arial" w:cs="Arial" w:eastAsia="Arial" w:hAnsi="Arial"/>
                <w:b/>
                <w:bCs/>
                <w:sz w:val="22"/>
                <w:szCs w:val="22"/>
              </w:rPr>
              <w:t xml:space="preserve">85%</w:t>
            </w:r>
          </w:p>
        </w:tc>
      </w:tr>
      <w:tr>
        <w:tc>
          <w:tcPr>
            <w:tcW w:type="dxa" w:w="5000"/>
            <w:tcBorders>
              <w:top w:val="single" w:color="CCCCCC" w:sz="1"/>
              <w:left w:val="single" w:color="CCCCCC" w:sz="1"/>
              <w:bottom w:val="single" w:color="CCCCCC" w:sz="1"/>
              <w:right w:val="single" w:color="CCCCCC" w:sz="1"/>
            </w:tcBorders>
            <w:shd w:fill="F5F5F5" w:val="clear"/>
          </w:tcPr>
          <w:p>
            <w:r>
              <w:rPr>
                <w:rFonts w:ascii="Arial" w:cs="Arial" w:eastAsia="Arial" w:hAnsi="Arial"/>
                <w:b/>
                <w:bCs/>
                <w:sz w:val="22"/>
                <w:szCs w:val="22"/>
              </w:rPr>
              <w:t xml:space="preserve">Profit Margins (Top Performers)</w:t>
            </w:r>
          </w:p>
        </w:tc>
        <w:tc>
          <w:tcPr>
            <w:tcW w:type="dxa" w:w="4360"/>
            <w:tcBorders>
              <w:top w:val="single" w:color="CCCCCC" w:sz="1"/>
              <w:left w:val="single" w:color="CCCCCC" w:sz="1"/>
              <w:bottom w:val="single" w:color="CCCCCC" w:sz="1"/>
              <w:right w:val="single" w:color="CCCCCC" w:sz="1"/>
            </w:tcBorders>
            <w:shd w:fill="E8F5E9" w:val="clear"/>
          </w:tcPr>
          <w:p>
            <w:pPr>
              <w:jc w:val="right"/>
            </w:pPr>
            <w:r>
              <w:rPr>
                <w:rFonts w:ascii="Arial" w:cs="Arial" w:eastAsia="Arial" w:hAnsi="Arial"/>
                <w:b/>
                <w:bCs/>
                <w:sz w:val="22"/>
                <w:szCs w:val="22"/>
              </w:rPr>
              <w:t xml:space="preserve">30%+ EBITDA</w:t>
            </w:r>
          </w:p>
        </w:tc>
      </w:tr>
    </w:tbl>
    <w:p>
      <w:pPr>
        <w:spacing w:after="60"/>
      </w:pPr>
    </w:p>
    <w:p>
      <w:pPr>
        <w:spacing w:after="120"/>
      </w:pPr>
      <w:r>
        <w:t xml:space="preserve">The target customer is the single-location, owner-operated medspa doing $1-5M in annual revenue with 5-15 employees. This represents approximately 81% of all US medspas. These owners are tech-savvy enough to use software but too busy to manually optimize their rebooking and retention workflows.</w:t>
      </w:r>
    </w:p>
    <w:p>
      <w:r>
        <w:br w:type="page"/>
      </w:r>
    </w:p>
    <w:p>
      <w:pPr>
        <w:pStyle w:val="Heading1"/>
      </w:pPr>
      <w:r>
        <w:t xml:space="preserve">3. The Problem (In Detail)</w:t>
      </w:r>
    </w:p>
    <w:p>
      <w:pPr>
        <w:pStyle w:val="Heading2"/>
      </w:pPr>
      <w:r>
        <w:t xml:space="preserve">3a. Revenue Leakage from Suboptimal Rebooking</w:t>
      </w:r>
    </w:p>
    <w:p>
      <w:pPr>
        <w:spacing w:after="120"/>
      </w:pPr>
      <w:r>
        <w:t xml:space="preserve">The single biggest revenue leak in any medspa is clients who do not return at the right time. This is not a scheduling problem — it is a treatment intelligence problem. Current booking systems send generic reminders ("It’s been 3 months since your last visit!") but they have no understanding of what the client had done, what the optimal return interval is for that specific treatment, or what the revenue impact of a missed rebooking window looks like.</w:t>
      </w:r>
    </w:p>
    <w:p>
      <w:pPr>
        <w:spacing w:after="60"/>
      </w:pPr>
    </w:p>
    <w:p>
      <w:pPr>
        <w:spacing w:after="120"/>
      </w:pPr>
      <w:r>
        <w:rPr>
          <w:b/>
          <w:bCs/>
        </w:rPr>
        <w:t xml:space="preserve">Example: </w:t>
      </w:r>
      <w:r>
        <w:t xml:space="preserve">A medspa with 200 active Botox clients who each spend $450 per session. If Botox lasts 12-16 weeks, the optimal annual frequency is 3-4 visits/year. If only 65% rebook (industry average), the medspa is losing $450 x 200 x 0.35 x 3.5 avg visits = $110,250/year in Botox revenue alone. Multiply across all treatment types and the total leakage can exceed $300K-500K annually for a mid-size practice.</w:t>
      </w:r>
    </w:p>
    <w:p>
      <w:pPr>
        <w:pStyle w:val="Heading2"/>
      </w:pPr>
      <w:r>
        <w:t xml:space="preserve">3b. Unpredictable Revenue and Booking Patterns</w:t>
      </w:r>
    </w:p>
    <w:p>
      <w:pPr>
        <w:spacing w:after="120"/>
      </w:pPr>
      <w:r>
        <w:t xml:space="preserve">Medspa owners consistently cite fluctuating monthly revenue and unpredictable booking patterns as their top operational challenge. Without a forward-looking pipeline view of which clients are due for what treatments and when, owners cannot forecast revenue, plan staffing, or manage inventory (especially for injectables which have shelf-life constraints).</w:t>
      </w:r>
    </w:p>
    <w:p>
      <w:pPr>
        <w:pStyle w:val="Heading2"/>
      </w:pPr>
      <w:r>
        <w:t xml:space="preserve">3c. Fragmented Tech Stacks</w:t>
      </w:r>
    </w:p>
    <w:p>
      <w:pPr>
        <w:spacing w:after="120"/>
      </w:pPr>
      <w:r>
        <w:t xml:space="preserve">Most small-to-mid-size medspas use a Frankenstein collection of tools: one system for scheduling, another for EMR/charting, a separate tool for marketing emails, a different platform for reviews, and spreadsheets for everything else. The data that would enable intelligent rebooking is scattered across 3-5 disconnected systems.</w:t>
      </w:r>
    </w:p>
    <w:p>
      <w:r>
        <w:br w:type="page"/>
      </w:r>
    </w:p>
    <w:p>
      <w:pPr>
        <w:pStyle w:val="Heading1"/>
      </w:pPr>
      <w:r>
        <w:t xml:space="preserve">4. Competitive Landscape</w:t>
      </w:r>
    </w:p>
    <w:p>
      <w:pPr>
        <w:pStyle w:val="Heading2"/>
      </w:pPr>
      <w:r>
        <w:t xml:space="preserve">4a. Existing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5E20" w:val="clear"/>
          </w:tcPr>
          <w:p>
            <w:r>
              <w:rPr>
                <w:rFonts w:ascii="Arial" w:cs="Arial" w:eastAsia="Arial" w:hAnsi="Arial"/>
                <w:b/>
                <w:bCs/>
                <w:color w:val="FFFFFF"/>
                <w:sz w:val="20"/>
                <w:szCs w:val="20"/>
              </w:rPr>
              <w:t xml:space="preserve">Competitor</w:t>
            </w:r>
          </w:p>
        </w:tc>
        <w:tc>
          <w:tcPr>
            <w:tcW w:type="dxa" w:w="2500"/>
            <w:tcBorders>
              <w:top w:val="single" w:color="CCCCCC" w:sz="1"/>
              <w:left w:val="single" w:color="CCCCCC" w:sz="1"/>
              <w:bottom w:val="single" w:color="CCCCCC" w:sz="1"/>
              <w:right w:val="single" w:color="CCCCCC" w:sz="1"/>
            </w:tcBorders>
            <w:shd w:fill="1B5E20" w:val="clear"/>
          </w:tcPr>
          <w:p>
            <w:r>
              <w:rPr>
                <w:rFonts w:ascii="Arial" w:cs="Arial" w:eastAsia="Arial" w:hAnsi="Arial"/>
                <w:b/>
                <w:bCs/>
                <w:color w:val="FFFFFF"/>
                <w:sz w:val="20"/>
                <w:szCs w:val="20"/>
              </w:rPr>
              <w:t xml:space="preserve">What They Do</w:t>
            </w:r>
          </w:p>
        </w:tc>
        <w:tc>
          <w:tcPr>
            <w:tcW w:type="dxa" w:w="2500"/>
            <w:tcBorders>
              <w:top w:val="single" w:color="CCCCCC" w:sz="1"/>
              <w:left w:val="single" w:color="CCCCCC" w:sz="1"/>
              <w:bottom w:val="single" w:color="CCCCCC" w:sz="1"/>
              <w:right w:val="single" w:color="CCCCCC" w:sz="1"/>
            </w:tcBorders>
            <w:shd w:fill="1B5E20" w:val="clear"/>
          </w:tcPr>
          <w:p>
            <w:r>
              <w:rPr>
                <w:rFonts w:ascii="Arial" w:cs="Arial" w:eastAsia="Arial" w:hAnsi="Arial"/>
                <w:b/>
                <w:bCs/>
                <w:color w:val="FFFFFF"/>
                <w:sz w:val="20"/>
                <w:szCs w:val="20"/>
              </w:rPr>
              <w:t xml:space="preserve">What They Miss</w:t>
            </w:r>
          </w:p>
        </w:tc>
        <w:tc>
          <w:tcPr>
            <w:tcW w:type="dxa" w:w="2360"/>
            <w:tcBorders>
              <w:top w:val="single" w:color="CCCCCC" w:sz="1"/>
              <w:left w:val="single" w:color="CCCCCC" w:sz="1"/>
              <w:bottom w:val="single" w:color="CCCCCC" w:sz="1"/>
              <w:right w:val="single" w:color="CCCCCC" w:sz="1"/>
            </w:tcBorders>
            <w:shd w:fill="1B5E20" w:val="clear"/>
          </w:tcPr>
          <w:p>
            <w:r>
              <w:rPr>
                <w:rFonts w:ascii="Arial" w:cs="Arial" w:eastAsia="Arial" w:hAnsi="Arial"/>
                <w:b/>
                <w:bCs/>
                <w:color w:val="FFFFFF"/>
                <w:sz w:val="20"/>
                <w:szCs w:val="20"/>
              </w:rPr>
              <w:t xml:space="preserve">Pricing</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Zenoti</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All-in-one EMR + scheduling + marketing + POS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Enterprise pricing, complex setup, no treatment pathway AI</w:t>
            </w:r>
          </w:p>
        </w:tc>
        <w:tc>
          <w:tcPr>
            <w:tcW w:type="dxa" w:w="2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$200-500+/mo</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BoomerangFX</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EMR + lead management + retention campaigns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Generic retention, no treatment-specific rebooking intelligence</w:t>
            </w:r>
          </w:p>
        </w:tc>
        <w:tc>
          <w:tcPr>
            <w:tcW w:type="dxa" w:w="2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$300+/mo</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Moxie</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Patient retention + rebooking automation</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Closest competitor; still rule-based, not AI treatment-aware</w:t>
            </w:r>
          </w:p>
        </w:tc>
        <w:tc>
          <w:tcPr>
            <w:tcW w:type="dxa" w:w="2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Custom pricing</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Boulevard</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Luxury booking + client experience</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Focused on booking UX, minimal retention intelligence</w:t>
            </w:r>
          </w:p>
        </w:tc>
        <w:tc>
          <w:tcPr>
            <w:tcW w:type="dxa" w:w="2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$158+/mo/location</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GlossGenius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Booking + payments + basic marketing</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Built for salons first, medspa features are bolt-on</w:t>
            </w:r>
          </w:p>
        </w:tc>
        <w:tc>
          <w:tcPr>
            <w:tcW w:type="dxa" w:w="2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$24-48/mo</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Zoca</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AI marketing agents for discovery + booking</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Marketing-focused, no clinical treatment pathway logic</w:t>
            </w:r>
          </w:p>
        </w:tc>
        <w:tc>
          <w:tcPr>
            <w:tcW w:type="dxa" w:w="2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Custom pricing</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AestheticsPro</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HIPAA EMR + clinical documentation</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Pure clinical tool, no revenue optimization layer</w:t>
            </w:r>
          </w:p>
        </w:tc>
        <w:tc>
          <w:tcPr>
            <w:tcW w:type="dxa" w:w="2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Custom pricing</w:t>
            </w:r>
          </w:p>
        </w:tc>
      </w:tr>
    </w:tbl>
    <w:p>
      <w:pPr>
        <w:spacing w:after="60"/>
      </w:pPr>
    </w:p>
    <w:p>
      <w:pPr>
        <w:pStyle w:val="Heading2"/>
      </w:pPr>
      <w:r>
        <w:t xml:space="preserve">4b. The Gap We Own</w:t>
      </w:r>
    </w:p>
    <w:p>
      <w:pPr>
        <w:spacing w:after="120"/>
      </w:pPr>
      <w:r>
        <w:t xml:space="preserve">No existing tool combines all three of these capabilities in one mobile-first package designed for single-location medspa owners:</w:t>
      </w:r>
    </w:p>
    <w:p>
      <w:pPr>
        <w:pStyle w:val="ListParagraph"/>
        <w:numPr>
          <w:ilvl w:val="0"/>
          <w:numId w:val="2"/>
        </w:numPr>
        <w:spacing w:after="80"/>
      </w:pPr>
      <w:r>
        <w:rPr>
          <w:rFonts w:ascii="Arial" w:cs="Arial" w:eastAsia="Arial" w:hAnsi="Arial"/>
        </w:rPr>
        <w:t xml:space="preserve">Treatment Pathway Intelligence — AI that understands each treatment type’s optimal rebooking cadence and personalizes outreach timing per client</w:t>
      </w:r>
    </w:p>
    <w:p>
      <w:pPr>
        <w:pStyle w:val="ListParagraph"/>
        <w:numPr>
          <w:ilvl w:val="0"/>
          <w:numId w:val="2"/>
        </w:numPr>
        <w:spacing w:after="80"/>
      </w:pPr>
      <w:r>
        <w:rPr>
          <w:rFonts w:ascii="Arial" w:cs="Arial" w:eastAsia="Arial" w:hAnsi="Arial"/>
        </w:rPr>
        <w:t xml:space="preserve">Revenue Pipeline Forecasting — A forward-looking view of expected revenue based on which clients are due for which treatments in the next 30/60/90 days</w:t>
      </w:r>
    </w:p>
    <w:p>
      <w:pPr>
        <w:pStyle w:val="ListParagraph"/>
        <w:numPr>
          <w:ilvl w:val="0"/>
          <w:numId w:val="2"/>
        </w:numPr>
        <w:spacing w:after="80"/>
      </w:pPr>
      <w:r>
        <w:rPr>
          <w:rFonts w:ascii="Arial" w:cs="Arial" w:eastAsia="Arial" w:hAnsi="Arial"/>
        </w:rPr>
        <w:t xml:space="preserve">AI-Timed Review Generation — Detecting the optimal moment to request a review (post-positive-experience signals) and routing unhappy clients to private feedback</w:t>
      </w:r>
    </w:p>
    <w:p>
      <w:r>
        <w:br w:type="page"/>
      </w:r>
    </w:p>
    <w:p>
      <w:pPr>
        <w:pStyle w:val="Heading1"/>
      </w:pPr>
      <w:r>
        <w:t xml:space="preserve">5. Product Concept</w:t>
      </w:r>
    </w:p>
    <w:p>
      <w:pPr>
        <w:pStyle w:val="Heading2"/>
      </w:pPr>
      <w:r>
        <w:t xml:space="preserve">5a. Core Features (MVP)</w:t>
      </w:r>
    </w:p>
    <w:p>
      <w:pPr>
        <w:spacing w:after="120"/>
      </w:pPr>
      <w:r>
        <w:rPr>
          <w:b/>
          <w:bCs/>
        </w:rPr>
        <w:t xml:space="preserve">Treatment Pathway Engine</w:t>
      </w:r>
    </w:p>
    <w:p>
      <w:pPr>
        <w:pStyle w:val="ListParagraph"/>
        <w:numPr>
          <w:ilvl w:val="0"/>
          <w:numId w:val="3"/>
        </w:numPr>
        <w:spacing w:after="60"/>
      </w:pPr>
      <w:r>
        <w:t xml:space="preserve">Pre-built treatment cadence templates: Botox (12-16 weeks), Dermal Fillers (6-12 months), Laser Hair Removal (4-6 weeks x 6-8 sessions), Chemical Peels (4-6 weeks), Microneedling (4-6 weeks x 3-6 sessions), HydraFacial (monthly)</w:t>
      </w:r>
    </w:p>
    <w:p>
      <w:pPr>
        <w:pStyle w:val="ListParagraph"/>
        <w:numPr>
          <w:ilvl w:val="0"/>
          <w:numId w:val="3"/>
        </w:numPr>
        <w:spacing w:after="60"/>
      </w:pPr>
      <w:r>
        <w:t xml:space="preserve">Per-client treatment timeline showing past treatments, current status, and next optimal appointment window</w:t>
      </w:r>
    </w:p>
    <w:p>
      <w:pPr>
        <w:pStyle w:val="ListParagraph"/>
        <w:numPr>
          <w:ilvl w:val="0"/>
          <w:numId w:val="3"/>
        </w:numPr>
        <w:spacing w:after="60"/>
      </w:pPr>
      <w:r>
        <w:t xml:space="preserve">AI adjusts timing based on client-specific factors (e.g., if a Botox client consistently returns at 14 weeks, the system learns their metabolism pattern)</w:t>
      </w:r>
    </w:p>
    <w:p>
      <w:pPr>
        <w:spacing w:after="60"/>
      </w:pPr>
    </w:p>
    <w:p>
      <w:pPr>
        <w:spacing w:after="120"/>
      </w:pPr>
      <w:r>
        <w:rPr>
          <w:b/>
          <w:bCs/>
        </w:rPr>
        <w:t xml:space="preserve">Revenue Pipeline Dashboard</w:t>
      </w:r>
    </w:p>
    <w:p>
      <w:pPr>
        <w:pStyle w:val="ListParagraph"/>
        <w:numPr>
          <w:ilvl w:val="0"/>
          <w:numId w:val="3"/>
        </w:numPr>
        <w:spacing w:after="60"/>
      </w:pPr>
      <w:r>
        <w:t xml:space="preserve">30/60/90 day forward revenue forecast based on treatment pathways</w:t>
      </w:r>
    </w:p>
    <w:p>
      <w:pPr>
        <w:pStyle w:val="ListParagraph"/>
        <w:numPr>
          <w:ilvl w:val="0"/>
          <w:numId w:val="3"/>
        </w:numPr>
        <w:spacing w:after="60"/>
      </w:pPr>
      <w:r>
        <w:t xml:space="preserve">"Revenue at risk" alerts: clients past their optimal rebooking window</w:t>
      </w:r>
    </w:p>
    <w:p>
      <w:pPr>
        <w:pStyle w:val="ListParagraph"/>
        <w:numPr>
          <w:ilvl w:val="0"/>
          <w:numId w:val="3"/>
        </w:numPr>
        <w:spacing w:after="60"/>
      </w:pPr>
      <w:r>
        <w:t xml:space="preserve">Client lifetime value tracking with treatment-level attribution</w:t>
      </w:r>
    </w:p>
    <w:p>
      <w:pPr>
        <w:pStyle w:val="ListParagraph"/>
        <w:numPr>
          <w:ilvl w:val="0"/>
          <w:numId w:val="3"/>
        </w:numPr>
        <w:spacing w:after="60"/>
      </w:pPr>
      <w:r>
        <w:t xml:space="preserve">Morning briefing: today’s appointments, this week’s rebooking opportunities, lapsed clients to re-engage</w:t>
      </w:r>
    </w:p>
    <w:p>
      <w:pPr>
        <w:spacing w:after="60"/>
      </w:pPr>
    </w:p>
    <w:p>
      <w:pPr>
        <w:spacing w:after="120"/>
      </w:pPr>
      <w:r>
        <w:rPr>
          <w:b/>
          <w:bCs/>
        </w:rPr>
        <w:t xml:space="preserve">Smart Rebooking Outreach</w:t>
      </w:r>
    </w:p>
    <w:p>
      <w:pPr>
        <w:pStyle w:val="ListParagraph"/>
        <w:numPr>
          <w:ilvl w:val="0"/>
          <w:numId w:val="3"/>
        </w:numPr>
        <w:spacing w:after="60"/>
      </w:pPr>
      <w:r>
        <w:t xml:space="preserve">AI-generated, personalized rebooking messages sent at the optimal window</w:t>
      </w:r>
    </w:p>
    <w:p>
      <w:pPr>
        <w:pStyle w:val="ListParagraph"/>
        <w:numPr>
          <w:ilvl w:val="0"/>
          <w:numId w:val="3"/>
        </w:numPr>
        <w:spacing w:after="60"/>
      </w:pPr>
      <w:r>
        <w:t xml:space="preserve">Multi-channel: SMS, email, or push notification based on client preference</w:t>
      </w:r>
    </w:p>
    <w:p>
      <w:pPr>
        <w:pStyle w:val="ListParagraph"/>
        <w:numPr>
          <w:ilvl w:val="0"/>
          <w:numId w:val="3"/>
        </w:numPr>
        <w:spacing w:after="60"/>
      </w:pPr>
      <w:r>
        <w:t xml:space="preserve">Messages reference the specific treatment and explain why now is the right time</w:t>
      </w:r>
    </w:p>
    <w:p>
      <w:pPr>
        <w:pStyle w:val="ListParagraph"/>
        <w:numPr>
          <w:ilvl w:val="0"/>
          <w:numId w:val="3"/>
        </w:numPr>
        <w:spacing w:after="60"/>
      </w:pPr>
      <w:r>
        <w:t xml:space="preserve">One-tap rebooking link that goes directly to available slots</w:t>
      </w:r>
    </w:p>
    <w:p>
      <w:pPr>
        <w:spacing w:after="60"/>
      </w:pPr>
    </w:p>
    <w:p>
      <w:pPr>
        <w:spacing w:after="120"/>
      </w:pPr>
      <w:r>
        <w:rPr>
          <w:b/>
          <w:bCs/>
        </w:rPr>
        <w:t xml:space="preserve">Review Harvest Module</w:t>
      </w:r>
    </w:p>
    <w:p>
      <w:pPr>
        <w:pStyle w:val="ListParagraph"/>
        <w:numPr>
          <w:ilvl w:val="0"/>
          <w:numId w:val="3"/>
        </w:numPr>
        <w:spacing w:after="60"/>
      </w:pPr>
      <w:r>
        <w:t xml:space="preserve">Detects positive experience signals (immediate rebooking, high tip, membership purchase, complimentary feedback in notes)</w:t>
      </w:r>
    </w:p>
    <w:p>
      <w:pPr>
        <w:pStyle w:val="ListParagraph"/>
        <w:numPr>
          <w:ilvl w:val="0"/>
          <w:numId w:val="3"/>
        </w:numPr>
        <w:spacing w:after="60"/>
      </w:pPr>
      <w:r>
        <w:t xml:space="preserve">Sends personalized review request at the optimal moment with direct Google/Yelp link</w:t>
      </w:r>
    </w:p>
    <w:p>
      <w:pPr>
        <w:pStyle w:val="ListParagraph"/>
        <w:numPr>
          <w:ilvl w:val="0"/>
          <w:numId w:val="3"/>
        </w:numPr>
        <w:spacing w:after="60"/>
      </w:pPr>
      <w:r>
        <w:t xml:space="preserve">Sentiment pre-screening: routes likely negative feedback to private channel before it becomes a public review</w:t>
      </w:r>
    </w:p>
    <w:p>
      <w:r>
        <w:br w:type="page"/>
      </w:r>
    </w:p>
    <w:p>
      <w:pPr>
        <w:pStyle w:val="Heading2"/>
      </w:pPr>
      <w:r>
        <w:t xml:space="preserve">5b. Integration Strategy</w:t>
      </w:r>
    </w:p>
    <w:p>
      <w:pPr>
        <w:spacing w:after="120"/>
      </w:pPr>
      <w:r>
        <w:t xml:space="preserve">The app does NOT require the medspa to switch their existing systems. It integrates as a layer on top via API connections to the most common platforms:</w:t>
      </w:r>
    </w:p>
    <w:p>
      <w:pPr>
        <w:pStyle w:val="ListParagraph"/>
        <w:numPr>
          <w:ilvl w:val="0"/>
          <w:numId w:val="3"/>
        </w:numPr>
        <w:spacing w:after="60"/>
      </w:pPr>
      <w:r>
        <w:t xml:space="preserve">Scheduling/EMR: Zenoti, Boulevard, Jane App, AestheticsPro (API or webhook)</w:t>
      </w:r>
    </w:p>
    <w:p>
      <w:pPr>
        <w:pStyle w:val="ListParagraph"/>
        <w:numPr>
          <w:ilvl w:val="0"/>
          <w:numId w:val="3"/>
        </w:numPr>
        <w:spacing w:after="60"/>
      </w:pPr>
      <w:r>
        <w:t xml:space="preserve">Communication: Twilio (SMS), SendGrid (email)</w:t>
      </w:r>
    </w:p>
    <w:p>
      <w:pPr>
        <w:pStyle w:val="ListParagraph"/>
        <w:numPr>
          <w:ilvl w:val="0"/>
          <w:numId w:val="3"/>
        </w:numPr>
        <w:spacing w:after="60"/>
      </w:pPr>
      <w:r>
        <w:t xml:space="preserve">Reviews: Google Business Profile API, Yelp API</w:t>
      </w:r>
    </w:p>
    <w:p>
      <w:pPr>
        <w:pStyle w:val="ListParagraph"/>
        <w:numPr>
          <w:ilvl w:val="0"/>
          <w:numId w:val="3"/>
        </w:numPr>
        <w:spacing w:after="60"/>
      </w:pPr>
      <w:r>
        <w:t xml:space="preserve">Fallback: CSV import for practices using non-API systems</w:t>
      </w:r>
    </w:p>
    <w:p>
      <w:pPr>
        <w:spacing w:after="60"/>
      </w:pPr>
    </w:p>
    <w:p>
      <w:pPr>
        <w:spacing w:after="120"/>
      </w:pPr>
      <w:r>
        <w:t xml:space="preserve">For MVP, we start with manual CSV import + one primary integration (likely Boulevard or GlossGenius, as they have the most accessible APIs for smaller practices).</w:t>
      </w:r>
    </w:p>
    <w:p>
      <w:r>
        <w:br w:type="page"/>
      </w:r>
    </w:p>
    <w:p>
      <w:pPr>
        <w:pStyle w:val="Heading1"/>
      </w:pPr>
      <w:r>
        <w:t xml:space="preserve">6. Monetization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5E20" w:val="clear"/>
          </w:tcPr>
          <w:p>
            <w:r>
              <w:rPr>
                <w:rFonts w:ascii="Arial" w:cs="Arial" w:eastAsia="Arial" w:hAnsi="Arial"/>
                <w:b/>
                <w:bCs/>
                <w:color w:val="FFFFFF"/>
                <w:sz w:val="20"/>
                <w:szCs w:val="20"/>
              </w:rPr>
              <w:t xml:space="preserve">Tier</w:t>
            </w:r>
          </w:p>
        </w:tc>
        <w:tc>
          <w:tcPr>
            <w:tcW w:type="dxa" w:w="3580"/>
            <w:tcBorders>
              <w:top w:val="single" w:color="CCCCCC" w:sz="1"/>
              <w:left w:val="single" w:color="CCCCCC" w:sz="1"/>
              <w:bottom w:val="single" w:color="CCCCCC" w:sz="1"/>
              <w:right w:val="single" w:color="CCCCCC" w:sz="1"/>
            </w:tcBorders>
            <w:shd w:fill="1B5E20" w:val="clear"/>
          </w:tcPr>
          <w:p>
            <w:r>
              <w:rPr>
                <w:rFonts w:ascii="Arial" w:cs="Arial" w:eastAsia="Arial" w:hAnsi="Arial"/>
                <w:b/>
                <w:bCs/>
                <w:color w:val="FFFFFF"/>
                <w:sz w:val="20"/>
                <w:szCs w:val="20"/>
              </w:rPr>
              <w:t xml:space="preserve">Includes</w:t>
            </w:r>
          </w:p>
        </w:tc>
        <w:tc>
          <w:tcPr>
            <w:tcW w:type="dxa" w:w="3580"/>
            <w:tcBorders>
              <w:top w:val="single" w:color="CCCCCC" w:sz="1"/>
              <w:left w:val="single" w:color="CCCCCC" w:sz="1"/>
              <w:bottom w:val="single" w:color="CCCCCC" w:sz="1"/>
              <w:right w:val="single" w:color="CCCCCC" w:sz="1"/>
            </w:tcBorders>
            <w:shd w:fill="1B5E20" w:val="clear"/>
          </w:tcPr>
          <w:p>
            <w:r>
              <w:rPr>
                <w:rFonts w:ascii="Arial" w:cs="Arial" w:eastAsia="Arial" w:hAnsi="Arial"/>
                <w:b/>
                <w:bCs/>
                <w:color w:val="FFFFFF"/>
                <w:sz w:val="20"/>
                <w:szCs w:val="20"/>
              </w:rPr>
              <w:t xml:space="preserve">Price</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Starter</w:t>
            </w:r>
          </w:p>
        </w:tc>
        <w:tc>
          <w:tcPr>
            <w:tcW w:type="dxa" w:w="35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Treatment pathway tracking for up to 100 clients, revenue dashboard, basic rebooking reminders</w:t>
            </w:r>
          </w:p>
        </w:tc>
        <w:tc>
          <w:tcPr>
            <w:tcW w:type="dxa" w:w="358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$99/month</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Growth</w:t>
            </w:r>
          </w:p>
        </w:tc>
        <w:tc>
          <w:tcPr>
            <w:tcW w:type="dxa" w:w="35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Unlimited clients, AI-personalized outreach, review harvest module, revenue forecasting</w:t>
            </w:r>
          </w:p>
        </w:tc>
        <w:tc>
          <w:tcPr>
            <w:tcW w:type="dxa" w:w="358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$249/month</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Pro</w:t>
            </w:r>
          </w:p>
        </w:tc>
        <w:tc>
          <w:tcPr>
            <w:tcW w:type="dxa" w:w="35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Multi-location, team dashboards, custom treatment protocols, priority API integrations, white-glove onboarding</w:t>
            </w:r>
          </w:p>
        </w:tc>
        <w:tc>
          <w:tcPr>
            <w:tcW w:type="dxa" w:w="358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$499/month</w:t>
            </w:r>
          </w:p>
        </w:tc>
      </w:tr>
    </w:tbl>
    <w:p>
      <w:pPr>
        <w:spacing w:after="60"/>
      </w:pPr>
    </w:p>
    <w:p>
      <w:pPr>
        <w:pStyle w:val="Heading2"/>
      </w:pPr>
      <w:r>
        <w:t xml:space="preserve">6a. Revenue Projections (Conservative)</w:t>
      </w:r>
    </w:p>
    <w:p>
      <w:pPr>
        <w:spacing w:after="120"/>
      </w:pPr>
      <w:r>
        <w:t xml:space="preserve">Assuming we capture just 1% of the ~12,000 US medspa market (120 customers) at an average of $199/month:</w:t>
      </w:r>
    </w:p>
    <w:p>
      <w:pPr>
        <w:pStyle w:val="ListParagraph"/>
        <w:numPr>
          <w:ilvl w:val="0"/>
          <w:numId w:val="3"/>
        </w:numPr>
        <w:spacing w:after="60"/>
      </w:pPr>
      <w:r>
        <w:t xml:space="preserve">Year 1 target: 50 paying customers = $9,950/month MRR ($119K ARR)</w:t>
      </w:r>
    </w:p>
    <w:p>
      <w:pPr>
        <w:pStyle w:val="ListParagraph"/>
        <w:numPr>
          <w:ilvl w:val="0"/>
          <w:numId w:val="3"/>
        </w:numPr>
        <w:spacing w:after="60"/>
      </w:pPr>
      <w:r>
        <w:t xml:space="preserve">Year 2 target: 200 paying customers = $39,800/month MRR ($478K ARR)</w:t>
      </w:r>
    </w:p>
    <w:p>
      <w:pPr>
        <w:pStyle w:val="ListParagraph"/>
        <w:numPr>
          <w:ilvl w:val="0"/>
          <w:numId w:val="3"/>
        </w:numPr>
        <w:spacing w:after="60"/>
      </w:pPr>
      <w:r>
        <w:t xml:space="preserve">Year 3 target: 500 paying customers = $99,500/month MRR ($1.19M ARR)</w:t>
      </w:r>
    </w:p>
    <w:p>
      <w:pPr>
        <w:spacing w:after="60"/>
      </w:pPr>
    </w:p>
    <w:p>
      <w:pPr>
        <w:spacing w:after="120"/>
      </w:pPr>
      <w:r>
        <w:t xml:space="preserve">The ROI pitch to customers: if the app helps a medspa rebook just 5 additional clients per month at $530 average spend, that is $2,650/month in recovered revenue — a 10x+ return on the $249/month subscription.</w:t>
      </w:r>
    </w:p>
    <w:p>
      <w:r>
        <w:br w:type="page"/>
      </w:r>
    </w:p>
    <w:p>
      <w:pPr>
        <w:pStyle w:val="Heading1"/>
      </w:pPr>
      <w:r>
        <w:t xml:space="preserve">7. Go-to-Market Strategy</w:t>
      </w:r>
    </w:p>
    <w:p>
      <w:pPr>
        <w:pStyle w:val="Heading2"/>
      </w:pPr>
      <w:r>
        <w:t xml:space="preserve">7a. Phase 1: Validation (Weeks 1-4)</w:t>
      </w:r>
    </w:p>
    <w:p>
      <w:pPr>
        <w:pStyle w:val="ListParagraph"/>
        <w:numPr>
          <w:ilvl w:val="0"/>
          <w:numId w:val="2"/>
        </w:numPr>
        <w:spacing w:after="80"/>
      </w:pPr>
      <w:r>
        <w:t xml:space="preserve">Join 5-10 medspa owner Facebook groups and engage authentically</w:t>
      </w:r>
    </w:p>
    <w:p>
      <w:pPr>
        <w:pStyle w:val="ListParagraph"/>
        <w:numPr>
          <w:ilvl w:val="0"/>
          <w:numId w:val="2"/>
        </w:numPr>
        <w:spacing w:after="80"/>
      </w:pPr>
      <w:r>
        <w:t xml:space="preserve">Post a problem-validation survey: "What percentage of your Botox clients rebook within 16 weeks?"</w:t>
      </w:r>
    </w:p>
    <w:p>
      <w:pPr>
        <w:pStyle w:val="ListParagraph"/>
        <w:numPr>
          <w:ilvl w:val="0"/>
          <w:numId w:val="2"/>
        </w:numPr>
        <w:spacing w:after="80"/>
      </w:pPr>
      <w:r>
        <w:t xml:space="preserve">DM 20-30 medspa owners and offer a free 15-minute "revenue leak audit"</w:t>
      </w:r>
    </w:p>
    <w:p>
      <w:pPr>
        <w:pStyle w:val="ListParagraph"/>
        <w:numPr>
          <w:ilvl w:val="0"/>
          <w:numId w:val="2"/>
        </w:numPr>
        <w:spacing w:after="80"/>
      </w:pPr>
      <w:r>
        <w:t xml:space="preserve">Document the exact pain points and willingness-to-pay signals</w:t>
      </w:r>
    </w:p>
    <w:p>
      <w:pPr>
        <w:pStyle w:val="ListParagraph"/>
        <w:numPr>
          <w:ilvl w:val="0"/>
          <w:numId w:val="2"/>
        </w:numPr>
        <w:spacing w:after="80"/>
      </w:pPr>
      <w:r>
        <w:t xml:space="preserve">Build landing page with waitlist and measure signup conversion</w:t>
      </w:r>
    </w:p>
    <w:p>
      <w:pPr>
        <w:pStyle w:val="Heading2"/>
      </w:pPr>
      <w:r>
        <w:t xml:space="preserve">7b. Phase 2: MVP Build (Weeks 5-10)</w:t>
      </w:r>
    </w:p>
    <w:p>
      <w:pPr>
        <w:pStyle w:val="ListParagraph"/>
        <w:numPr>
          <w:ilvl w:val="0"/>
          <w:numId w:val="2"/>
        </w:numPr>
        <w:spacing w:after="80"/>
      </w:pPr>
      <w:r>
        <w:t xml:space="preserve">Build React Native prototype (fastest path to iOS + future Android)</w:t>
      </w:r>
    </w:p>
    <w:p>
      <w:pPr>
        <w:pStyle w:val="ListParagraph"/>
        <w:numPr>
          <w:ilvl w:val="0"/>
          <w:numId w:val="2"/>
        </w:numPr>
        <w:spacing w:after="80"/>
      </w:pPr>
      <w:r>
        <w:t xml:space="preserve">MVP scope: CSV import, treatment pathway templates, rebooking dashboard, basic SMS outreach via Twilio</w:t>
      </w:r>
    </w:p>
    <w:p>
      <w:pPr>
        <w:pStyle w:val="ListParagraph"/>
        <w:numPr>
          <w:ilvl w:val="0"/>
          <w:numId w:val="2"/>
        </w:numPr>
        <w:spacing w:after="80"/>
      </w:pPr>
      <w:r>
        <w:t xml:space="preserve">Skip: API integrations, review module, AI personalization (add these post-validation)</w:t>
      </w:r>
    </w:p>
    <w:p>
      <w:pPr>
        <w:pStyle w:val="ListParagraph"/>
        <w:numPr>
          <w:ilvl w:val="0"/>
          <w:numId w:val="2"/>
        </w:numPr>
        <w:spacing w:after="80"/>
      </w:pPr>
      <w:r>
        <w:t xml:space="preserve">Onboard 5-10 beta medspas from the validation phase for free in exchange for feedback</w:t>
      </w:r>
    </w:p>
    <w:p>
      <w:pPr>
        <w:pStyle w:val="Heading2"/>
      </w:pPr>
      <w:r>
        <w:t xml:space="preserve">7c. Phase 3: Launch and Distribution (Weeks 11-16)</w:t>
      </w:r>
    </w:p>
    <w:p>
      <w:pPr>
        <w:pStyle w:val="ListParagraph"/>
        <w:numPr>
          <w:ilvl w:val="0"/>
          <w:numId w:val="2"/>
        </w:numPr>
        <w:spacing w:after="80"/>
      </w:pPr>
      <w:r>
        <w:t xml:space="preserve">Content marketing: TikTok/Instagram Reels targeting medspa owners with "revenue leak" educational content</w:t>
      </w:r>
    </w:p>
    <w:p>
      <w:pPr>
        <w:pStyle w:val="ListParagraph"/>
        <w:numPr>
          <w:ilvl w:val="0"/>
          <w:numId w:val="2"/>
        </w:numPr>
        <w:spacing w:after="80"/>
      </w:pPr>
      <w:r>
        <w:t xml:space="preserve">American Med Spa Association (AmSpa) community engagement and potential event sponsorship</w:t>
      </w:r>
    </w:p>
    <w:p>
      <w:pPr>
        <w:pStyle w:val="ListParagraph"/>
        <w:numPr>
          <w:ilvl w:val="0"/>
          <w:numId w:val="2"/>
        </w:numPr>
        <w:spacing w:after="80"/>
      </w:pPr>
      <w:r>
        <w:t xml:space="preserve">Product Hunt launch for initial visibility in the SaaS community</w:t>
      </w:r>
    </w:p>
    <w:p>
      <w:pPr>
        <w:pStyle w:val="ListParagraph"/>
        <w:numPr>
          <w:ilvl w:val="0"/>
          <w:numId w:val="2"/>
        </w:numPr>
        <w:spacing w:after="80"/>
      </w:pPr>
      <w:r>
        <w:t xml:space="preserve">Direct outreach to medspa owners via cold email (leveraging LeadSecure agency infrastructure)</w:t>
      </w:r>
    </w:p>
    <w:p>
      <w:pPr>
        <w:pStyle w:val="ListParagraph"/>
        <w:numPr>
          <w:ilvl w:val="0"/>
          <w:numId w:val="2"/>
        </w:numPr>
        <w:spacing w:after="80"/>
      </w:pPr>
      <w:r>
        <w:t xml:space="preserve">Referral program: 1 month free for every medspa owner referred who subscribes</w:t>
      </w:r>
    </w:p>
    <w:p>
      <w:r>
        <w:br w:type="page"/>
      </w:r>
    </w:p>
    <w:p>
      <w:pPr>
        <w:pStyle w:val="Heading1"/>
      </w:pPr>
      <w:r>
        <w:t xml:space="preserve">8. Technical Architecture (High Level)</w:t>
      </w:r>
    </w:p>
    <w:p>
      <w:pPr>
        <w:pStyle w:val="ListParagraph"/>
        <w:numPr>
          <w:ilvl w:val="0"/>
          <w:numId w:val="3"/>
        </w:numPr>
        <w:spacing w:after="60"/>
      </w:pPr>
      <w:r>
        <w:t xml:space="preserve">Frontend: React Native (iOS-first, Android future)</w:t>
      </w:r>
    </w:p>
    <w:p>
      <w:pPr>
        <w:pStyle w:val="ListParagraph"/>
        <w:numPr>
          <w:ilvl w:val="0"/>
          <w:numId w:val="3"/>
        </w:numPr>
        <w:spacing w:after="60"/>
      </w:pPr>
      <w:r>
        <w:t xml:space="preserve">Backend: FastAPI (Python) on Hetzner VPS or Railway</w:t>
      </w:r>
    </w:p>
    <w:p>
      <w:pPr>
        <w:pStyle w:val="ListParagraph"/>
        <w:numPr>
          <w:ilvl w:val="0"/>
          <w:numId w:val="3"/>
        </w:numPr>
        <w:spacing w:after="60"/>
      </w:pPr>
      <w:r>
        <w:t xml:space="preserve">Database: PostgreSQL (client records, treatment history, pathway templates)</w:t>
      </w:r>
    </w:p>
    <w:p>
      <w:pPr>
        <w:pStyle w:val="ListParagraph"/>
        <w:numPr>
          <w:ilvl w:val="0"/>
          <w:numId w:val="3"/>
        </w:numPr>
        <w:spacing w:after="60"/>
      </w:pPr>
      <w:r>
        <w:t xml:space="preserve">AI/ML: OpenRouter for LLM-powered message generation; custom treatment cadence model</w:t>
      </w:r>
    </w:p>
    <w:p>
      <w:pPr>
        <w:pStyle w:val="ListParagraph"/>
        <w:numPr>
          <w:ilvl w:val="0"/>
          <w:numId w:val="3"/>
        </w:numPr>
        <w:spacing w:after="60"/>
      </w:pPr>
      <w:r>
        <w:t xml:space="preserve">SMS: Twilio</w:t>
      </w:r>
    </w:p>
    <w:p>
      <w:pPr>
        <w:pStyle w:val="ListParagraph"/>
        <w:numPr>
          <w:ilvl w:val="0"/>
          <w:numId w:val="3"/>
        </w:numPr>
        <w:spacing w:after="60"/>
      </w:pPr>
      <w:r>
        <w:t xml:space="preserve">Email: SendGrid or Resend</w:t>
      </w:r>
    </w:p>
    <w:p>
      <w:pPr>
        <w:pStyle w:val="ListParagraph"/>
        <w:numPr>
          <w:ilvl w:val="0"/>
          <w:numId w:val="3"/>
        </w:numPr>
        <w:spacing w:after="60"/>
      </w:pPr>
      <w:r>
        <w:t xml:space="preserve">Payments: Stripe subscription billing</w:t>
      </w:r>
    </w:p>
    <w:p>
      <w:pPr>
        <w:pStyle w:val="ListParagraph"/>
        <w:numPr>
          <w:ilvl w:val="0"/>
          <w:numId w:val="3"/>
        </w:numPr>
        <w:spacing w:after="60"/>
      </w:pPr>
      <w:r>
        <w:t xml:space="preserve">Auth: Clerk or Supabase Auth</w:t>
      </w:r>
    </w:p>
    <w:p>
      <w:pPr>
        <w:spacing w:after="60"/>
      </w:pPr>
    </w:p>
    <w:p>
      <w:pPr>
        <w:spacing w:after="120"/>
      </w:pPr>
      <w:r>
        <w:t xml:space="preserve">Note: Much of this can leverage existing JARVIS V2 infrastructure on Hetzner VPS (PostgreSQL, Redis already deployed). The Tool Broker can route LLM calls for message generation via existing OpenRouter integration.</w:t>
      </w:r>
    </w:p>
    <w:p>
      <w:r>
        <w:br w:type="page"/>
      </w:r>
    </w:p>
    <w:p>
      <w:pPr>
        <w:pStyle w:val="Heading1"/>
      </w:pPr>
      <w: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B5E20" w:val="clear"/>
          </w:tcPr>
          <w:p>
            <w:r>
              <w:rPr>
                <w:rFonts w:ascii="Arial" w:cs="Arial" w:eastAsia="Arial" w:hAnsi="Arial"/>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1B5E20" w:val="cle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HIPAA compliance for client health data</w:t>
            </w:r>
          </w:p>
        </w:tc>
        <w:tc>
          <w:tcPr>
            <w:tcW w:type="dxa" w:w="3120"/>
            <w:tcBorders>
              <w:top w:val="single" w:color="CCCCCC" w:sz="1"/>
              <w:left w:val="single" w:color="CCCCCC" w:sz="1"/>
              <w:bottom w:val="single" w:color="CCCCCC" w:sz="1"/>
              <w:right w:val="single" w:color="CCCCCC" w:sz="1"/>
            </w:tcBorders>
            <w:shd w:fill="FFEBEE" w:val="clear"/>
          </w:tcPr>
          <w:p>
            <w:r>
              <w:rPr>
                <w:rFonts w:ascii="Arial" w:cs="Arial" w:eastAsia="Arial" w:hAnsi="Arial"/>
                <w:b/>
                <w:bCs/>
                <w:color w:val="C62828"/>
                <w:sz w:val="20"/>
                <w:szCs w:val="20"/>
              </w:rPr>
              <w:t xml:space="preserve">High</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Use HIPAA-compliant hosting, encrypt all PII, sign BAAs with all vendors, limit stored data to scheduling/treatment types (not clinical records)</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Existing platforms add similar features</w:t>
            </w:r>
          </w:p>
        </w:tc>
        <w:tc>
          <w:tcPr>
            <w:tcW w:type="dxa" w:w="3120"/>
            <w:tcBorders>
              <w:top w:val="single" w:color="CCCCCC" w:sz="1"/>
              <w:left w:val="single" w:color="CCCCCC" w:sz="1"/>
              <w:bottom w:val="single" w:color="CCCCCC" w:sz="1"/>
              <w:right w:val="single" w:color="CCCCCC" w:sz="1"/>
            </w:tcBorders>
            <w:shd w:fill="FFF8E1" w:val="clear"/>
          </w:tcPr>
          <w:p>
            <w:r>
              <w:rPr>
                <w:rFonts w:ascii="Arial" w:cs="Arial" w:eastAsia="Arial" w:hAnsi="Arial"/>
                <w:b/>
                <w:bCs/>
                <w:color w:val="F57F17"/>
                <w:sz w:val="20"/>
                <w:szCs w:val="20"/>
              </w:rPr>
              <w:t xml:space="preserve">Medium</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Move fast, build deep treatment intelligence moat, focus on single-location owners that enterprise tools underserve</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Integration complexity with fragmented medspa tools</w:t>
            </w:r>
          </w:p>
        </w:tc>
        <w:tc>
          <w:tcPr>
            <w:tcW w:type="dxa" w:w="3120"/>
            <w:tcBorders>
              <w:top w:val="single" w:color="CCCCCC" w:sz="1"/>
              <w:left w:val="single" w:color="CCCCCC" w:sz="1"/>
              <w:bottom w:val="single" w:color="CCCCCC" w:sz="1"/>
              <w:right w:val="single" w:color="CCCCCC" w:sz="1"/>
            </w:tcBorders>
            <w:shd w:fill="FFF8E1" w:val="clear"/>
          </w:tcPr>
          <w:p>
            <w:r>
              <w:rPr>
                <w:rFonts w:ascii="Arial" w:cs="Arial" w:eastAsia="Arial" w:hAnsi="Arial"/>
                <w:b/>
                <w:bCs/>
                <w:color w:val="F57F17"/>
                <w:sz w:val="20"/>
                <w:szCs w:val="20"/>
              </w:rPr>
              <w:t xml:space="preserve">Medium</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Start with CSV import (works with any system), add API integrations incrementally based on customer demand</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Long sales cycle for B2B medspa software</w:t>
            </w:r>
          </w:p>
        </w:tc>
        <w:tc>
          <w:tcPr>
            <w:tcW w:type="dxa" w:w="3120"/>
            <w:tcBorders>
              <w:top w:val="single" w:color="CCCCCC" w:sz="1"/>
              <w:left w:val="single" w:color="CCCCCC" w:sz="1"/>
              <w:bottom w:val="single" w:color="CCCCCC" w:sz="1"/>
              <w:right w:val="single" w:color="CCCCCC" w:sz="1"/>
            </w:tcBorders>
            <w:shd w:fill="FFF8E1" w:val="clear"/>
          </w:tcPr>
          <w:p>
            <w:r>
              <w:rPr>
                <w:rFonts w:ascii="Arial" w:cs="Arial" w:eastAsia="Arial" w:hAnsi="Arial"/>
                <w:b/>
                <w:bCs/>
                <w:color w:val="F57F17"/>
                <w:sz w:val="20"/>
                <w:szCs w:val="20"/>
              </w:rPr>
              <w:t xml:space="preserve">Medium</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Offer 14-day free trial with instant CSV onboarding, target owners directly via social content (bypass traditional B2B sales)</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Low initial adoption / cold start</w:t>
            </w:r>
          </w:p>
        </w:tc>
        <w:tc>
          <w:tcPr>
            <w:tcW w:type="dxa" w:w="3120"/>
            <w:tcBorders>
              <w:top w:val="single" w:color="CCCCCC" w:sz="1"/>
              <w:left w:val="single" w:color="CCCCCC" w:sz="1"/>
              <w:bottom w:val="single" w:color="CCCCCC" w:sz="1"/>
              <w:right w:val="single" w:color="CCCCCC" w:sz="1"/>
            </w:tcBorders>
            <w:shd w:fill="FFF8E1" w:val="clear"/>
          </w:tcPr>
          <w:p>
            <w:r>
              <w:rPr>
                <w:rFonts w:ascii="Arial" w:cs="Arial" w:eastAsia="Arial" w:hAnsi="Arial"/>
                <w:b/>
                <w:bCs/>
                <w:color w:val="F57F17"/>
                <w:sz w:val="20"/>
                <w:szCs w:val="20"/>
              </w:rPr>
              <w:t xml:space="preserve">Medium</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Leverage LeadSecure agency relationships and cold email infrastructure for direct outreach to medspa owners</w:t>
            </w:r>
          </w:p>
        </w:tc>
      </w:tr>
    </w:tbl>
    <w:p>
      <w:r>
        <w:br w:type="page"/>
      </w:r>
    </w:p>
    <w:p>
      <w:pPr>
        <w:pStyle w:val="Heading1"/>
      </w:pPr>
      <w:r>
        <w:t xml:space="preserve">10. Immediate Next Steps</w:t>
      </w:r>
    </w:p>
    <w:p>
      <w:pPr>
        <w:pStyle w:val="ListParagraph"/>
        <w:numPr>
          <w:ilvl w:val="0"/>
          <w:numId w:val="2"/>
        </w:numPr>
        <w:spacing w:after="100"/>
      </w:pPr>
      <w:r>
        <w:rPr>
          <w:rFonts w:ascii="Arial" w:cs="Arial" w:eastAsia="Arial" w:hAnsi="Arial"/>
        </w:rPr>
        <w:t xml:space="preserve">THIS WEEK: Join medspa Facebook groups (AmSpa Community, MedSpa Owners &amp; Operators, Medical Spa Business Success) and start engaging with posts about retention and rebooking challenges</w:t>
      </w:r>
    </w:p>
    <w:p>
      <w:pPr>
        <w:pStyle w:val="ListParagraph"/>
        <w:numPr>
          <w:ilvl w:val="0"/>
          <w:numId w:val="2"/>
        </w:numPr>
        <w:spacing w:after="100"/>
      </w:pPr>
      <w:r>
        <w:rPr>
          <w:rFonts w:ascii="Arial" w:cs="Arial" w:eastAsia="Arial" w:hAnsi="Arial"/>
        </w:rPr>
        <w:t xml:space="preserve">THIS WEEK: Search r/medspa, r/aesthetics, and r/smallbusiness for posts about medspa retention pain points and document recurring themes</w:t>
      </w:r>
    </w:p>
    <w:p>
      <w:pPr>
        <w:pStyle w:val="ListParagraph"/>
        <w:numPr>
          <w:ilvl w:val="0"/>
          <w:numId w:val="2"/>
        </w:numPr>
        <w:spacing w:after="100"/>
      </w:pPr>
      <w:r>
        <w:rPr>
          <w:rFonts w:ascii="Arial" w:cs="Arial" w:eastAsia="Arial" w:hAnsi="Arial"/>
        </w:rPr>
        <w:t xml:space="preserve">WEEK 2: Build a landing page (single page with problem statement, feature preview, and waitlist signup) and drive traffic via medspa-targeted content</w:t>
      </w:r>
    </w:p>
    <w:p>
      <w:pPr>
        <w:pStyle w:val="ListParagraph"/>
        <w:numPr>
          <w:ilvl w:val="0"/>
          <w:numId w:val="2"/>
        </w:numPr>
        <w:spacing w:after="100"/>
      </w:pPr>
      <w:r>
        <w:rPr>
          <w:rFonts w:ascii="Arial" w:cs="Arial" w:eastAsia="Arial" w:hAnsi="Arial"/>
        </w:rPr>
        <w:t xml:space="preserve">WEEK 2-3: Reach out to 20+ medspa owners for problem validation interviews (use LeadSecure cold email infrastructure)</w:t>
      </w:r>
    </w:p>
    <w:p>
      <w:pPr>
        <w:pStyle w:val="ListParagraph"/>
        <w:numPr>
          <w:ilvl w:val="0"/>
          <w:numId w:val="2"/>
        </w:numPr>
        <w:spacing w:after="100"/>
      </w:pPr>
      <w:r>
        <w:rPr>
          <w:rFonts w:ascii="Arial" w:cs="Arial" w:eastAsia="Arial" w:hAnsi="Arial"/>
        </w:rPr>
        <w:t xml:space="preserve">WEEK 3-4: Based on validation feedback, finalize MVP feature scope and begin development</w:t>
      </w:r>
    </w:p>
    <w:p>
      <w:pPr>
        <w:pStyle w:val="ListParagraph"/>
        <w:numPr>
          <w:ilvl w:val="0"/>
          <w:numId w:val="2"/>
        </w:numPr>
        <w:spacing w:after="100"/>
      </w:pPr>
      <w:r>
        <w:rPr>
          <w:rFonts w:ascii="Arial" w:cs="Arial" w:eastAsia="Arial" w:hAnsi="Arial"/>
        </w:rPr>
        <w:t xml:space="preserve">WEEK 4: Create a Claude Code skill for the MedSpa Growth Engine project to accelerate development</w:t>
      </w:r>
    </w:p>
    <w:p>
      <w:pPr>
        <w:spacing w:after="60"/>
      </w:pPr>
    </w:p>
    <w:p>
      <w:pPr>
        <w:spacing w:after="60"/>
      </w:pPr>
    </w:p>
    <w:p>
      <w:pPr>
        <w:pBdr>
          <w:bottom w:val="single" w:color="1B5E20" w:sz="6" w:space="1"/>
        </w:pBdr>
      </w:pPr>
    </w:p>
    <w:p>
      <w:pPr>
        <w:spacing w:after="60"/>
      </w:pPr>
    </w:p>
    <w:p>
      <w:pPr>
        <w:spacing w:after="120"/>
      </w:pPr>
      <w:r>
        <w:rPr>
          <w:b/>
          <w:bCs/>
        </w:rPr>
        <w:t xml:space="preserve">Decision point: </w:t>
      </w:r>
      <w:r>
        <w:t xml:space="preserve">If 5+ medspa owners express strong interest and 2+ offer to pay for early access during validation, proceed to MVP build. If validation signals are weak, pivot to Creator Ledger (the #2 ranked idea) using the same validation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Prepared by Aamir — </w:t>
    </w:r>
    <w:r>
      <w:rPr>
        <w:rFonts w:ascii="Arial" w:cs="Arial" w:eastAsia="Arial" w:hAnsi="Arial"/>
        <w:color w:val="999999"/>
        <w:sz w:val="18"/>
        <w:szCs w:val="18"/>
      </w:rPr>
      <w:t xml:space="preserve">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CONFIDENTIAL — MedSpa Growth Engine Validation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2026-03-12T18:41:37.351Z</dcterms:created>
  <dcterms:modified xsi:type="dcterms:W3CDTF">2026-03-12T18:41:37.352Z</dcterms:modified>
</cp:coreProperties>
</file>

<file path=docProps/custom.xml><?xml version="1.0" encoding="utf-8"?>
<Properties xmlns="http://schemas.openxmlformats.org/officeDocument/2006/custom-properties" xmlns:vt="http://schemas.openxmlformats.org/officeDocument/2006/docPropsVTypes"/>
</file>