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Unequal Impact of Lethal Heatwaves in India for Males </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and Females: Insights from Climate Projection Data</w:t>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Aanchala Bhongade*</w:t>
      </w:r>
    </w:p>
    <w:p w:rsidR="00000000" w:rsidDel="00000000" w:rsidP="00000000" w:rsidRDefault="00000000" w:rsidRPr="00000000" w14:paraId="00000006">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Visiting Researcher, Cambridge Collective Intelligence &amp; Design Group, (Undergrad at VJTI, Mumbai)</w:t>
      </w:r>
    </w:p>
    <w:p w:rsidR="00000000" w:rsidDel="00000000" w:rsidP="00000000" w:rsidRDefault="00000000" w:rsidRPr="00000000" w14:paraId="00000007">
      <w:pP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i w:val="1"/>
          <w:sz w:val="20"/>
          <w:szCs w:val="20"/>
          <w:rtl w:val="0"/>
        </w:rPr>
        <w:t xml:space="preserve">Under the supervision of Dr. Ramit Debnath, University of Cambridge, UK</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20"/>
          <w:szCs w:val="20"/>
          <w:rtl w:val="0"/>
        </w:rPr>
        <w:t xml:space="preserve">Heatwaves, Cooling Energy Demand, Heat Index, Climate Projections, Gender-Based Vulnerabilities, Cooling Degree Days, India, SSPs (Shared Socioeconomic Pathways)</w: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jc w:val="both"/>
        <w:rPr>
          <w:rFonts w:ascii="Times New Roman" w:cs="Times New Roman" w:eastAsia="Times New Roman" w:hAnsi="Times New Roman"/>
          <w:b w:val="1"/>
          <w:color w:val="000000"/>
          <w:sz w:val="28"/>
          <w:szCs w:val="28"/>
        </w:rPr>
      </w:pPr>
      <w:bookmarkStart w:colFirst="0" w:colLast="0" w:name="_fh0pg5iktqtm" w:id="0"/>
      <w:bookmarkEnd w:id="0"/>
      <w:r w:rsidDel="00000000" w:rsidR="00000000" w:rsidRPr="00000000">
        <w:rPr>
          <w:rFonts w:ascii="Times New Roman" w:cs="Times New Roman" w:eastAsia="Times New Roman" w:hAnsi="Times New Roman"/>
          <w:b w:val="1"/>
          <w:color w:val="000000"/>
          <w:sz w:val="28"/>
          <w:szCs w:val="28"/>
          <w:rtl w:val="0"/>
        </w:rPr>
        <w:t xml:space="preserve">Abstract</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climate change accelerates, extreme heatwaves pose increasing risks in India, with differential impacts across gender and age groups. Using data from the World Bank Climate Knowledge Portal and CMIP6 models, we obtained time-series data for relative humidity and mean surface air temperature (1990–2100) across SSPs (1-1.9 to 5-8.5) and calculated the heat index using the Rothfusz (1990) formula, incorporating uncertainty bounds from median, 10th, and 90th percentiles.</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Heat index maps visualised variations across SSPs. Cooling energy demand was estimated using population projections (2020–2100) for males and females, alongside historical sales data for ceiling fans and air conditioners, weighted by energy consumption factors.</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Contour plots showed the relationship between heat index, energy consumption, and age-wise gender differences, showing that cooling energy demand increases with age and higher heat index values. Scatter plots revealed heat index fluctuations driving energy demand, while correlation plots linked Cooling Degree Days (CDD) to gender-based variations. Gender disparities in cooling demand are primarily socioeconomic, reflecting differential access to cooling technologies rather than physiological differences.</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These findings highlight the unequal impact of heatwaves, especially on the elderly, and can inform India’s Cooling Action Plan by prioritising subsidies for vulnerable populations to enhance resilience. Clarifying these disparities supports nuanced climate adaptation strategies addressing rising energy needs and vulnerabilities associated with extreme heat.</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References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1 </w:t>
      </w:r>
      <w:r w:rsidDel="00000000" w:rsidR="00000000" w:rsidRPr="00000000">
        <w:rPr>
          <w:rFonts w:ascii="Times New Roman" w:cs="Times New Roman" w:eastAsia="Times New Roman" w:hAnsi="Times New Roman"/>
          <w:i w:val="1"/>
          <w:sz w:val="20"/>
          <w:szCs w:val="20"/>
          <w:rtl w:val="0"/>
        </w:rPr>
        <w:t xml:space="preserve">Rothfusz, L. P. “The Heat Index Equation.” National Weather Service Technical Report, 1990.</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2</w:t>
      </w:r>
      <w:r w:rsidDel="00000000" w:rsidR="00000000" w:rsidRPr="00000000">
        <w:rPr>
          <w:rFonts w:ascii="Times New Roman" w:cs="Times New Roman" w:eastAsia="Times New Roman" w:hAnsi="Times New Roman"/>
          <w:i w:val="1"/>
          <w:sz w:val="20"/>
          <w:szCs w:val="20"/>
          <w:rtl w:val="0"/>
        </w:rPr>
        <w:t xml:space="preserve"> Bureau of Energy Efficiency. BEE Final Report. Ministry of Power, Government of India, n.d.</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3</w:t>
      </w:r>
      <w:r w:rsidDel="00000000" w:rsidR="00000000" w:rsidRPr="00000000">
        <w:rPr>
          <w:rFonts w:ascii="Times New Roman" w:cs="Times New Roman" w:eastAsia="Times New Roman" w:hAnsi="Times New Roman"/>
          <w:i w:val="1"/>
          <w:sz w:val="20"/>
          <w:szCs w:val="20"/>
          <w:rtl w:val="0"/>
        </w:rPr>
        <w:t xml:space="preserve"> Gagnon, D., and Glen P. Kenny. “Sex Differences in Thermoregulatory Responses during Heat Stress.” European Journal of Applied Physiology, vol. 112, no. 9, 2012, pp. 3325–3334.</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Introduction</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Rising temperatures and humidity levels brought on by climate change have made heat stress in India much worse; these factors are well-represented by the heat index (HI).</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A key indication of perceived heat stress and its effects on human health and energy systems is the heat index, which is a combination of temperature and relative humidity. As temperatures continue to rise, the frequency and intensity of heatwaves are projected to increase in India, particularly under high-emission scenarios such as the Shared Socioeconomic Pathways (SSPs). The SSPs are a set of scenarios developed to explore how global society, demographics, and economics might evolve over the 21st century, influencing greenhouse gas emissions and climate change outcomes.</w:t>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These pathways describe five distinct futures - SSP1 (Sustainability), SSP2 (Middle of the Road), SSP3 (Regional Rivalry), SSP4 (Inequality), and SSP5 (Fossil-fueled Development), each representing different socioeconomic trajectories and their implications for climate mitigation and adaptation challenges.</w:t>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For instance, SSP1-1.9 envisions a sustainable world with low emissions, while SSP5-8.5 projects a fossil-fuel-intensive future with high emissions.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The escalating heat stress has profound implications for energy demand in India, particularly for cooling, as populations seek to mitigate heat-related risks. Cooling energy demand, primarily driven by the use of air conditioners (ACs) and fans, is expected to increase in the coming decades, placing significant pressure on energy infrastructure.</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This study addresses the research question: How do heat index variations across SSPs influence cooling energy demand in India, and what are the age- and gender-specific disparities in these impacts?</w:t>
      </w:r>
      <w:r w:rsidDel="00000000" w:rsidR="00000000" w:rsidRPr="00000000">
        <w:rPr>
          <w:rFonts w:ascii="Times New Roman" w:cs="Times New Roman" w:eastAsia="Times New Roman" w:hAnsi="Times New Roman"/>
          <w:sz w:val="20"/>
          <w:szCs w:val="20"/>
          <w:rtl w:val="0"/>
        </w:rPr>
        <w:t xml:space="preserve"> This research fills a vital gap by analyzing age and gender disaggregated population data in the Indian setting, where demographic dynamics are understudied, in contrast to previous studies that concentrate on aggregate cooling demand or global trends.</w:t>
      </w:r>
      <w:r w:rsidDel="00000000" w:rsidR="00000000" w:rsidRPr="00000000">
        <w:rPr>
          <w:rFonts w:ascii="Times New Roman" w:cs="Times New Roman" w:eastAsia="Times New Roman" w:hAnsi="Times New Roman"/>
          <w:sz w:val="20"/>
          <w:szCs w:val="20"/>
          <w:vertAlign w:val="superscript"/>
          <w:rtl w:val="0"/>
        </w:rPr>
        <w:t xml:space="preserve">5</w:t>
      </w:r>
      <w:r w:rsidDel="00000000" w:rsidR="00000000" w:rsidRPr="00000000">
        <w:rPr>
          <w:rFonts w:ascii="Times New Roman" w:cs="Times New Roman" w:eastAsia="Times New Roman" w:hAnsi="Times New Roman"/>
          <w:sz w:val="20"/>
          <w:szCs w:val="20"/>
          <w:rtl w:val="0"/>
        </w:rPr>
        <w:t xml:space="preserve"> For instance, global models often overlook India’s aging population and gender-based socioeconomic disparities, which are crucial for equitable adaptation planning.</w:t>
      </w:r>
      <w:r w:rsidDel="00000000" w:rsidR="00000000" w:rsidRPr="00000000">
        <w:rPr>
          <w:rFonts w:ascii="Times New Roman" w:cs="Times New Roman" w:eastAsia="Times New Roman" w:hAnsi="Times New Roman"/>
          <w:sz w:val="20"/>
          <w:szCs w:val="20"/>
          <w:vertAlign w:val="superscript"/>
          <w:rtl w:val="0"/>
        </w:rPr>
        <w:t xml:space="preserve">6</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rtl w:val="0"/>
        </w:rPr>
        <w:t xml:space="preserve">Age plays a crucial role in determining heat vulnerability and energy use patterns in India, yet gender-based differences in cooling needs remain underexplored due to socioeconomic factors like access to cooling technologies.</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Older populations are generally more susceptible to heat stress due to physiological limitations, which may lead to higher cooling energy demand to maintain thermal comfort.</w:t>
      </w: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Times New Roman" w:cs="Times New Roman" w:eastAsia="Times New Roman" w:hAnsi="Times New Roman"/>
          <w:sz w:val="20"/>
          <w:szCs w:val="20"/>
          <w:rtl w:val="0"/>
        </w:rPr>
        <w:t xml:space="preserve"> Rising cooling demand exacerbates energy poverty and challenges grid reliability, undermining the India Cooling Action Plan’s aim to double energy-efficient cooling by 2030.</w:t>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Times New Roman" w:cs="Times New Roman" w:eastAsia="Times New Roman" w:hAnsi="Times New Roman"/>
          <w:sz w:val="20"/>
          <w:szCs w:val="20"/>
          <w:rtl w:val="0"/>
        </w:rPr>
        <w:t xml:space="preserve"> This study investigates the relationship between heat index and cooling energy demand in India, weighted by age and gender distributions, across SSP1-1.9 to SSP5-8.5 from 2020 to 2099, providing insights for equitable climate adaptation and energy planning.</w:t>
      </w: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combining climate projection data with cooling energy consumption estimates, this study offers a nuanced understanding of how heat stress drives cooling needs across India’s diverse population.</w:t>
      </w: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While prior research has quantified cooling demand at national or regional levels, it often neglects how age and gender shape vulnerability and adaptation capacity in India, a gap this analysis addresses through detailed demographic weighting.</w:t>
      </w:r>
      <w:r w:rsidDel="00000000" w:rsidR="00000000" w:rsidRPr="00000000">
        <w:rPr>
          <w:rFonts w:ascii="Times New Roman" w:cs="Times New Roman" w:eastAsia="Times New Roman" w:hAnsi="Times New Roman"/>
          <w:sz w:val="20"/>
          <w:szCs w:val="20"/>
          <w:vertAlign w:val="superscript"/>
          <w:rtl w:val="0"/>
        </w:rPr>
        <w:t xml:space="preserve">10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findings aim to support the India Cooling Action Plan by identifying priority groups, such as the elderly, for targeted cooling need to mitigate energy poverty.</w:t>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 approach not only clarifies the unequal impacts of heatwaves but also informs sustainable energy policies for a warming climate.</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References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4</w:t>
      </w:r>
      <w:r w:rsidDel="00000000" w:rsidR="00000000" w:rsidRPr="00000000">
        <w:rPr>
          <w:rFonts w:ascii="Times New Roman" w:cs="Times New Roman" w:eastAsia="Times New Roman" w:hAnsi="Times New Roman"/>
          <w:i w:val="1"/>
          <w:sz w:val="20"/>
          <w:szCs w:val="20"/>
          <w:rtl w:val="0"/>
        </w:rPr>
        <w:t xml:space="preserve"> Riahi, Keywan, et al. “The Shared Socioeconomic Pathways and Their Energy, Land Use, and Greenhouse Gas Emissions Implications.” Global Environmental Change, vol. 42, 2017, pp. 153–168.</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5</w:t>
      </w:r>
      <w:r w:rsidDel="00000000" w:rsidR="00000000" w:rsidRPr="00000000">
        <w:rPr>
          <w:rFonts w:ascii="Times New Roman" w:cs="Times New Roman" w:eastAsia="Times New Roman" w:hAnsi="Times New Roman"/>
          <w:i w:val="1"/>
          <w:sz w:val="20"/>
          <w:szCs w:val="20"/>
          <w:rtl w:val="0"/>
        </w:rPr>
        <w:t xml:space="preserve"> Mastrucci, Alessandro, et al. “Modeling Global Residential Cooling Demand under Climate Change.” Energy and Buildings, vol. 199, 2019, pp. 186–203.</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6</w:t>
      </w:r>
      <w:r w:rsidDel="00000000" w:rsidR="00000000" w:rsidRPr="00000000">
        <w:rPr>
          <w:rFonts w:ascii="Times New Roman" w:cs="Times New Roman" w:eastAsia="Times New Roman" w:hAnsi="Times New Roman"/>
          <w:i w:val="1"/>
          <w:sz w:val="20"/>
          <w:szCs w:val="20"/>
          <w:rtl w:val="0"/>
        </w:rPr>
        <w:t xml:space="preserve"> Isaac, Morna, and Detlef P. van Vuuren. “Modeling Global Residential Sector Energy Demand for Heating and Air Conditioning.” Energy Policy, vol. 37, no. 2, 2009, pp. 507–521.</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7</w:t>
      </w:r>
      <w:r w:rsidDel="00000000" w:rsidR="00000000" w:rsidRPr="00000000">
        <w:rPr>
          <w:rFonts w:ascii="Times New Roman" w:cs="Times New Roman" w:eastAsia="Times New Roman" w:hAnsi="Times New Roman"/>
          <w:i w:val="1"/>
          <w:sz w:val="20"/>
          <w:szCs w:val="20"/>
          <w:rtl w:val="0"/>
        </w:rPr>
        <w:t xml:space="preserve"> Kovats, R. S., and Shakoor Hajat. “Heat Stress and Public Health: A Critical Review.” Annual Review of Public Health, vol. 29, 2008, pp. 41–55.</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8 </w:t>
      </w:r>
      <w:r w:rsidDel="00000000" w:rsidR="00000000" w:rsidRPr="00000000">
        <w:rPr>
          <w:rFonts w:ascii="Times New Roman" w:cs="Times New Roman" w:eastAsia="Times New Roman" w:hAnsi="Times New Roman"/>
          <w:i w:val="1"/>
          <w:sz w:val="20"/>
          <w:szCs w:val="20"/>
          <w:rtl w:val="0"/>
        </w:rPr>
        <w:t xml:space="preserve">Vasudha Foundation. India Energy Scenario: For the Year 2023-24 | 2nd Edition. Bureau of Energy Efficiency, Ministry of Power, Government of India, 2024.</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9</w:t>
      </w:r>
      <w:r w:rsidDel="00000000" w:rsidR="00000000" w:rsidRPr="00000000">
        <w:rPr>
          <w:rFonts w:ascii="Times New Roman" w:cs="Times New Roman" w:eastAsia="Times New Roman" w:hAnsi="Times New Roman"/>
          <w:i w:val="1"/>
          <w:sz w:val="20"/>
          <w:szCs w:val="20"/>
          <w:rtl w:val="0"/>
        </w:rPr>
        <w:t xml:space="preserve"> Debnath, Ramit, et al. “Lethal Heatwaves Are Challenging India’s Sustainable Development.” PLOS Climate, vol. 2, no. 4, 2023, pp. 1–10.</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sz w:val="20"/>
          <w:szCs w:val="20"/>
          <w:vertAlign w:val="superscript"/>
          <w:rtl w:val="0"/>
        </w:rPr>
        <w:t xml:space="preserve">10 </w:t>
      </w:r>
      <w:r w:rsidDel="00000000" w:rsidR="00000000" w:rsidRPr="00000000">
        <w:rPr>
          <w:rFonts w:ascii="Times New Roman" w:cs="Times New Roman" w:eastAsia="Times New Roman" w:hAnsi="Times New Roman"/>
          <w:i w:val="1"/>
          <w:sz w:val="20"/>
          <w:szCs w:val="20"/>
          <w:rtl w:val="0"/>
        </w:rPr>
        <w:t xml:space="preserve">Sailor, David J., and Anna A. Pavlova. “Air Conditioning Market Saturation and Long-Term Response to Climate Change.” Energy, vol. 28, no. 9, 2003, pp. 941–951.</w:t>
      </w: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jc w:val="both"/>
        <w:rPr>
          <w:rFonts w:ascii="Times New Roman" w:cs="Times New Roman" w:eastAsia="Times New Roman" w:hAnsi="Times New Roman"/>
          <w:b w:val="1"/>
          <w:color w:val="000000"/>
          <w:sz w:val="28"/>
          <w:szCs w:val="28"/>
        </w:rPr>
      </w:pPr>
      <w:bookmarkStart w:colFirst="0" w:colLast="0" w:name="_e174oyh3sn00" w:id="1"/>
      <w:bookmarkEnd w:id="1"/>
      <w:r w:rsidDel="00000000" w:rsidR="00000000" w:rsidRPr="00000000">
        <w:rPr>
          <w:rFonts w:ascii="Times New Roman" w:cs="Times New Roman" w:eastAsia="Times New Roman" w:hAnsi="Times New Roman"/>
          <w:b w:val="1"/>
          <w:color w:val="000000"/>
          <w:sz w:val="28"/>
          <w:szCs w:val="28"/>
          <w:rtl w:val="0"/>
        </w:rPr>
        <w:t xml:space="preserve">Literature Review</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Climate change has intensified heatwaves in India, increasing focus on heat stress and its impacts on health, productivity, and energy systems</w:t>
      </w: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Times New Roman" w:cs="Times New Roman" w:eastAsia="Times New Roman" w:hAnsi="Times New Roman"/>
          <w:sz w:val="20"/>
          <w:szCs w:val="20"/>
          <w:rtl w:val="0"/>
        </w:rPr>
        <w:t xml:space="preserve">. The heat index (HI), integrating temperature and relative humidity, quantifies heat stress, serving as a critical indicator for assessing risks and cooling needs.</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In India, urban centres face severe heatwaves, challenging public health and infrastructure, with studies showing elevated mortality and reduced economic output.</w:t>
      </w:r>
      <w:r w:rsidDel="00000000" w:rsidR="00000000" w:rsidRPr="00000000">
        <w:rPr>
          <w:rFonts w:ascii="Times New Roman" w:cs="Times New Roman" w:eastAsia="Times New Roman" w:hAnsi="Times New Roman"/>
          <w:sz w:val="20"/>
          <w:szCs w:val="20"/>
          <w:vertAlign w:val="superscript"/>
          <w:rtl w:val="0"/>
        </w:rPr>
        <w:t xml:space="preserve">11</w:t>
      </w:r>
      <w:r w:rsidDel="00000000" w:rsidR="00000000" w:rsidRPr="00000000">
        <w:rPr>
          <w:rFonts w:ascii="Times New Roman" w:cs="Times New Roman" w:eastAsia="Times New Roman" w:hAnsi="Times New Roman"/>
          <w:sz w:val="20"/>
          <w:szCs w:val="20"/>
          <w:rtl w:val="0"/>
        </w:rPr>
        <w:t xml:space="preserve"> Recent research highlights gender-specific vulnerabilities, noting that women may face higher heat-related mortality risks due to socioeconomic and physiological factors.</w:t>
      </w:r>
      <w:r w:rsidDel="00000000" w:rsidR="00000000" w:rsidRPr="00000000">
        <w:rPr>
          <w:rFonts w:ascii="Times New Roman" w:cs="Times New Roman" w:eastAsia="Times New Roman" w:hAnsi="Times New Roman"/>
          <w:sz w:val="20"/>
          <w:szCs w:val="20"/>
          <w:vertAlign w:val="superscript"/>
          <w:rtl w:val="0"/>
        </w:rPr>
        <w:t xml:space="preserve">16, 17</w:t>
      </w:r>
      <w:r w:rsidDel="00000000" w:rsidR="00000000" w:rsidRPr="00000000">
        <w:rPr>
          <w:rFonts w:ascii="Times New Roman" w:cs="Times New Roman" w:eastAsia="Times New Roman" w:hAnsi="Times New Roman"/>
          <w:sz w:val="20"/>
          <w:szCs w:val="20"/>
          <w:rtl w:val="0"/>
        </w:rPr>
        <w:t xml:space="preserve"> Unlike global research, India-specific analyses often lack demographic depth, overlooking vulnerable groups.</w:t>
      </w:r>
      <w:r w:rsidDel="00000000" w:rsidR="00000000" w:rsidRPr="00000000">
        <w:rPr>
          <w:rFonts w:ascii="Times New Roman" w:cs="Times New Roman" w:eastAsia="Times New Roman" w:hAnsi="Times New Roman"/>
          <w:sz w:val="20"/>
          <w:szCs w:val="20"/>
          <w:vertAlign w:val="superscript"/>
          <w:rtl w:val="0"/>
        </w:rPr>
        <w:t xml:space="preserve">15</w:t>
      </w:r>
      <w:r w:rsidDel="00000000" w:rsidR="00000000" w:rsidRPr="00000000">
        <w:rPr>
          <w:rFonts w:ascii="Times New Roman" w:cs="Times New Roman" w:eastAsia="Times New Roman" w:hAnsi="Times New Roman"/>
          <w:sz w:val="20"/>
          <w:szCs w:val="20"/>
          <w:rtl w:val="0"/>
        </w:rPr>
        <w:t xml:space="preserve"> This study extends prior work by exploring how age and gender influence cooling demand, addressing a critical gap in understanding heat stress responses.</w:t>
      </w:r>
      <w:r w:rsidDel="00000000" w:rsidR="00000000" w:rsidRPr="00000000">
        <w:rPr>
          <w:rFonts w:ascii="Times New Roman" w:cs="Times New Roman" w:eastAsia="Times New Roman" w:hAnsi="Times New Roman"/>
          <w:sz w:val="20"/>
          <w:szCs w:val="20"/>
          <w:vertAlign w:val="superscript"/>
          <w:rtl w:val="0"/>
        </w:rPr>
        <w:t xml:space="preserve">11</w:t>
      </w: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Cooling energy demand in India has skyrocketed, due to rising air conditioner (AC) and fan adoption to counter heat stress.</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The Bureau of Energy Efficiency reports a significant AC sales increase from 2021–22 to 2023–24, with star-rated models reflecting efficiency efforts, yet rural data gaps underestimate total demand.</w:t>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Times New Roman" w:cs="Times New Roman" w:eastAsia="Times New Roman" w:hAnsi="Times New Roman"/>
          <w:sz w:val="20"/>
          <w:szCs w:val="20"/>
          <w:rtl w:val="0"/>
        </w:rPr>
        <w:t xml:space="preserve"> Global projections estimate a tripling of tropical cooling needs by 2050, but Indian studies often use aggregate data, missing demographic nuances.</w:t>
      </w:r>
      <w:r w:rsidDel="00000000" w:rsidR="00000000" w:rsidRPr="00000000">
        <w:rPr>
          <w:rFonts w:ascii="Times New Roman" w:cs="Times New Roman" w:eastAsia="Times New Roman" w:hAnsi="Times New Roman"/>
          <w:sz w:val="20"/>
          <w:szCs w:val="20"/>
          <w:vertAlign w:val="superscript"/>
          <w:rtl w:val="0"/>
        </w:rPr>
        <w:t xml:space="preserve">12</w:t>
      </w:r>
      <w:r w:rsidDel="00000000" w:rsidR="00000000" w:rsidRPr="00000000">
        <w:rPr>
          <w:rFonts w:ascii="Times New Roman" w:cs="Times New Roman" w:eastAsia="Times New Roman" w:hAnsi="Times New Roman"/>
          <w:sz w:val="20"/>
          <w:szCs w:val="20"/>
          <w:rtl w:val="0"/>
        </w:rPr>
        <w:t xml:space="preserve"> The India Cooling Action Plan (ICAP) promotes efficient appliances but struggles with rural access, leaving gaps unrecognised.</w:t>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Times New Roman" w:cs="Times New Roman" w:eastAsia="Times New Roman" w:hAnsi="Times New Roman"/>
          <w:sz w:val="20"/>
          <w:szCs w:val="20"/>
          <w:rtl w:val="0"/>
        </w:rPr>
        <w:t xml:space="preserve"> This study analyses age and gender influences, revealing disparities overlooked by current policies.</w:t>
      </w:r>
      <w:r w:rsidDel="00000000" w:rsidR="00000000" w:rsidRPr="00000000">
        <w:rPr>
          <w:rFonts w:ascii="Times New Roman" w:cs="Times New Roman" w:eastAsia="Times New Roman" w:hAnsi="Times New Roman"/>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This research underscores the need for equitable cooling access, particularly for women and rural populations, to mitigate heatwave impacts.</w:t>
      </w:r>
      <w:r w:rsidDel="00000000" w:rsidR="00000000" w:rsidRPr="00000000">
        <w:rPr>
          <w:rFonts w:ascii="Times New Roman" w:cs="Times New Roman" w:eastAsia="Times New Roman" w:hAnsi="Times New Roman"/>
          <w:sz w:val="20"/>
          <w:szCs w:val="20"/>
          <w:vertAlign w:val="superscript"/>
          <w:rtl w:val="0"/>
        </w:rPr>
        <w:t xml:space="preserve">18, 9</w:t>
      </w: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Demographic factors like age and gender shape cooling energy demand, yet Indian research rarely examines these, unlike global studies exploring vulnerability.</w:t>
      </w:r>
      <w:r w:rsidDel="00000000" w:rsidR="00000000" w:rsidRPr="00000000">
        <w:rPr>
          <w:rFonts w:ascii="Times New Roman" w:cs="Times New Roman" w:eastAsia="Times New Roman" w:hAnsi="Times New Roman"/>
          <w:sz w:val="20"/>
          <w:szCs w:val="20"/>
          <w:vertAlign w:val="superscript"/>
          <w:rtl w:val="0"/>
        </w:rPr>
        <w:t xml:space="preserve">5, 7</w:t>
      </w:r>
      <w:r w:rsidDel="00000000" w:rsidR="00000000" w:rsidRPr="00000000">
        <w:rPr>
          <w:rFonts w:ascii="Times New Roman" w:cs="Times New Roman" w:eastAsia="Times New Roman" w:hAnsi="Times New Roman"/>
          <w:sz w:val="20"/>
          <w:szCs w:val="20"/>
          <w:rtl w:val="0"/>
        </w:rPr>
        <w:t xml:space="preserve"> Older populations face higher heat stress risks due to physiological limits, increasing cooling needs, while gender differences in access often outweigh biological factors.</w:t>
      </w: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Times New Roman" w:cs="Times New Roman" w:eastAsia="Times New Roman" w:hAnsi="Times New Roman"/>
          <w:sz w:val="20"/>
          <w:szCs w:val="20"/>
          <w:rtl w:val="0"/>
        </w:rPr>
        <w:t xml:space="preserve"> For example, studies like Kovats show age-driven vulnerabilities globally, but Indian data lacks such granularity.</w:t>
      </w: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Times New Roman" w:cs="Times New Roman" w:eastAsia="Times New Roman" w:hAnsi="Times New Roman"/>
          <w:sz w:val="20"/>
          <w:szCs w:val="20"/>
          <w:rtl w:val="0"/>
        </w:rPr>
        <w:t xml:space="preserve"> This gap, evident in the scarcity of SSP-based demographic analyses for India, hinders adaptation planning.</w:t>
      </w:r>
      <w:r w:rsidDel="00000000" w:rsidR="00000000" w:rsidRPr="00000000">
        <w:rPr>
          <w:rFonts w:ascii="Times New Roman" w:cs="Times New Roman" w:eastAsia="Times New Roman" w:hAnsi="Times New Roman"/>
          <w:sz w:val="20"/>
          <w:szCs w:val="20"/>
          <w:vertAlign w:val="superscript"/>
          <w:rtl w:val="0"/>
        </w:rPr>
        <w:t xml:space="preserve">13</w:t>
      </w:r>
      <w:r w:rsidDel="00000000" w:rsidR="00000000" w:rsidRPr="00000000">
        <w:rPr>
          <w:rFonts w:ascii="Times New Roman" w:cs="Times New Roman" w:eastAsia="Times New Roman" w:hAnsi="Times New Roman"/>
          <w:sz w:val="20"/>
          <w:szCs w:val="20"/>
          <w:rtl w:val="0"/>
        </w:rPr>
        <w:t xml:space="preserve"> This study integrates age and gender disaggregated data, revealing disparities critical for equitable strategies, unlike ICAP’s broad efficiency focus.</w:t>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Times New Roman" w:cs="Times New Roman" w:eastAsia="Times New Roman" w:hAnsi="Times New Roman"/>
          <w:sz w:val="20"/>
          <w:szCs w:val="20"/>
          <w:rtl w:val="0"/>
        </w:rPr>
        <w:t xml:space="preserve"> This work highlights that heatwaves exacerbate gender inequalities, particularly in urban India, where access to cooling technologies is uneven.</w:t>
      </w:r>
      <w:r w:rsidDel="00000000" w:rsidR="00000000" w:rsidRPr="00000000">
        <w:rPr>
          <w:rFonts w:ascii="Times New Roman" w:cs="Times New Roman" w:eastAsia="Times New Roman" w:hAnsi="Times New Roman"/>
          <w:sz w:val="20"/>
          <w:szCs w:val="20"/>
          <w:vertAlign w:val="superscript"/>
          <w:rtl w:val="0"/>
        </w:rPr>
        <w:t xml:space="preserve">16, 17</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Climate projections under SSPs model heat stress globally, but India’s unique challenges limited rural electrification, fossil fuel reliance, and energy poverty are rarely linked to demographic-specific cooling needs.</w:t>
      </w:r>
      <w:r w:rsidDel="00000000" w:rsidR="00000000" w:rsidRPr="00000000">
        <w:rPr>
          <w:rFonts w:ascii="Times New Roman" w:cs="Times New Roman" w:eastAsia="Times New Roman" w:hAnsi="Times New Roman"/>
          <w:sz w:val="20"/>
          <w:szCs w:val="20"/>
          <w:vertAlign w:val="superscript"/>
          <w:rtl w:val="0"/>
        </w:rPr>
        <w:t xml:space="preserve">4, 14</w:t>
      </w:r>
      <w:r w:rsidDel="00000000" w:rsidR="00000000" w:rsidRPr="00000000">
        <w:rPr>
          <w:rFonts w:ascii="Times New Roman" w:cs="Times New Roman" w:eastAsia="Times New Roman" w:hAnsi="Times New Roman"/>
          <w:sz w:val="20"/>
          <w:szCs w:val="20"/>
          <w:rtl w:val="0"/>
        </w:rPr>
        <w:t xml:space="preserve"> Global studies like Biardeau’s overlook India’s rural gaps, while Indian AC penetration data lacks age or gender breakdowns.</w:t>
      </w:r>
      <w:r w:rsidDel="00000000" w:rsidR="00000000" w:rsidRPr="00000000">
        <w:rPr>
          <w:rFonts w:ascii="Times New Roman" w:cs="Times New Roman" w:eastAsia="Times New Roman" w:hAnsi="Times New Roman"/>
          <w:sz w:val="20"/>
          <w:szCs w:val="20"/>
          <w:vertAlign w:val="superscript"/>
          <w:rtl w:val="0"/>
        </w:rPr>
        <w:t xml:space="preserve">2, 14</w:t>
      </w:r>
      <w:r w:rsidDel="00000000" w:rsidR="00000000" w:rsidRPr="00000000">
        <w:rPr>
          <w:rFonts w:ascii="Times New Roman" w:cs="Times New Roman" w:eastAsia="Times New Roman" w:hAnsi="Times New Roman"/>
          <w:sz w:val="20"/>
          <w:szCs w:val="20"/>
          <w:rtl w:val="0"/>
        </w:rPr>
        <w:t xml:space="preserve"> ICAP and BEE standards aim to curb cooling demand but fail to address rural access or elderly vulnerabilities, exacerbating disparities.</w:t>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Times New Roman" w:cs="Times New Roman" w:eastAsia="Times New Roman" w:hAnsi="Times New Roman"/>
          <w:sz w:val="20"/>
          <w:szCs w:val="20"/>
          <w:rtl w:val="0"/>
        </w:rPr>
        <w:t xml:space="preserve"> This study’s focus on demographic granularity, absent in prior Indian research, reveals critical adaptation gaps, supported by validated heat index data.</w:t>
      </w:r>
      <w:r w:rsidDel="00000000" w:rsidR="00000000" w:rsidRPr="00000000">
        <w:rPr>
          <w:rFonts w:ascii="Times New Roman" w:cs="Times New Roman" w:eastAsia="Times New Roman" w:hAnsi="Times New Roman"/>
          <w:sz w:val="20"/>
          <w:szCs w:val="20"/>
          <w:vertAlign w:val="superscript"/>
          <w:rtl w:val="0"/>
        </w:rPr>
        <w:t xml:space="preserve">9, 15</w:t>
      </w:r>
      <w:r w:rsidDel="00000000" w:rsidR="00000000" w:rsidRPr="00000000">
        <w:rPr>
          <w:rFonts w:ascii="Times New Roman" w:cs="Times New Roman" w:eastAsia="Times New Roman" w:hAnsi="Times New Roman"/>
          <w:sz w:val="20"/>
          <w:szCs w:val="20"/>
          <w:rtl w:val="0"/>
        </w:rPr>
        <w:t xml:space="preserve"> These insights inform targeted strategies beyond ICAP’s urban-centric approach.</w:t>
      </w:r>
      <w:r w:rsidDel="00000000" w:rsidR="00000000" w:rsidRPr="00000000">
        <w:rPr>
          <w:rFonts w:ascii="Times New Roman" w:cs="Times New Roman" w:eastAsia="Times New Roman" w:hAnsi="Times New Roman"/>
          <w:sz w:val="20"/>
          <w:szCs w:val="20"/>
          <w:vertAlign w:val="superscript"/>
          <w:rtl w:val="0"/>
        </w:rPr>
        <w:t xml:space="preserve">8</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The interplay of heat stress, cooling demand, and demographics demands nuanced research, yet India’s sparse studies on age and gender specific needs hinder effective adaptation.</w:t>
      </w:r>
      <w:r w:rsidDel="00000000" w:rsidR="00000000" w:rsidRPr="00000000">
        <w:rPr>
          <w:rFonts w:ascii="Times New Roman" w:cs="Times New Roman" w:eastAsia="Times New Roman" w:hAnsi="Times New Roman"/>
          <w:sz w:val="20"/>
          <w:szCs w:val="20"/>
          <w:vertAlign w:val="superscript"/>
          <w:rtl w:val="0"/>
        </w:rPr>
        <w:t xml:space="preserve">15</w:t>
      </w:r>
      <w:r w:rsidDel="00000000" w:rsidR="00000000" w:rsidRPr="00000000">
        <w:rPr>
          <w:rFonts w:ascii="Times New Roman" w:cs="Times New Roman" w:eastAsia="Times New Roman" w:hAnsi="Times New Roman"/>
          <w:sz w:val="20"/>
          <w:szCs w:val="20"/>
          <w:rtl w:val="0"/>
        </w:rPr>
        <w:t xml:space="preserve"> Global analyses often miss India’s socioeconomic and infrastructural complexities, as prior paragraphs show.</w:t>
      </w:r>
      <w:r w:rsidDel="00000000" w:rsidR="00000000" w:rsidRPr="00000000">
        <w:rPr>
          <w:rFonts w:ascii="Times New Roman" w:cs="Times New Roman" w:eastAsia="Times New Roman" w:hAnsi="Times New Roman"/>
          <w:sz w:val="20"/>
          <w:szCs w:val="20"/>
          <w:vertAlign w:val="superscript"/>
          <w:rtl w:val="0"/>
        </w:rPr>
        <w:t xml:space="preserve">4, 14</w:t>
      </w:r>
      <w:r w:rsidDel="00000000" w:rsidR="00000000" w:rsidRPr="00000000">
        <w:rPr>
          <w:rFonts w:ascii="Times New Roman" w:cs="Times New Roman" w:eastAsia="Times New Roman" w:hAnsi="Times New Roman"/>
          <w:sz w:val="20"/>
          <w:szCs w:val="20"/>
          <w:rtl w:val="0"/>
        </w:rPr>
        <w:t xml:space="preserve"> Your study reveals minimal gender differences due to access equality, aligning with socioeconomic evidence over physiological claims.</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ICAP’s urban bias and slow rural electrification fail to address elderly vulnerabilities, despite efficiency goals.</w:t>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Times New Roman" w:cs="Times New Roman" w:eastAsia="Times New Roman" w:hAnsi="Times New Roman"/>
          <w:sz w:val="20"/>
          <w:szCs w:val="20"/>
          <w:rtl w:val="0"/>
        </w:rPr>
        <w:t xml:space="preserve"> By linking validated heat index data, this research informs targeted adaptations, like elderly-focused cooling, to bridge policy gaps.</w:t>
      </w: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Times New Roman" w:cs="Times New Roman" w:eastAsia="Times New Roman" w:hAnsi="Times New Roman"/>
          <w:sz w:val="20"/>
          <w:szCs w:val="20"/>
          <w:rtl w:val="0"/>
        </w:rPr>
        <w:t xml:space="preserve"> Future studies should refine these insights for equitable resilience.</w:t>
      </w:r>
      <w:r w:rsidDel="00000000" w:rsidR="00000000" w:rsidRPr="00000000">
        <w:rPr>
          <w:rFonts w:ascii="Times New Roman" w:cs="Times New Roman" w:eastAsia="Times New Roman" w:hAnsi="Times New Roman"/>
          <w:sz w:val="20"/>
          <w:szCs w:val="20"/>
          <w:vertAlign w:val="superscript"/>
          <w:rtl w:val="0"/>
        </w:rPr>
        <w:t xml:space="preserve">11</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rtl w:val="0"/>
        </w:rPr>
        <w:t xml:space="preserve">References</w:t>
      </w: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11</w:t>
      </w:r>
      <w:r w:rsidDel="00000000" w:rsidR="00000000" w:rsidRPr="00000000">
        <w:rPr>
          <w:rFonts w:ascii="Times New Roman" w:cs="Times New Roman" w:eastAsia="Times New Roman" w:hAnsi="Times New Roman"/>
          <w:i w:val="1"/>
          <w:sz w:val="20"/>
          <w:szCs w:val="20"/>
          <w:rtl w:val="0"/>
        </w:rPr>
        <w:t xml:space="preserve"> Anderson, G. B., et al. “Heat-Related Mortality Risk in the United States.” Environmental Research Letters, vol. 13, no. 5, 2018, pp. 1–10.</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12</w:t>
      </w:r>
      <w:r w:rsidDel="00000000" w:rsidR="00000000" w:rsidRPr="00000000">
        <w:rPr>
          <w:rFonts w:ascii="Times New Roman" w:cs="Times New Roman" w:eastAsia="Times New Roman" w:hAnsi="Times New Roman"/>
          <w:i w:val="1"/>
          <w:sz w:val="20"/>
          <w:szCs w:val="20"/>
          <w:rtl w:val="0"/>
        </w:rPr>
        <w:t xml:space="preserve"> Davis, Lawrence W., and Paul J. Gertler. “Contribution of Air Conditioning Adoption to Future Energy Use under Global Warming.” Proceedings of the National Academy of Sciences, vol. 112, no. 19, 2015, pp. 5962–5967.</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13</w:t>
      </w:r>
      <w:r w:rsidDel="00000000" w:rsidR="00000000" w:rsidRPr="00000000">
        <w:rPr>
          <w:rFonts w:ascii="Times New Roman" w:cs="Times New Roman" w:eastAsia="Times New Roman" w:hAnsi="Times New Roman"/>
          <w:i w:val="1"/>
          <w:sz w:val="20"/>
          <w:szCs w:val="20"/>
          <w:rtl w:val="0"/>
        </w:rPr>
        <w:t xml:space="preserve"> Lutz, Wolfgang, et al. “Demographic Scenarios for the SSPs.” Nature Climate Change, vol. 9, no. 4, 2019, pp. 255–262.</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14</w:t>
      </w:r>
      <w:r w:rsidDel="00000000" w:rsidR="00000000" w:rsidRPr="00000000">
        <w:rPr>
          <w:rFonts w:ascii="Times New Roman" w:cs="Times New Roman" w:eastAsia="Times New Roman" w:hAnsi="Times New Roman"/>
          <w:i w:val="1"/>
          <w:sz w:val="20"/>
          <w:szCs w:val="20"/>
          <w:rtl w:val="0"/>
        </w:rPr>
        <w:t xml:space="preserve"> Biardeau, Léa T., et al. “Heat Exposure and Global Air Conditioning.” Nature Sustainability, vol. 3, no. 1, 2020, pp. 25–28.</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15</w:t>
      </w:r>
      <w:r w:rsidDel="00000000" w:rsidR="00000000" w:rsidRPr="00000000">
        <w:rPr>
          <w:rFonts w:ascii="Times New Roman" w:cs="Times New Roman" w:eastAsia="Times New Roman" w:hAnsi="Times New Roman"/>
          <w:i w:val="1"/>
          <w:sz w:val="20"/>
          <w:szCs w:val="20"/>
          <w:rtl w:val="0"/>
        </w:rPr>
        <w:t xml:space="preserve"> Jones, Robert N., et al. “Foundations for Decision Making under Climate Change.” Climate Change, vol. 2, no. 1, 2014, pp. 45–62.</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16 </w:t>
      </w:r>
      <w:r w:rsidDel="00000000" w:rsidR="00000000" w:rsidRPr="00000000">
        <w:rPr>
          <w:rFonts w:ascii="Times New Roman" w:cs="Times New Roman" w:eastAsia="Times New Roman" w:hAnsi="Times New Roman"/>
          <w:i w:val="1"/>
          <w:sz w:val="20"/>
          <w:szCs w:val="20"/>
          <w:rtl w:val="0"/>
        </w:rPr>
        <w:t xml:space="preserve">Debnath, Ramit, and Ronita Bardhan. "Are Heatwaves More Deadly for Women?" Significance Magazine, 2024, https://significancemagazine.com/long-read-are-heatwaves-more-deadly-for-women/.</w:t>
        <w:br w:type="textWrapping"/>
      </w:r>
    </w:p>
    <w:p w:rsidR="00000000" w:rsidDel="00000000" w:rsidP="00000000" w:rsidRDefault="00000000" w:rsidRPr="00000000" w14:paraId="0000002E">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17 </w:t>
      </w:r>
      <w:r w:rsidDel="00000000" w:rsidR="00000000" w:rsidRPr="00000000">
        <w:rPr>
          <w:rFonts w:ascii="Times New Roman" w:cs="Times New Roman" w:eastAsia="Times New Roman" w:hAnsi="Times New Roman"/>
          <w:i w:val="1"/>
          <w:sz w:val="20"/>
          <w:szCs w:val="20"/>
          <w:rtl w:val="0"/>
        </w:rPr>
        <w:t xml:space="preserve">Debnath, Ramit, and Ronita Bardhan. "India’s Deadly Heatwaves Set to Intensify." Nature, 2024, https://www.nature.com/articles/d44151-024-00084-w.</w:t>
        <w:br w:type="textWrapping"/>
      </w:r>
    </w:p>
    <w:p w:rsidR="00000000" w:rsidDel="00000000" w:rsidP="00000000" w:rsidRDefault="00000000" w:rsidRPr="00000000" w14:paraId="0000002F">
      <w:pPr>
        <w:spacing w:after="240" w:befor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18 </w:t>
      </w:r>
      <w:r w:rsidDel="00000000" w:rsidR="00000000" w:rsidRPr="00000000">
        <w:rPr>
          <w:rFonts w:ascii="Times New Roman" w:cs="Times New Roman" w:eastAsia="Times New Roman" w:hAnsi="Times New Roman"/>
          <w:i w:val="1"/>
          <w:sz w:val="20"/>
          <w:szCs w:val="20"/>
          <w:rtl w:val="0"/>
        </w:rPr>
        <w:t xml:space="preserve">Debnath, Ramit, and Ronita Bardhan. "Gendered Heatwave Vulnerabilities in Urban India." The Lancet Planetary Health, vol. 8, no. 10, 2024, pp. E770-e778, https://www.thelancet.com/journals/lanplh/article/PIIS2542-5196(24)00270-5/fulltext.</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jc w:val="both"/>
        <w:rPr>
          <w:rFonts w:ascii="Times New Roman" w:cs="Times New Roman" w:eastAsia="Times New Roman" w:hAnsi="Times New Roman"/>
          <w:b w:val="1"/>
          <w:color w:val="000000"/>
          <w:sz w:val="28"/>
          <w:szCs w:val="28"/>
        </w:rPr>
      </w:pPr>
      <w:bookmarkStart w:colFirst="0" w:colLast="0" w:name="_hrr2wkc7t6yj" w:id="2"/>
      <w:bookmarkEnd w:id="2"/>
      <w:r w:rsidDel="00000000" w:rsidR="00000000" w:rsidRPr="00000000">
        <w:rPr>
          <w:rFonts w:ascii="Times New Roman" w:cs="Times New Roman" w:eastAsia="Times New Roman" w:hAnsi="Times New Roman"/>
          <w:b w:val="1"/>
          <w:color w:val="000000"/>
          <w:sz w:val="28"/>
          <w:szCs w:val="28"/>
          <w:rtl w:val="0"/>
        </w:rPr>
        <w:t xml:space="preserve">Methodology</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b w:val="1"/>
          <w:sz w:val="24"/>
          <w:szCs w:val="24"/>
          <w:rtl w:val="0"/>
        </w:rPr>
        <w:t xml:space="preserve">1. Data Sources</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sz w:val="20"/>
          <w:szCs w:val="20"/>
          <w:rtl w:val="0"/>
        </w:rPr>
        <w:t xml:space="preserve">Publicly available datasets from the World Bank Climate Change Knowledge Portal were used to obtain climate and demographic data for India under various Shared Socioeconomic Pathways (SSPs), specifically SSP1-1.9, SSP1-2.6, SSP2-4.5, SSP3-7.0, and SSP5-8.5, covering the period from 2020 to 2099. </w:t>
      </w:r>
      <w:r w:rsidDel="00000000" w:rsidR="00000000" w:rsidRPr="00000000">
        <w:rPr>
          <w:rFonts w:ascii="Times New Roman" w:cs="Times New Roman" w:eastAsia="Times New Roman" w:hAnsi="Times New Roman"/>
          <w:sz w:val="20"/>
          <w:szCs w:val="20"/>
          <w:vertAlign w:val="superscript"/>
          <w:rtl w:val="0"/>
        </w:rPr>
        <w:t xml:space="preserve">19</w:t>
      </w:r>
      <w:r w:rsidDel="00000000" w:rsidR="00000000" w:rsidRPr="00000000">
        <w:rPr>
          <w:rFonts w:ascii="Times New Roman" w:cs="Times New Roman" w:eastAsia="Times New Roman" w:hAnsi="Times New Roman"/>
          <w:sz w:val="20"/>
          <w:szCs w:val="20"/>
          <w:rtl w:val="0"/>
        </w:rPr>
        <w:t xml:space="preserve"> The climate data included yearly average mean surface temperature and relative humidity, along with their associated uncertainties, which were critical for calculating the heat index using the Rothfusz formula.</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These datasets were selected because they provide high-resolution projections under multiple SSPs, enabling a detailed assessment of future heat stress in India. Population data, disaggregated by age (in 5-year intervals: 0–4, 5–9, …, 95+) and gender (male and female), were sourced from the same database to align with climate projections.</w:t>
      </w:r>
      <w:r w:rsidDel="00000000" w:rsidR="00000000" w:rsidRPr="00000000">
        <w:rPr>
          <w:rFonts w:ascii="Times New Roman" w:cs="Times New Roman" w:eastAsia="Times New Roman" w:hAnsi="Times New Roman"/>
          <w:sz w:val="20"/>
          <w:szCs w:val="20"/>
          <w:vertAlign w:val="superscript"/>
          <w:rtl w:val="0"/>
        </w:rPr>
        <w:t xml:space="preserve">15</w:t>
      </w:r>
      <w:r w:rsidDel="00000000" w:rsidR="00000000" w:rsidRPr="00000000">
        <w:rPr>
          <w:rFonts w:ascii="Times New Roman" w:cs="Times New Roman" w:eastAsia="Times New Roman" w:hAnsi="Times New Roman"/>
          <w:sz w:val="20"/>
          <w:szCs w:val="20"/>
          <w:rtl w:val="0"/>
        </w:rPr>
        <w:t xml:space="preserve"> These five-year bins, inherent to the dataset, limit granularity for elderly vulnerabilities, a constraint for future research.</w:t>
      </w:r>
      <w:r w:rsidDel="00000000" w:rsidR="00000000" w:rsidRPr="00000000">
        <w:rPr>
          <w:rFonts w:ascii="Times New Roman" w:cs="Times New Roman" w:eastAsia="Times New Roman" w:hAnsi="Times New Roman"/>
          <w:sz w:val="20"/>
          <w:szCs w:val="20"/>
          <w:vertAlign w:val="superscript"/>
          <w:rtl w:val="0"/>
        </w:rPr>
        <w:t xml:space="preserve">13</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To estimate cooling energy demand, sales data for air conditioners (ACs) and fans were obtained from the Bureau of Energy Efficiency, reflecting adoption trends across India.</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These data included annual sales figures, used as a proxy for cooling device usage, though limitations such as variable usage hours (e.g., urban vs. rural), efficiency differences (e.g., star-rated vs. non-rated models), and exclusion of informal cooling methods (e.g., evaporative coolers) may bias estimates.</w:t>
      </w:r>
      <w:r w:rsidDel="00000000" w:rsidR="00000000" w:rsidRPr="00000000">
        <w:rPr>
          <w:rFonts w:ascii="Times New Roman" w:cs="Times New Roman" w:eastAsia="Times New Roman" w:hAnsi="Times New Roman"/>
          <w:sz w:val="20"/>
          <w:szCs w:val="20"/>
          <w:vertAlign w:val="superscript"/>
          <w:rtl w:val="0"/>
        </w:rPr>
        <w:t xml:space="preserve">15</w:t>
      </w:r>
      <w:r w:rsidDel="00000000" w:rsidR="00000000" w:rsidRPr="00000000">
        <w:rPr>
          <w:rFonts w:ascii="Times New Roman" w:cs="Times New Roman" w:eastAsia="Times New Roman" w:hAnsi="Times New Roman"/>
          <w:sz w:val="20"/>
          <w:szCs w:val="20"/>
          <w:rtl w:val="0"/>
        </w:rPr>
        <w:t xml:space="preserve"> The use of sales data aligns with established methods in energy demand studies, providing a robust foundation.</w:t>
      </w:r>
      <w:r w:rsidDel="00000000" w:rsidR="00000000" w:rsidRPr="00000000">
        <w:rPr>
          <w:rFonts w:ascii="Times New Roman" w:cs="Times New Roman" w:eastAsia="Times New Roman" w:hAnsi="Times New Roman"/>
          <w:sz w:val="20"/>
          <w:szCs w:val="20"/>
          <w:vertAlign w:val="superscript"/>
          <w:rtl w:val="0"/>
        </w:rPr>
        <w:t xml:space="preserve">10</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Heat Index Calculation</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The heat index (HI) was calculated to quantify perceived heat stress, using the Rothfusz (1990) formula, which integrates temperature and relative humidity to measure how hot it feels to the human body.</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The formula is expressed as:</w:t>
      </w: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914400"/>
            <wp:effectExtent b="0" l="0" r="0" t="0"/>
            <wp:docPr id="64"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 is the temperature in degrees Fahrenheit (°F) and RH is the relative humidity in percentage (%). Temperature and humidity data from the World Bank Climate Change Knowledge Portal were initially provided in degrees Celsius and percentage, respectively.</w:t>
      </w:r>
      <w:r w:rsidDel="00000000" w:rsidR="00000000" w:rsidRPr="00000000">
        <w:rPr>
          <w:rFonts w:ascii="Times New Roman" w:cs="Times New Roman" w:eastAsia="Times New Roman" w:hAnsi="Times New Roman"/>
          <w:sz w:val="20"/>
          <w:szCs w:val="20"/>
          <w:vertAlign w:val="superscript"/>
          <w:rtl w:val="0"/>
        </w:rPr>
        <w:t xml:space="preserve">15</w:t>
      </w:r>
      <w:r w:rsidDel="00000000" w:rsidR="00000000" w:rsidRPr="00000000">
        <w:rPr>
          <w:rFonts w:ascii="Times New Roman" w:cs="Times New Roman" w:eastAsia="Times New Roman" w:hAnsi="Times New Roman"/>
          <w:sz w:val="20"/>
          <w:szCs w:val="20"/>
          <w:rtl w:val="0"/>
        </w:rPr>
        <w:t xml:space="preserve"> To apply the formula, temperature values were converted from Celsius to Fahrenheit using the standard conversion:</w:t>
      </w:r>
    </w:p>
    <w:p w:rsidR="00000000" w:rsidDel="00000000" w:rsidP="00000000" w:rsidRDefault="00000000" w:rsidRPr="00000000" w14:paraId="00000038">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2428875" cy="345945"/>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28875" cy="34594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The Rothfusz formula aligns with reported heat stress trends in urban India, though rural data gaps suggest caution in broader application.</w:t>
      </w:r>
      <w:r w:rsidDel="00000000" w:rsidR="00000000" w:rsidRPr="00000000">
        <w:rPr>
          <w:rFonts w:ascii="Times New Roman" w:cs="Times New Roman" w:eastAsia="Times New Roman" w:hAnsi="Times New Roman"/>
          <w:sz w:val="20"/>
          <w:szCs w:val="20"/>
          <w:vertAlign w:val="superscript"/>
          <w:rtl w:val="0"/>
        </w:rPr>
        <w:t xml:space="preserve">9</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Heat Index Visualization</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sz w:val="20"/>
          <w:szCs w:val="20"/>
          <w:rtl w:val="0"/>
        </w:rPr>
        <w:t xml:space="preserve">The heat index (HI), its median, and 10th and 90th percentile ranges were visualised to assess trends for each SSP (SSP1-1.9, SSP1-2.6, SSP2-4.5, SSP3-7.0, SSP5-8.5) from 2020 to 2099, using Python’s matplotlib library.</w:t>
      </w:r>
      <w:r w:rsidDel="00000000" w:rsidR="00000000" w:rsidRPr="00000000">
        <w:rPr>
          <w:rFonts w:ascii="Times New Roman" w:cs="Times New Roman" w:eastAsia="Times New Roman" w:hAnsi="Times New Roman"/>
          <w:sz w:val="20"/>
          <w:szCs w:val="20"/>
          <w:vertAlign w:val="superscript"/>
          <w:rtl w:val="0"/>
        </w:rPr>
        <w:t xml:space="preserve">15</w:t>
      </w:r>
      <w:r w:rsidDel="00000000" w:rsidR="00000000" w:rsidRPr="00000000">
        <w:rPr>
          <w:rFonts w:ascii="Times New Roman" w:cs="Times New Roman" w:eastAsia="Times New Roman" w:hAnsi="Times New Roman"/>
          <w:sz w:val="20"/>
          <w:szCs w:val="20"/>
          <w:rtl w:val="0"/>
        </w:rPr>
        <w:t xml:space="preserve"> Calculated with the Rothfusz formula, the HI data were plotted as median trends with shaded uncertainty bounds (10th–90th percentiles) for each SSP, as shown in Figure 1, consistent with urban heat stress trends.</w:t>
      </w:r>
      <w:r w:rsidDel="00000000" w:rsidR="00000000" w:rsidRPr="00000000">
        <w:rPr>
          <w:rFonts w:ascii="Times New Roman" w:cs="Times New Roman" w:eastAsia="Times New Roman" w:hAnsi="Times New Roman"/>
          <w:sz w:val="20"/>
          <w:szCs w:val="20"/>
          <w:vertAlign w:val="superscript"/>
          <w:rtl w:val="0"/>
        </w:rPr>
        <w:t xml:space="preserve">1, 9</w:t>
      </w:r>
      <w:r w:rsidDel="00000000" w:rsidR="00000000" w:rsidRPr="00000000">
        <w:rPr>
          <w:rFonts w:ascii="Times New Roman" w:cs="Times New Roman" w:eastAsia="Times New Roman" w:hAnsi="Times New Roman"/>
          <w:sz w:val="20"/>
          <w:szCs w:val="20"/>
          <w:rtl w:val="0"/>
        </w:rPr>
        <w:t xml:space="preserve"> These visualisations highlight temporal variability in heat stress across India, supporting robust analysis of future heatwave risks. The plots were saved for the Results section, providing clear, data-driven insights into climate impacts.</w:t>
      </w:r>
      <w:r w:rsidDel="00000000" w:rsidR="00000000" w:rsidRPr="00000000">
        <w:rPr>
          <w:rFonts w:ascii="Times New Roman" w:cs="Times New Roman" w:eastAsia="Times New Roman" w:hAnsi="Times New Roman"/>
          <w:sz w:val="20"/>
          <w:szCs w:val="20"/>
          <w:vertAlign w:val="superscript"/>
          <w:rtl w:val="0"/>
        </w:rPr>
        <w:t xml:space="preserve">15</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Cooling Energy Demand Estimation</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sz w:val="20"/>
          <w:szCs w:val="20"/>
          <w:rtl w:val="0"/>
        </w:rPr>
        <w:t xml:space="preserve">Cooling energy demand was estimated using sales data for air conditioners (ACs) and ceiling fans, following a multi-step process to convert sales figures into energy consumption and project future demand across India.</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The process began with extracting historical sales data from 2020 to 2039, sourced from the Bureau of Energy Efficiency, reflecting adoption trends. When real sales values were missing, approximations were made based on trends in the available data, a common practice in energy demand studies, though this introduces potential biases due to unaccounted variations in usage patterns or informal cooling methods like evaporative coolers.</w:t>
      </w:r>
      <w:r w:rsidDel="00000000" w:rsidR="00000000" w:rsidRPr="00000000">
        <w:rPr>
          <w:rFonts w:ascii="Times New Roman" w:cs="Times New Roman" w:eastAsia="Times New Roman" w:hAnsi="Times New Roman"/>
          <w:sz w:val="20"/>
          <w:szCs w:val="20"/>
          <w:vertAlign w:val="superscript"/>
          <w:rtl w:val="0"/>
        </w:rPr>
        <w:t xml:space="preserve">12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approach leverages validated methods to ensure robustness, building on prior analyses of cooling trends.</w:t>
      </w:r>
      <w:r w:rsidDel="00000000" w:rsidR="00000000" w:rsidRPr="00000000">
        <w:rPr>
          <w:rFonts w:ascii="Times New Roman" w:cs="Times New Roman" w:eastAsia="Times New Roman" w:hAnsi="Times New Roman"/>
          <w:sz w:val="20"/>
          <w:szCs w:val="20"/>
          <w:vertAlign w:val="superscript"/>
          <w:rtl w:val="0"/>
        </w:rPr>
        <w:t xml:space="preserve">11</w:t>
      </w:r>
    </w:p>
    <w:p w:rsidR="00000000" w:rsidDel="00000000" w:rsidP="00000000" w:rsidRDefault="00000000" w:rsidRPr="00000000" w14:paraId="0000003C">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Energy Consumption Calculation</w:t>
      </w:r>
      <w:r w:rsidDel="00000000" w:rsidR="00000000" w:rsidRPr="00000000">
        <w:rPr>
          <w:rFonts w:ascii="Times New Roman" w:cs="Times New Roman" w:eastAsia="Times New Roman" w:hAnsi="Times New Roman"/>
          <w:b w:val="1"/>
          <w:i w:val="1"/>
          <w:rtl w:val="0"/>
        </w:rPr>
        <w:br w:type="textWrapping"/>
      </w:r>
      <w:r w:rsidDel="00000000" w:rsidR="00000000" w:rsidRPr="00000000">
        <w:rPr>
          <w:rFonts w:ascii="Times New Roman" w:cs="Times New Roman" w:eastAsia="Times New Roman" w:hAnsi="Times New Roman"/>
          <w:rtl w:val="0"/>
        </w:rPr>
        <w:t xml:space="preserve">Energy consumption was calculated based on assumptions about appliance usage:</w:t>
      </w:r>
    </w:p>
    <w:p w:rsidR="00000000" w:rsidDel="00000000" w:rsidP="00000000" w:rsidRDefault="00000000" w:rsidRPr="00000000" w14:paraId="0000003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Ceiling Fans</w:t>
      </w:r>
      <w:r w:rsidDel="00000000" w:rsidR="00000000" w:rsidRPr="00000000">
        <w:rPr>
          <w:rFonts w:ascii="Times New Roman" w:cs="Times New Roman" w:eastAsia="Times New Roman" w:hAnsi="Times New Roman"/>
          <w:rtl w:val="0"/>
        </w:rPr>
        <w:t xml:space="preserve">: Estimated to consume 0.05 TWh per million units sold annually, based on an average power rating of 50 W and typical usage patterns (8 hours per day during the cooling season).</w:t>
      </w:r>
      <w:r w:rsidDel="00000000" w:rsidR="00000000" w:rsidRPr="00000000">
        <w:rPr>
          <w:rFonts w:ascii="Times New Roman" w:cs="Times New Roman" w:eastAsia="Times New Roman" w:hAnsi="Times New Roman"/>
          <w:vertAlign w:val="superscript"/>
          <w:rtl w:val="0"/>
        </w:rPr>
        <w:t xml:space="preserve">2</w:t>
      </w:r>
    </w:p>
    <w:p w:rsidR="00000000" w:rsidDel="00000000" w:rsidP="00000000" w:rsidRDefault="00000000" w:rsidRPr="00000000" w14:paraId="0000003E">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Air Conditioners (ACs)</w:t>
      </w:r>
      <w:r w:rsidDel="00000000" w:rsidR="00000000" w:rsidRPr="00000000">
        <w:rPr>
          <w:rFonts w:ascii="Times New Roman" w:cs="Times New Roman" w:eastAsia="Times New Roman" w:hAnsi="Times New Roman"/>
          <w:rtl w:val="0"/>
        </w:rPr>
        <w:t xml:space="preserve">: Estimated to consume 1.5 TWh per million units sold annually, based on an average power rating of 1.5 kW and similar usage pattern.</w:t>
      </w:r>
      <w:r w:rsidDel="00000000" w:rsidR="00000000" w:rsidRPr="00000000">
        <w:rPr>
          <w:rFonts w:ascii="Times New Roman" w:cs="Times New Roman" w:eastAsia="Times New Roman" w:hAnsi="Times New Roman"/>
          <w:vertAlign w:val="superscript"/>
          <w:rtl w:val="0"/>
        </w:rPr>
        <w:t xml:space="preserve">2</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assumptions align with standard energy demand studies but may overestimate urban consumption or miss rural variations, such as reliance on non-electric cooling, limiting generalisability.</w:t>
      </w:r>
      <w:r w:rsidDel="00000000" w:rsidR="00000000" w:rsidRPr="00000000">
        <w:rPr>
          <w:rFonts w:ascii="Times New Roman" w:cs="Times New Roman" w:eastAsia="Times New Roman" w:hAnsi="Times New Roman"/>
          <w:vertAlign w:val="superscript"/>
          <w:rtl w:val="0"/>
        </w:rPr>
        <w:t xml:space="preserve">12</w:t>
      </w:r>
      <w:r w:rsidDel="00000000" w:rsidR="00000000" w:rsidRPr="00000000">
        <w:rPr>
          <w:rFonts w:ascii="Times New Roman" w:cs="Times New Roman" w:eastAsia="Times New Roman" w:hAnsi="Times New Roman"/>
          <w:rtl w:val="0"/>
        </w:rPr>
        <w:t xml:space="preserve"> The calculations are as follows:</w:t>
      </w:r>
      <w:r w:rsidDel="00000000" w:rsidR="00000000" w:rsidRPr="00000000">
        <w:rPr>
          <w:rtl w:val="0"/>
        </w:rPr>
      </w:r>
    </w:p>
    <w:p w:rsidR="00000000" w:rsidDel="00000000" w:rsidP="00000000" w:rsidRDefault="00000000" w:rsidRPr="00000000" w14:paraId="00000040">
      <w:pPr>
        <w:numPr>
          <w:ilvl w:val="0"/>
          <w:numId w:val="5"/>
        </w:numPr>
        <w:spacing w:after="0" w:afterAutospacing="0" w:before="240" w:lineRule="auto"/>
        <w:ind w:left="720" w:hanging="360"/>
        <w:rPr>
          <w:rFonts w:ascii="Georgia" w:cs="Georgia" w:eastAsia="Georgia" w:hAnsi="Georgia"/>
        </w:rPr>
      </w:pPr>
      <w:r w:rsidDel="00000000" w:rsidR="00000000" w:rsidRPr="00000000">
        <w:rPr>
          <w:rFonts w:ascii="Times New Roman" w:cs="Times New Roman" w:eastAsia="Times New Roman" w:hAnsi="Times New Roman"/>
          <w:b w:val="1"/>
          <w:rtl w:val="0"/>
        </w:rPr>
        <w:t xml:space="preserve">Fan Energy Consumption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Pr>
        <w:drawing>
          <wp:inline distB="114300" distT="114300" distL="114300" distR="114300">
            <wp:extent cx="4058026" cy="468556"/>
            <wp:effectExtent b="0" l="0" r="0" t="0"/>
            <wp:docPr id="73"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4058026" cy="46855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Georgia" w:cs="Georgia" w:eastAsia="Georgia" w:hAnsi="Georgia"/>
        </w:rPr>
      </w:pPr>
      <w:r w:rsidDel="00000000" w:rsidR="00000000" w:rsidRPr="00000000">
        <w:rPr>
          <w:rFonts w:ascii="Times New Roman" w:cs="Times New Roman" w:eastAsia="Times New Roman" w:hAnsi="Times New Roman"/>
          <w:b w:val="1"/>
          <w:rtl w:val="0"/>
        </w:rPr>
        <w:t xml:space="preserve">AC Energy Consumption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Pr>
        <w:drawing>
          <wp:inline distB="114300" distT="114300" distL="114300" distR="114300">
            <wp:extent cx="4043291" cy="485973"/>
            <wp:effectExtent b="0" l="0" r="0" t="0"/>
            <wp:docPr id="62"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4043291" cy="48597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5"/>
        </w:numPr>
        <w:spacing w:after="240" w:before="0" w:beforeAutospacing="0" w:lineRule="auto"/>
        <w:ind w:left="720" w:hanging="360"/>
        <w:rPr>
          <w:rFonts w:ascii="Georgia" w:cs="Georgia" w:eastAsia="Georgia" w:hAnsi="Georgia"/>
        </w:rPr>
      </w:pPr>
      <w:r w:rsidDel="00000000" w:rsidR="00000000" w:rsidRPr="00000000">
        <w:rPr>
          <w:rFonts w:ascii="Times New Roman" w:cs="Times New Roman" w:eastAsia="Times New Roman" w:hAnsi="Times New Roman"/>
          <w:b w:val="1"/>
          <w:rtl w:val="0"/>
        </w:rPr>
        <w:t xml:space="preserve">Total Estimated Cooling Consumption</w:t>
      </w:r>
      <w:r w:rsidDel="00000000" w:rsidR="00000000" w:rsidRPr="00000000">
        <w:rPr>
          <w:rFonts w:ascii="Times New Roman" w:cs="Times New Roman" w:eastAsia="Times New Roman" w:hAnsi="Times New Roman"/>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352425</wp:posOffset>
            </wp:positionV>
            <wp:extent cx="4143801" cy="521179"/>
            <wp:effectExtent b="0" l="0" r="0" t="0"/>
            <wp:wrapNone/>
            <wp:docPr id="47" name="image32.png"/>
            <a:graphic>
              <a:graphicData uri="http://schemas.openxmlformats.org/drawingml/2006/picture">
                <pic:pic>
                  <pic:nvPicPr>
                    <pic:cNvPr id="0" name="image32.png"/>
                    <pic:cNvPicPr preferRelativeResize="0"/>
                  </pic:nvPicPr>
                  <pic:blipFill>
                    <a:blip r:embed="rId10"/>
                    <a:srcRect b="0" l="0" r="0" t="11479"/>
                    <a:stretch>
                      <a:fillRect/>
                    </a:stretch>
                  </pic:blipFill>
                  <pic:spPr>
                    <a:xfrm>
                      <a:off x="0" y="0"/>
                      <a:ext cx="4143801" cy="521179"/>
                    </a:xfrm>
                    <a:prstGeom prst="rect"/>
                    <a:ln/>
                  </pic:spPr>
                </pic:pic>
              </a:graphicData>
            </a:graphic>
          </wp:anchor>
        </w:drawing>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This provided a historical dataset (2020–2039) for forecasting.</w:t>
      </w:r>
      <w:r w:rsidDel="00000000" w:rsidR="00000000" w:rsidRPr="00000000">
        <w:rPr>
          <w:rFonts w:ascii="Times New Roman" w:cs="Times New Roman" w:eastAsia="Times New Roman" w:hAnsi="Times New Roman"/>
          <w:sz w:val="20"/>
          <w:szCs w:val="20"/>
          <w:vertAlign w:val="superscript"/>
          <w:rtl w:val="0"/>
        </w:rPr>
        <w:t xml:space="preserve">19</w:t>
      </w:r>
    </w:p>
    <w:p w:rsidR="00000000" w:rsidDel="00000000" w:rsidP="00000000" w:rsidRDefault="00000000" w:rsidRPr="00000000" w14:paraId="00000046">
      <w:pPr>
        <w:spacing w:after="240" w:before="240" w:lineRule="auto"/>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Linear Regression for Forecasting</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project cooling energy consumption from 2040 to 2099, a linear regression model was applied to the historical data (2020–2039), with the year as the independent variable and total cooling consumption as the dependent variable.</w:t>
      </w:r>
      <w:r w:rsidDel="00000000" w:rsidR="00000000" w:rsidRPr="00000000">
        <w:rPr>
          <w:rFonts w:ascii="Times New Roman" w:cs="Times New Roman" w:eastAsia="Times New Roman" w:hAnsi="Times New Roman"/>
          <w:sz w:val="20"/>
          <w:szCs w:val="20"/>
          <w:vertAlign w:val="superscript"/>
          <w:rtl w:val="0"/>
        </w:rPr>
        <w:t xml:space="preserve">15</w:t>
      </w:r>
      <w:r w:rsidDel="00000000" w:rsidR="00000000" w:rsidRPr="00000000">
        <w:rPr>
          <w:rFonts w:ascii="Times New Roman" w:cs="Times New Roman" w:eastAsia="Times New Roman" w:hAnsi="Times New Roman"/>
          <w:sz w:val="20"/>
          <w:szCs w:val="20"/>
          <w:rtl w:val="0"/>
        </w:rPr>
        <w:t xml:space="preserve"> The model, implemented using Python’s scikit-learn library, fitted a straight line:</w:t>
      </w:r>
    </w:p>
    <w:p w:rsidR="00000000" w:rsidDel="00000000" w:rsidP="00000000" w:rsidRDefault="00000000" w:rsidRPr="00000000" w14:paraId="00000048">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4205984" cy="381516"/>
            <wp:effectExtent b="0" l="0" r="0" t="0"/>
            <wp:docPr id="36"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4205984" cy="38151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β0​ is the intercept, β1​ is the slope coefficient, and ϵ is the error term.</w:t>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Linear regression was chosen for its ability to capture linear trends, though it may oversimplify non-linear shifts in cooling demand driven by socioeconomic changes or technology adoption.</w:t>
      </w:r>
      <w:r w:rsidDel="00000000" w:rsidR="00000000" w:rsidRPr="00000000">
        <w:rPr>
          <w:rFonts w:ascii="Times New Roman" w:cs="Times New Roman" w:eastAsia="Times New Roman" w:hAnsi="Times New Roman"/>
          <w:sz w:val="20"/>
          <w:szCs w:val="20"/>
          <w:vertAlign w:val="superscript"/>
          <w:rtl w:val="0"/>
        </w:rPr>
        <w:t xml:space="preserve">15</w:t>
      </w:r>
      <w:r w:rsidDel="00000000" w:rsidR="00000000" w:rsidRPr="00000000">
        <w:rPr>
          <w:rFonts w:ascii="Times New Roman" w:cs="Times New Roman" w:eastAsia="Times New Roman" w:hAnsi="Times New Roman"/>
          <w:sz w:val="20"/>
          <w:szCs w:val="20"/>
          <w:rtl w:val="0"/>
        </w:rPr>
        <w:t xml:space="preserve"> The predicted values were combined with historical data to create a complete dataset (2020–2099), reflecting your analytical approach to robust forecasting.</w:t>
      </w:r>
      <w:r w:rsidDel="00000000" w:rsidR="00000000" w:rsidRPr="00000000">
        <w:rPr>
          <w:rFonts w:ascii="Times New Roman" w:cs="Times New Roman" w:eastAsia="Times New Roman" w:hAnsi="Times New Roman"/>
          <w:sz w:val="20"/>
          <w:szCs w:val="20"/>
          <w:vertAlign w:val="superscript"/>
          <w:rtl w:val="0"/>
        </w:rPr>
        <w:t xml:space="preserve">12</w:t>
      </w:r>
    </w:p>
    <w:p w:rsidR="00000000" w:rsidDel="00000000" w:rsidP="00000000" w:rsidRDefault="00000000" w:rsidRPr="00000000" w14:paraId="0000004B">
      <w:pPr>
        <w:pStyle w:val="Heading5"/>
        <w:keepNext w:val="0"/>
        <w:keepLines w:val="0"/>
        <w:spacing w:after="40" w:before="220" w:lineRule="auto"/>
        <w:jc w:val="both"/>
        <w:rPr>
          <w:rFonts w:ascii="Times New Roman" w:cs="Times New Roman" w:eastAsia="Times New Roman" w:hAnsi="Times New Roman"/>
          <w:b w:val="1"/>
          <w:i w:val="1"/>
          <w:color w:val="000000"/>
        </w:rPr>
      </w:pPr>
      <w:bookmarkStart w:colFirst="0" w:colLast="0" w:name="_tpky8738irdx" w:id="3"/>
      <w:bookmarkEnd w:id="3"/>
      <w:r w:rsidDel="00000000" w:rsidR="00000000" w:rsidRPr="00000000">
        <w:rPr>
          <w:rFonts w:ascii="Times New Roman" w:cs="Times New Roman" w:eastAsia="Times New Roman" w:hAnsi="Times New Roman"/>
          <w:b w:val="1"/>
          <w:i w:val="1"/>
          <w:color w:val="000000"/>
          <w:rtl w:val="0"/>
        </w:rPr>
        <w:t xml:space="preserve">Weighting by Population</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total cooling energy consumption was weighted by population distributions across different age groups (0–4, 5–9, …, 95+) and genders (male and female) for each SSP, ensuring demographic granularity in demand estimates.</w:t>
      </w:r>
      <w:r w:rsidDel="00000000" w:rsidR="00000000" w:rsidRPr="00000000">
        <w:rPr>
          <w:rFonts w:ascii="Times New Roman" w:cs="Times New Roman" w:eastAsia="Times New Roman" w:hAnsi="Times New Roman"/>
          <w:sz w:val="20"/>
          <w:szCs w:val="20"/>
          <w:vertAlign w:val="superscript"/>
          <w:rtl w:val="0"/>
        </w:rPr>
        <w:t xml:space="preserve">19</w:t>
      </w:r>
      <w:r w:rsidDel="00000000" w:rsidR="00000000" w:rsidRPr="00000000">
        <w:rPr>
          <w:rFonts w:ascii="Times New Roman" w:cs="Times New Roman" w:eastAsia="Times New Roman" w:hAnsi="Times New Roman"/>
          <w:sz w:val="20"/>
          <w:szCs w:val="20"/>
          <w:rtl w:val="0"/>
        </w:rPr>
        <w:t xml:space="preserve"> For each year and SSP, the cooling energy consumption, derived from sales data, was multiplied by the population of each age group and gender:</w:t>
      </w:r>
      <w:r w:rsidDel="00000000" w:rsidR="00000000" w:rsidRPr="00000000">
        <w:rPr>
          <w:rtl w:val="0"/>
        </w:rPr>
      </w:r>
    </w:p>
    <w:p w:rsidR="00000000" w:rsidDel="00000000" w:rsidP="00000000" w:rsidRDefault="00000000" w:rsidRPr="00000000" w14:paraId="0000004D">
      <w:pPr>
        <w:spacing w:after="240" w:befor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1800"/>
            <wp:effectExtent b="0" l="0" r="0" t="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This direct multiplication approach reflected population size without normalising by total population, aligning with contour plot generation. Missing values in energy or population data were replaced with dataset means to ensure completeness, a standard method in energy studies.</w:t>
      </w:r>
      <w:r w:rsidDel="00000000" w:rsidR="00000000" w:rsidRPr="00000000">
        <w:rPr>
          <w:rFonts w:ascii="Times New Roman" w:cs="Times New Roman" w:eastAsia="Times New Roman" w:hAnsi="Times New Roman"/>
          <w:sz w:val="20"/>
          <w:szCs w:val="20"/>
          <w:vertAlign w:val="superscript"/>
          <w:rtl w:val="0"/>
        </w:rPr>
        <w:t xml:space="preserve">15</w:t>
      </w:r>
      <w:r w:rsidDel="00000000" w:rsidR="00000000" w:rsidRPr="00000000">
        <w:rPr>
          <w:rFonts w:ascii="Times New Roman" w:cs="Times New Roman" w:eastAsia="Times New Roman" w:hAnsi="Times New Roman"/>
          <w:sz w:val="20"/>
          <w:szCs w:val="20"/>
          <w:rtl w:val="0"/>
        </w:rPr>
        <w:t xml:space="preserve"> This weighting highlights age and gender disparities, informing equitable policy interventions.</w:t>
      </w:r>
      <w:r w:rsidDel="00000000" w:rsidR="00000000" w:rsidRPr="00000000">
        <w:rPr>
          <w:rFonts w:ascii="Times New Roman" w:cs="Times New Roman" w:eastAsia="Times New Roman" w:hAnsi="Times New Roman"/>
          <w:sz w:val="20"/>
          <w:szCs w:val="20"/>
          <w:vertAlign w:val="superscript"/>
          <w:rtl w:val="0"/>
        </w:rPr>
        <w:t xml:space="preserve">14</w:t>
      </w:r>
      <w:r w:rsidDel="00000000" w:rsidR="00000000" w:rsidRPr="00000000">
        <w:rPr>
          <w:rtl w:val="0"/>
        </w:rPr>
      </w:r>
    </w:p>
    <w:p w:rsidR="00000000" w:rsidDel="00000000" w:rsidP="00000000" w:rsidRDefault="00000000" w:rsidRPr="00000000" w14:paraId="0000004F">
      <w:pPr>
        <w:pStyle w:val="Heading5"/>
        <w:keepNext w:val="0"/>
        <w:keepLines w:val="0"/>
        <w:spacing w:after="40" w:before="220" w:lineRule="auto"/>
        <w:jc w:val="both"/>
        <w:rPr>
          <w:rFonts w:ascii="Times New Roman" w:cs="Times New Roman" w:eastAsia="Times New Roman" w:hAnsi="Times New Roman"/>
          <w:b w:val="1"/>
          <w:color w:val="000000"/>
          <w:sz w:val="24"/>
          <w:szCs w:val="24"/>
        </w:rPr>
      </w:pPr>
      <w:bookmarkStart w:colFirst="0" w:colLast="0" w:name="_w5nw6hnhgr7f" w:id="4"/>
      <w:bookmarkEnd w:id="4"/>
      <w:r w:rsidDel="00000000" w:rsidR="00000000" w:rsidRPr="00000000">
        <w:rPr>
          <w:rFonts w:ascii="Times New Roman" w:cs="Times New Roman" w:eastAsia="Times New Roman" w:hAnsi="Times New Roman"/>
          <w:b w:val="1"/>
          <w:color w:val="000000"/>
          <w:sz w:val="24"/>
          <w:szCs w:val="24"/>
          <w:rtl w:val="0"/>
        </w:rPr>
        <w:t xml:space="preserve">5. </w:t>
      </w:r>
      <w:r w:rsidDel="00000000" w:rsidR="00000000" w:rsidRPr="00000000">
        <w:rPr>
          <w:rFonts w:ascii="Times New Roman" w:cs="Times New Roman" w:eastAsia="Times New Roman" w:hAnsi="Times New Roman"/>
          <w:b w:val="1"/>
          <w:color w:val="000000"/>
          <w:sz w:val="24"/>
          <w:szCs w:val="24"/>
          <w:rtl w:val="0"/>
        </w:rPr>
        <w:t xml:space="preserve">Data Visualization and Analysis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analyze the relationship between heat index, cooling energy demand, and population dynamics, contour plots were generated to depict the variation of weighted cooling energy demand with heat index, age, and gender across four time periods: 2020–2039, 2040–2059, 2060–2079, and 2080–2099 for each SSP (SSP1-1.9, SSP1-2.6, SSP2-4.5, SSP3-7.0, and SSP5-8.5).</w:t>
      </w:r>
      <w:r w:rsidDel="00000000" w:rsidR="00000000" w:rsidRPr="00000000">
        <w:rPr>
          <w:rFonts w:ascii="Times New Roman" w:cs="Times New Roman" w:eastAsia="Times New Roman" w:hAnsi="Times New Roman"/>
          <w:sz w:val="20"/>
          <w:szCs w:val="20"/>
          <w:vertAlign w:val="superscript"/>
          <w:rtl w:val="0"/>
        </w:rPr>
        <w:t xml:space="preserve">19</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Separate contour plots were created for males and females, resulting in 40 plots (5 SSPs × 4 time periods × 2 genders). The plots were generated using Python’s matplotlib and scipy libraries, with the following steps:</w:t>
      </w:r>
    </w:p>
    <w:p w:rsidR="00000000" w:rsidDel="00000000" w:rsidP="00000000" w:rsidRDefault="00000000" w:rsidRPr="00000000" w14:paraId="00000051">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heat index, based on the validated Rothfusz formula, and population data were loaded.</w:t>
      </w:r>
      <w:r w:rsidDel="00000000" w:rsidR="00000000" w:rsidRPr="00000000">
        <w:rPr>
          <w:rFonts w:ascii="Times New Roman" w:cs="Times New Roman" w:eastAsia="Times New Roman" w:hAnsi="Times New Roman"/>
          <w:sz w:val="20"/>
          <w:szCs w:val="20"/>
          <w:vertAlign w:val="superscript"/>
          <w:rtl w:val="0"/>
        </w:rPr>
        <w:t xml:space="preserve">1, 9</w:t>
      </w:r>
      <w:r w:rsidDel="00000000" w:rsidR="00000000" w:rsidRPr="00000000">
        <w:rPr>
          <w:rtl w:val="0"/>
        </w:rPr>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 cooling energy was calculated by multiplying energy estimates, which may carry sales data biases like rural underestimation, by age-group populations.</w:t>
      </w:r>
      <w:r w:rsidDel="00000000" w:rsidR="00000000" w:rsidRPr="00000000">
        <w:rPr>
          <w:rFonts w:ascii="Times New Roman" w:cs="Times New Roman" w:eastAsia="Times New Roman" w:hAnsi="Times New Roman"/>
          <w:sz w:val="20"/>
          <w:szCs w:val="20"/>
          <w:vertAlign w:val="superscript"/>
          <w:rtl w:val="0"/>
        </w:rPr>
        <w:t xml:space="preserve">2</w:t>
      </w:r>
    </w:p>
    <w:p w:rsidR="00000000" w:rsidDel="00000000" w:rsidP="00000000" w:rsidRDefault="00000000" w:rsidRPr="00000000" w14:paraId="00000053">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meshgrid was used with heat index on the x-axis and age groups on the y-axis, interpolated linearly to create smooth contour surfaces, visualising demographic-driven demand patterns for policy insights.</w:t>
      </w:r>
      <w:r w:rsidDel="00000000" w:rsidR="00000000" w:rsidRPr="00000000">
        <w:rPr>
          <w:rFonts w:ascii="Times New Roman" w:cs="Times New Roman" w:eastAsia="Times New Roman" w:hAnsi="Times New Roman"/>
          <w:sz w:val="20"/>
          <w:szCs w:val="20"/>
          <w:vertAlign w:val="superscript"/>
          <w:rtl w:val="0"/>
        </w:rPr>
        <w:t xml:space="preserve">20</w:t>
      </w:r>
      <w:r w:rsidDel="00000000" w:rsidR="00000000" w:rsidRPr="00000000">
        <w:rPr>
          <w:rtl w:val="0"/>
        </w:rPr>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scatter plot was created to compare cooling energy consumption with heat index across all SSPs from 1991 to 2099, with each SSP represented by a different colour to highlight trends. The scatter plot was generated using Python’s matplotlib library, with the following steps:</w:t>
      </w:r>
    </w:p>
    <w:p w:rsidR="00000000" w:rsidDel="00000000" w:rsidP="00000000" w:rsidRDefault="00000000" w:rsidRPr="00000000" w14:paraId="00000055">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Heat index values, derived from the Rothfusz formula, and cooling energy consumption, subject to sales data limitations like rural cooling exclusions, were extracted for each year.</w:t>
      </w:r>
      <w:r w:rsidDel="00000000" w:rsidR="00000000" w:rsidRPr="00000000">
        <w:rPr>
          <w:rFonts w:ascii="Times New Roman" w:cs="Times New Roman" w:eastAsia="Times New Roman" w:hAnsi="Times New Roman"/>
          <w:sz w:val="20"/>
          <w:szCs w:val="20"/>
          <w:vertAlign w:val="superscript"/>
          <w:rtl w:val="0"/>
        </w:rPr>
        <w:t xml:space="preserve">1, 2</w:t>
      </w:r>
    </w:p>
    <w:p w:rsidR="00000000" w:rsidDel="00000000" w:rsidP="00000000" w:rsidRDefault="00000000" w:rsidRPr="00000000" w14:paraId="00000056">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plot used Python’s matplotlib library, with heat index on the x-axis (77–89°C) and energy consumption on the y-axis (4–15 TWh), clipping outliers for clarity.</w:t>
      </w:r>
      <w:r w:rsidDel="00000000" w:rsidR="00000000" w:rsidRPr="00000000">
        <w:rPr>
          <w:rFonts w:ascii="Times New Roman" w:cs="Times New Roman" w:eastAsia="Times New Roman" w:hAnsi="Times New Roman"/>
          <w:sz w:val="20"/>
          <w:szCs w:val="20"/>
          <w:vertAlign w:val="superscript"/>
          <w:rtl w:val="0"/>
        </w:rPr>
        <w:t xml:space="preserve">20</w:t>
      </w:r>
    </w:p>
    <w:p w:rsidR="00000000" w:rsidDel="00000000" w:rsidP="00000000" w:rsidRDefault="00000000" w:rsidRPr="00000000" w14:paraId="00000057">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 ticks improved readability, showing how heat stress drives demand, particularly under high-emission SSPs.</w:t>
      </w: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This visualisation underscores the need for targeted energy policies, reflecting robust analysis of climate-driven demand patterns.</w:t>
      </w:r>
      <w:r w:rsidDel="00000000" w:rsidR="00000000" w:rsidRPr="00000000">
        <w:rPr>
          <w:rFonts w:ascii="Times New Roman" w:cs="Times New Roman" w:eastAsia="Times New Roman" w:hAnsi="Times New Roman"/>
          <w:sz w:val="20"/>
          <w:szCs w:val="20"/>
          <w:vertAlign w:val="superscript"/>
          <w:rtl w:val="0"/>
        </w:rPr>
        <w:t xml:space="preserve">14</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Correlation plots were generated to examine the relationship between Cooling Degree Days (CDD) and population (male and female, age-wise) for each SSP, using Python’s matplotlib and seaborn libraries.</w:t>
      </w:r>
      <w:r w:rsidDel="00000000" w:rsidR="00000000" w:rsidRPr="00000000">
        <w:rPr>
          <w:rFonts w:ascii="Times New Roman" w:cs="Times New Roman" w:eastAsia="Times New Roman" w:hAnsi="Times New Roman"/>
          <w:sz w:val="20"/>
          <w:szCs w:val="20"/>
          <w:vertAlign w:val="superscript"/>
          <w:rtl w:val="0"/>
        </w:rPr>
        <w:t xml:space="preserve">19</w:t>
      </w:r>
      <w:r w:rsidDel="00000000" w:rsidR="00000000" w:rsidRPr="00000000">
        <w:rPr>
          <w:rFonts w:ascii="Times New Roman" w:cs="Times New Roman" w:eastAsia="Times New Roman" w:hAnsi="Times New Roman"/>
          <w:sz w:val="20"/>
          <w:szCs w:val="20"/>
          <w:rtl w:val="0"/>
        </w:rPr>
        <w:t xml:space="preserve"> CDD datasets were obtained from World Bank Climate Knowledge Portal form year 2020–2099 and</w:t>
      </w:r>
      <w:r w:rsidDel="00000000" w:rsidR="00000000" w:rsidRPr="00000000">
        <w:rPr>
          <w:rFonts w:ascii="Times New Roman" w:cs="Times New Roman" w:eastAsia="Times New Roman" w:hAnsi="Times New Roman"/>
          <w:sz w:val="20"/>
          <w:szCs w:val="20"/>
          <w:rtl w:val="0"/>
        </w:rPr>
        <w:t xml:space="preserve"> the correlation plots were created with the following steps:</w:t>
      </w:r>
    </w:p>
    <w:p w:rsidR="00000000" w:rsidDel="00000000" w:rsidP="00000000" w:rsidRDefault="00000000" w:rsidRPr="00000000" w14:paraId="0000005A">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Datasets for CDD and population were combined into a dataframe, and correlations were calculated using pandas’ </w:t>
      </w:r>
      <w:r w:rsidDel="00000000" w:rsidR="00000000" w:rsidRPr="00000000">
        <w:rPr>
          <w:rFonts w:ascii="Roboto Mono" w:cs="Roboto Mono" w:eastAsia="Roboto Mono" w:hAnsi="Roboto Mono"/>
          <w:sz w:val="20"/>
          <w:szCs w:val="20"/>
          <w:shd w:fill="fff2cc" w:val="clear"/>
          <w:rtl w:val="0"/>
        </w:rPr>
        <w:t xml:space="preserve">.corr()</w:t>
      </w:r>
      <w:r w:rsidDel="00000000" w:rsidR="00000000" w:rsidRPr="00000000">
        <w:rPr>
          <w:rFonts w:ascii="Times New Roman" w:cs="Times New Roman" w:eastAsia="Times New Roman" w:hAnsi="Times New Roman"/>
          <w:sz w:val="20"/>
          <w:szCs w:val="20"/>
          <w:rtl w:val="0"/>
        </w:rPr>
        <w:t xml:space="preserve"> function, visualising results as heatmaps.</w:t>
      </w:r>
    </w:p>
    <w:p w:rsidR="00000000" w:rsidDel="00000000" w:rsidP="00000000" w:rsidRDefault="00000000" w:rsidRPr="00000000" w14:paraId="0000005B">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plots reveal demographic drivers of cooling demand, supporting policy-focused insights into India’s adaptation needs.</w:t>
      </w:r>
      <w:r w:rsidDel="00000000" w:rsidR="00000000" w:rsidRPr="00000000">
        <w:rPr>
          <w:rFonts w:ascii="Times New Roman" w:cs="Times New Roman" w:eastAsia="Times New Roman" w:hAnsi="Times New Roman"/>
          <w:sz w:val="20"/>
          <w:szCs w:val="20"/>
          <w:vertAlign w:val="superscript"/>
          <w:rtl w:val="0"/>
        </w:rPr>
        <w:t xml:space="preserve">14</w:t>
      </w: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The overall analytical flow began with acquiring and processing climate and demographic data, followed by calculating the heat index using the Rothfusz formula with uncertainty ranges, consistent with urban heat stress trends.</w:t>
      </w:r>
      <w:r w:rsidDel="00000000" w:rsidR="00000000" w:rsidRPr="00000000">
        <w:rPr>
          <w:rFonts w:ascii="Times New Roman" w:cs="Times New Roman" w:eastAsia="Times New Roman" w:hAnsi="Times New Roman"/>
          <w:sz w:val="20"/>
          <w:szCs w:val="20"/>
          <w:vertAlign w:val="superscript"/>
          <w:rtl w:val="0"/>
        </w:rPr>
        <w:t xml:space="preserve">1, 9</w:t>
      </w:r>
      <w:r w:rsidDel="00000000" w:rsidR="00000000" w:rsidRPr="00000000">
        <w:rPr>
          <w:rFonts w:ascii="Times New Roman" w:cs="Times New Roman" w:eastAsia="Times New Roman" w:hAnsi="Times New Roman"/>
          <w:sz w:val="20"/>
          <w:szCs w:val="20"/>
          <w:rtl w:val="0"/>
        </w:rPr>
        <w:t xml:space="preserve"> Cooling energy consumption was estimated via sales data, linear regression, and population weighting, though sales data biases.</w:t>
      </w:r>
      <w:r w:rsidDel="00000000" w:rsidR="00000000" w:rsidRPr="00000000">
        <w:rPr>
          <w:rFonts w:ascii="Times New Roman" w:cs="Times New Roman" w:eastAsia="Times New Roman" w:hAnsi="Times New Roman"/>
          <w:sz w:val="20"/>
          <w:szCs w:val="20"/>
          <w:vertAlign w:val="superscript"/>
          <w:rtl w:val="0"/>
        </w:rPr>
        <w:t xml:space="preserve">2, 12</w:t>
      </w:r>
      <w:r w:rsidDel="00000000" w:rsidR="00000000" w:rsidRPr="00000000">
        <w:rPr>
          <w:rFonts w:ascii="Times New Roman" w:cs="Times New Roman" w:eastAsia="Times New Roman" w:hAnsi="Times New Roman"/>
          <w:sz w:val="20"/>
          <w:szCs w:val="20"/>
          <w:rtl w:val="0"/>
        </w:rPr>
        <w:t xml:space="preserve"> Relationships between heat index, cooling energy demand, and population were visualised through contour plots (Figures 3–10), showing higher elderly demand, scatter plots (Figure 2), revealing increased energy demand with rising heat index, and correlation plots (Figures 11–14), indicating shifting demographic influences via Cooling Degree Days (e.g., negative to positive correlations across SSPs).</w:t>
      </w:r>
      <w:r w:rsidDel="00000000" w:rsidR="00000000" w:rsidRPr="00000000">
        <w:rPr>
          <w:rFonts w:ascii="Times New Roman" w:cs="Times New Roman" w:eastAsia="Times New Roman" w:hAnsi="Times New Roman"/>
          <w:sz w:val="20"/>
          <w:szCs w:val="20"/>
          <w:vertAlign w:val="superscript"/>
          <w:rtl w:val="0"/>
        </w:rPr>
        <w:t xml:space="preserve">13</w:t>
      </w:r>
      <w:r w:rsidDel="00000000" w:rsidR="00000000" w:rsidRPr="00000000">
        <w:rPr>
          <w:rFonts w:ascii="Times New Roman" w:cs="Times New Roman" w:eastAsia="Times New Roman" w:hAnsi="Times New Roman"/>
          <w:sz w:val="20"/>
          <w:szCs w:val="20"/>
          <w:rtl w:val="0"/>
        </w:rPr>
        <w:t xml:space="preserve"> This approach enabled a detailed assessment of heat stress impacts, informing policies like the India Cooling Action Plan, which requires enhanced rural access to address inequities.</w:t>
      </w:r>
      <w:r w:rsidDel="00000000" w:rsidR="00000000" w:rsidRPr="00000000">
        <w:rPr>
          <w:rFonts w:ascii="Times New Roman" w:cs="Times New Roman" w:eastAsia="Times New Roman" w:hAnsi="Times New Roman"/>
          <w:sz w:val="20"/>
          <w:szCs w:val="20"/>
          <w:vertAlign w:val="superscript"/>
          <w:rtl w:val="0"/>
        </w:rPr>
        <w:t xml:space="preserve">8, 14</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References</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19</w:t>
      </w:r>
      <w:r w:rsidDel="00000000" w:rsidR="00000000" w:rsidRPr="00000000">
        <w:rPr>
          <w:rFonts w:ascii="Times New Roman" w:cs="Times New Roman" w:eastAsia="Times New Roman" w:hAnsi="Times New Roman"/>
          <w:i w:val="1"/>
          <w:sz w:val="20"/>
          <w:szCs w:val="20"/>
          <w:rtl w:val="0"/>
        </w:rPr>
        <w:t xml:space="preserve"> World Bank. Climate Change Knowledge Portal. World Bank Group, n.d.</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20</w:t>
      </w:r>
      <w:r w:rsidDel="00000000" w:rsidR="00000000" w:rsidRPr="00000000">
        <w:rPr>
          <w:rFonts w:ascii="Times New Roman" w:cs="Times New Roman" w:eastAsia="Times New Roman" w:hAnsi="Times New Roman"/>
          <w:i w:val="1"/>
          <w:sz w:val="20"/>
          <w:szCs w:val="20"/>
          <w:rtl w:val="0"/>
        </w:rPr>
        <w:t xml:space="preserve"> Auffhammer, Maximilian, and Erin T. Mansur. “Measuring Climatic Impacts on Energy Expenditures.” Energy Economics, vol. 46, 2014, pp. 522–530.</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5whzbd5sy3tb" w:id="5"/>
      <w:bookmarkEnd w:id="5"/>
      <w:r w:rsidDel="00000000" w:rsidR="00000000" w:rsidRPr="00000000">
        <w:rPr>
          <w:rFonts w:ascii="Times New Roman" w:cs="Times New Roman" w:eastAsia="Times New Roman" w:hAnsi="Times New Roman"/>
          <w:b w:val="1"/>
          <w:color w:val="000000"/>
          <w:rtl w:val="0"/>
        </w:rPr>
        <w:t xml:space="preserve">Results</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The heat index exhibited a consistent increase across all Shared Socioeconomic Pathways (SSPs), with SSP5-8.5 showing the most significant rise by 2099 due to elevated temperature and humidity projections validated by the Rothfusz formula.</w:t>
      </w:r>
      <w:r w:rsidDel="00000000" w:rsidR="00000000" w:rsidRPr="00000000">
        <w:rPr>
          <w:rFonts w:ascii="Times New Roman" w:cs="Times New Roman" w:eastAsia="Times New Roman" w:hAnsi="Times New Roman"/>
          <w:sz w:val="20"/>
          <w:szCs w:val="20"/>
          <w:vertAlign w:val="superscript"/>
          <w:rtl w:val="0"/>
        </w:rPr>
        <w:t xml:space="preserve">1, 9</w:t>
      </w:r>
      <w:r w:rsidDel="00000000" w:rsidR="00000000" w:rsidRPr="00000000">
        <w:rPr>
          <w:rFonts w:ascii="Times New Roman" w:cs="Times New Roman" w:eastAsia="Times New Roman" w:hAnsi="Times New Roman"/>
          <w:sz w:val="20"/>
          <w:szCs w:val="20"/>
          <w:rtl w:val="0"/>
        </w:rPr>
        <w:t xml:space="preserve"> Figure 1 illustrates the heat index trends with 10th and 90th percentile ranges for SSP1-1.9, SSP1-2.6, SSP2-4.5, SSP3-7.0, and SSP5-8.5 from 1991 to 2099. Under SSP1-1.9, the heat index remains relatively stable, increasing from approximately 78°F in 1991 to 80°F by 2099, reflecting the low-emission scenario’s mitigation efforts.</w:t>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In contrast, SSP5-8.5 shows a steep rise, reaching up to 89°F by 2099, with the 90th percentile exceeding 90°F, indicating severe heat stress in this high-emission scenario.</w:t>
      </w:r>
      <w:r w:rsidDel="00000000" w:rsidR="00000000" w:rsidRPr="00000000">
        <w:rPr>
          <w:rFonts w:ascii="Times New Roman" w:cs="Times New Roman" w:eastAsia="Times New Roman" w:hAnsi="Times New Roman"/>
          <w:sz w:val="20"/>
          <w:szCs w:val="20"/>
          <w:vertAlign w:val="superscript"/>
          <w:rtl w:val="0"/>
        </w:rPr>
        <w:t xml:space="preserve">21 </w:t>
      </w:r>
      <w:r w:rsidDel="00000000" w:rsidR="00000000" w:rsidRPr="00000000">
        <w:rPr>
          <w:rFonts w:ascii="Times New Roman" w:cs="Times New Roman" w:eastAsia="Times New Roman" w:hAnsi="Times New Roman"/>
          <w:sz w:val="20"/>
          <w:szCs w:val="20"/>
          <w:rtl w:val="0"/>
        </w:rPr>
        <w:t xml:space="preserve">These trends underscore the urgency of climate strategies to address escalating heat risks in India.</w:t>
      </w:r>
      <w:r w:rsidDel="00000000" w:rsidR="00000000" w:rsidRPr="00000000">
        <w:rPr>
          <w:rFonts w:ascii="Times New Roman" w:cs="Times New Roman" w:eastAsia="Times New Roman" w:hAnsi="Times New Roman"/>
          <w:sz w:val="20"/>
          <w:szCs w:val="20"/>
          <w:vertAlign w:val="superscript"/>
          <w:rtl w:val="0"/>
        </w:rPr>
        <w:t xml:space="preserve">11</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The scatter plot (Figure 2) compares cooling energy consumption with heat index across all SSPs from 2020 to 2099, revealing a positive relationship, with energy demand surging as heat index rises, aligned with urban heat stress trends.</w:t>
      </w:r>
      <w:r w:rsidDel="00000000" w:rsidR="00000000" w:rsidRPr="00000000">
        <w:rPr>
          <w:rFonts w:ascii="Times New Roman" w:cs="Times New Roman" w:eastAsia="Times New Roman" w:hAnsi="Times New Roman"/>
          <w:sz w:val="20"/>
          <w:szCs w:val="20"/>
          <w:vertAlign w:val="superscript"/>
          <w:rtl w:val="0"/>
        </w:rPr>
        <w:t xml:space="preserve">1, 9</w:t>
      </w:r>
      <w:r w:rsidDel="00000000" w:rsidR="00000000" w:rsidRPr="00000000">
        <w:rPr>
          <w:rFonts w:ascii="Times New Roman" w:cs="Times New Roman" w:eastAsia="Times New Roman" w:hAnsi="Times New Roman"/>
          <w:sz w:val="20"/>
          <w:szCs w:val="20"/>
          <w:rtl w:val="0"/>
        </w:rPr>
        <w:t xml:space="preserve"> For SSP1-1.9 (blue), cooling energy consumption remains low, ranging from 4 TWh to 6 TWh, corresponding to a heat index of 77–80°F. In contrast, SSP5-8.5 (purple) shows a significant increase, reaching up to 14 TWh by 2099 at a heat index of 89°F, reflecting higher heat stress.</w:t>
      </w:r>
      <w:r w:rsidDel="00000000" w:rsidR="00000000" w:rsidRPr="00000000">
        <w:rPr>
          <w:rFonts w:ascii="Times New Roman" w:cs="Times New Roman" w:eastAsia="Times New Roman" w:hAnsi="Times New Roman"/>
          <w:sz w:val="20"/>
          <w:szCs w:val="20"/>
          <w:vertAlign w:val="superscript"/>
          <w:rtl w:val="0"/>
        </w:rPr>
        <w:t xml:space="preserve">21</w:t>
      </w:r>
      <w:r w:rsidDel="00000000" w:rsidR="00000000" w:rsidRPr="00000000">
        <w:rPr>
          <w:rFonts w:ascii="Times New Roman" w:cs="Times New Roman" w:eastAsia="Times New Roman" w:hAnsi="Times New Roman"/>
          <w:sz w:val="20"/>
          <w:szCs w:val="20"/>
          <w:rtl w:val="0"/>
        </w:rPr>
        <w:t xml:space="preserve"> Sales data limitations, such as missing rural cooling methods, may underestimate demand, particularly in high-emission scenarios.</w:t>
      </w:r>
      <w:r w:rsidDel="00000000" w:rsidR="00000000" w:rsidRPr="00000000">
        <w:rPr>
          <w:rFonts w:ascii="Times New Roman" w:cs="Times New Roman" w:eastAsia="Times New Roman" w:hAnsi="Times New Roman"/>
          <w:sz w:val="20"/>
          <w:szCs w:val="20"/>
          <w:vertAlign w:val="superscript"/>
          <w:rtl w:val="0"/>
        </w:rPr>
        <w:t xml:space="preserve">2, 12</w:t>
      </w:r>
      <w:r w:rsidDel="00000000" w:rsidR="00000000" w:rsidRPr="00000000">
        <w:rPr>
          <w:rFonts w:ascii="Times New Roman" w:cs="Times New Roman" w:eastAsia="Times New Roman" w:hAnsi="Times New Roman"/>
          <w:sz w:val="20"/>
          <w:szCs w:val="20"/>
          <w:rtl w:val="0"/>
        </w:rPr>
        <w:t xml:space="preserve"> The scatter plot indicates that energy consumption accelerates above 85°F, notably for SSP3-7.0 and SSP5-8.5, suggesting a threshold effect under extreme heat conditions.</w:t>
      </w:r>
      <w:r w:rsidDel="00000000" w:rsidR="00000000" w:rsidRPr="00000000">
        <w:rPr>
          <w:rFonts w:ascii="Times New Roman" w:cs="Times New Roman" w:eastAsia="Times New Roman" w:hAnsi="Times New Roman"/>
          <w:sz w:val="20"/>
          <w:szCs w:val="20"/>
          <w:vertAlign w:val="superscript"/>
          <w:rtl w:val="0"/>
        </w:rPr>
        <w:t xml:space="preserve">12</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Contour plots (Figures 3–10, Supplementary Figures S1–S32) reveal distinct patterns in weighted cooling energy demand across age groups, genders, and SSPs, with energy estimates potentially affected by sales data biases like rural underreporting.</w:t>
      </w:r>
      <w:r w:rsidDel="00000000" w:rsidR="00000000" w:rsidRPr="00000000">
        <w:rPr>
          <w:rFonts w:ascii="Times New Roman" w:cs="Times New Roman" w:eastAsia="Times New Roman" w:hAnsi="Times New Roman"/>
          <w:sz w:val="20"/>
          <w:szCs w:val="20"/>
          <w:vertAlign w:val="superscript"/>
          <w:rtl w:val="0"/>
        </w:rPr>
        <w:t xml:space="preserve">2, 12</w:t>
      </w:r>
      <w:r w:rsidDel="00000000" w:rsidR="00000000" w:rsidRPr="00000000">
        <w:rPr>
          <w:rFonts w:ascii="Times New Roman" w:cs="Times New Roman" w:eastAsia="Times New Roman" w:hAnsi="Times New Roman"/>
          <w:sz w:val="20"/>
          <w:szCs w:val="20"/>
          <w:rtl w:val="0"/>
        </w:rPr>
        <w:t xml:space="preserve"> For SSP1-1.9 (2020–2039), males aged 50–54 peak at 5 TWh at a heat index of 78°F (Figure 3), while females reach 4.5 TWh (Figure 4). By 2080–2099, SSP5-8.5 shows males aged 50–64 at 4 TWh and females at 4.4 TWh at 89°F (Figures 7–8), reflecting intensified heat stress.</w:t>
      </w:r>
      <w:r w:rsidDel="00000000" w:rsidR="00000000" w:rsidRPr="00000000">
        <w:rPr>
          <w:rFonts w:ascii="Times New Roman" w:cs="Times New Roman" w:eastAsia="Times New Roman" w:hAnsi="Times New Roman"/>
          <w:sz w:val="20"/>
          <w:szCs w:val="20"/>
          <w:vertAlign w:val="superscript"/>
          <w:rtl w:val="0"/>
        </w:rPr>
        <w:t xml:space="preserve">21</w:t>
      </w:r>
      <w:r w:rsidDel="00000000" w:rsidR="00000000" w:rsidRPr="00000000">
        <w:rPr>
          <w:rFonts w:ascii="Times New Roman" w:cs="Times New Roman" w:eastAsia="Times New Roman" w:hAnsi="Times New Roman"/>
          <w:sz w:val="20"/>
          <w:szCs w:val="20"/>
          <w:rtl w:val="0"/>
        </w:rPr>
        <w:t xml:space="preserve"> Older age groups consistently show higher demand, highlighting age-related vulnerabilities critical for policy.</w:t>
      </w:r>
      <w:r w:rsidDel="00000000" w:rsidR="00000000" w:rsidRPr="00000000">
        <w:rPr>
          <w:rFonts w:ascii="Times New Roman" w:cs="Times New Roman" w:eastAsia="Times New Roman" w:hAnsi="Times New Roman"/>
          <w:sz w:val="20"/>
          <w:szCs w:val="20"/>
          <w:vertAlign w:val="superscript"/>
          <w:rtl w:val="0"/>
        </w:rPr>
        <w:t xml:space="preserve">14</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Correlation plots (Figures 11–14, Supplementary Figures S33–S48) examine demographic drivers of cooling demand, linking Cooling Degree Days (CDD) to population across age groups. For SSP1-1.9 (2020–2039), correlations are strongly negative (-0.82 for both genders) (Figure 11), indicating population declines as CDD rises, likely due to ageing or migration.</w:t>
      </w:r>
      <w:r w:rsidDel="00000000" w:rsidR="00000000" w:rsidRPr="00000000">
        <w:rPr>
          <w:rFonts w:ascii="Times New Roman" w:cs="Times New Roman" w:eastAsia="Times New Roman" w:hAnsi="Times New Roman"/>
          <w:sz w:val="20"/>
          <w:szCs w:val="20"/>
          <w:vertAlign w:val="superscript"/>
          <w:rtl w:val="0"/>
        </w:rPr>
        <w:t xml:space="preserve">13</w:t>
      </w:r>
      <w:r w:rsidDel="00000000" w:rsidR="00000000" w:rsidRPr="00000000">
        <w:rPr>
          <w:rFonts w:ascii="Times New Roman" w:cs="Times New Roman" w:eastAsia="Times New Roman" w:hAnsi="Times New Roman"/>
          <w:sz w:val="20"/>
          <w:szCs w:val="20"/>
          <w:rtl w:val="0"/>
        </w:rPr>
        <w:t xml:space="preserve"> By 2080–2099, SSP1-1.9 weakens to -0.65 for males and -0.73 for females (Figure 12).</w:t>
      </w:r>
      <w:r w:rsidDel="00000000" w:rsidR="00000000" w:rsidRPr="00000000">
        <w:rPr>
          <w:rFonts w:ascii="Times New Roman" w:cs="Times New Roman" w:eastAsia="Times New Roman" w:hAnsi="Times New Roman"/>
          <w:sz w:val="20"/>
          <w:szCs w:val="20"/>
          <w:vertAlign w:val="superscript"/>
          <w:rtl w:val="0"/>
        </w:rPr>
        <w:t xml:space="preserve">13</w:t>
      </w:r>
      <w:r w:rsidDel="00000000" w:rsidR="00000000" w:rsidRPr="00000000">
        <w:rPr>
          <w:rFonts w:ascii="Times New Roman" w:cs="Times New Roman" w:eastAsia="Times New Roman" w:hAnsi="Times New Roman"/>
          <w:sz w:val="20"/>
          <w:szCs w:val="20"/>
          <w:rtl w:val="0"/>
        </w:rPr>
        <w:t xml:space="preserve"> For SSP5-8.5 (2020–2039), correlations are negative (-0.86 for both) (Figure 13), but by 2080–2099 shift to positive (0.19 males, 0.03 females) (Figure 14), suggesting population growth in heat-stressed areas.</w:t>
      </w:r>
      <w:r w:rsidDel="00000000" w:rsidR="00000000" w:rsidRPr="00000000">
        <w:rPr>
          <w:rFonts w:ascii="Times New Roman" w:cs="Times New Roman" w:eastAsia="Times New Roman" w:hAnsi="Times New Roman"/>
          <w:sz w:val="20"/>
          <w:szCs w:val="20"/>
          <w:vertAlign w:val="superscript"/>
          <w:rtl w:val="0"/>
        </w:rPr>
        <w:t xml:space="preserve">21</w:t>
      </w:r>
      <w:r w:rsidDel="00000000" w:rsidR="00000000" w:rsidRPr="00000000">
        <w:rPr>
          <w:rFonts w:ascii="Times New Roman" w:cs="Times New Roman" w:eastAsia="Times New Roman" w:hAnsi="Times New Roman"/>
          <w:sz w:val="20"/>
          <w:szCs w:val="20"/>
          <w:rtl w:val="0"/>
        </w:rPr>
        <w:t xml:space="preserve"> These trends guide targeted adaptation policies.</w:t>
      </w:r>
      <w:r w:rsidDel="00000000" w:rsidR="00000000" w:rsidRPr="00000000">
        <w:rPr>
          <w:rFonts w:ascii="Times New Roman" w:cs="Times New Roman" w:eastAsia="Times New Roman" w:hAnsi="Times New Roman"/>
          <w:sz w:val="20"/>
          <w:szCs w:val="20"/>
          <w:vertAlign w:val="superscript"/>
          <w:rtl w:val="0"/>
        </w:rPr>
        <w:t xml:space="preserve">14</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b w:val="1"/>
          <w:i w:val="1"/>
          <w:rtl w:val="0"/>
        </w:rPr>
        <w:t xml:space="preserve">References</w:t>
      </w: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vertAlign w:val="superscript"/>
          <w:rtl w:val="0"/>
        </w:rPr>
        <w:t xml:space="preserve">21 </w:t>
      </w:r>
      <w:r w:rsidDel="00000000" w:rsidR="00000000" w:rsidRPr="00000000">
        <w:rPr>
          <w:rFonts w:ascii="Times New Roman" w:cs="Times New Roman" w:eastAsia="Times New Roman" w:hAnsi="Times New Roman"/>
          <w:i w:val="1"/>
          <w:sz w:val="20"/>
          <w:szCs w:val="20"/>
          <w:rtl w:val="0"/>
        </w:rPr>
        <w:t xml:space="preserve">Perkins-Kirkpatrick, Sarah E., and Philip B. Gibson. "Changes in Regional Heatwave Characteristics." Scientific Reports, vol. 7, no. 1, 2017, pp. 1-10, doi:10.1038/s41598-017-12520-2.</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x65t1wo98yo8" w:id="6"/>
      <w:bookmarkEnd w:id="6"/>
      <w:r w:rsidDel="00000000" w:rsidR="00000000" w:rsidRPr="00000000">
        <w:rPr>
          <w:rFonts w:ascii="Times New Roman" w:cs="Times New Roman" w:eastAsia="Times New Roman" w:hAnsi="Times New Roman"/>
          <w:b w:val="1"/>
          <w:color w:val="000000"/>
          <w:rtl w:val="0"/>
        </w:rPr>
        <w:t xml:space="preserve">Discussion</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The results reveal intensifying heat stress in India, with SSP5-8.5 projecting a heat index of 89°F by 2099, by the Rothfusz formula, consistent with tropical heatwave trends.</w:t>
      </w:r>
      <w:r w:rsidDel="00000000" w:rsidR="00000000" w:rsidRPr="00000000">
        <w:rPr>
          <w:rFonts w:ascii="Times New Roman" w:cs="Times New Roman" w:eastAsia="Times New Roman" w:hAnsi="Times New Roman"/>
          <w:sz w:val="20"/>
          <w:szCs w:val="20"/>
          <w:vertAlign w:val="superscript"/>
          <w:rtl w:val="0"/>
        </w:rPr>
        <w:t xml:space="preserve">1, 9, 21</w:t>
      </w:r>
      <w:r w:rsidDel="00000000" w:rsidR="00000000" w:rsidRPr="00000000">
        <w:rPr>
          <w:rFonts w:ascii="Times New Roman" w:cs="Times New Roman" w:eastAsia="Times New Roman" w:hAnsi="Times New Roman"/>
          <w:sz w:val="20"/>
          <w:szCs w:val="20"/>
          <w:rtl w:val="0"/>
        </w:rPr>
        <w:t xml:space="preserve"> Figure 1 shows SSP5-8.5’s 90th percentile exceeding 90°F, threatening health and energy systems.</w:t>
      </w:r>
      <w:r w:rsidDel="00000000" w:rsidR="00000000" w:rsidRPr="00000000">
        <w:rPr>
          <w:rFonts w:ascii="Times New Roman" w:cs="Times New Roman" w:eastAsia="Times New Roman" w:hAnsi="Times New Roman"/>
          <w:sz w:val="20"/>
          <w:szCs w:val="20"/>
          <w:vertAlign w:val="superscript"/>
          <w:rtl w:val="0"/>
        </w:rPr>
        <w:t xml:space="preserve">22</w:t>
      </w:r>
      <w:r w:rsidDel="00000000" w:rsidR="00000000" w:rsidRPr="00000000">
        <w:rPr>
          <w:rFonts w:ascii="Times New Roman" w:cs="Times New Roman" w:eastAsia="Times New Roman" w:hAnsi="Times New Roman"/>
          <w:sz w:val="20"/>
          <w:szCs w:val="20"/>
          <w:rtl w:val="0"/>
        </w:rPr>
        <w:t xml:space="preserve"> As highlighted in the literature review, India remains understudied for such climate impacts, particularly with demographic granularity.</w:t>
      </w:r>
      <w:r w:rsidDel="00000000" w:rsidR="00000000" w:rsidRPr="00000000">
        <w:rPr>
          <w:rFonts w:ascii="Times New Roman" w:cs="Times New Roman" w:eastAsia="Times New Roman" w:hAnsi="Times New Roman"/>
          <w:sz w:val="20"/>
          <w:szCs w:val="20"/>
          <w:vertAlign w:val="superscript"/>
          <w:rtl w:val="0"/>
        </w:rPr>
        <w:t xml:space="preserve">3, 15</w:t>
      </w:r>
      <w:r w:rsidDel="00000000" w:rsidR="00000000" w:rsidRPr="00000000">
        <w:rPr>
          <w:rFonts w:ascii="Times New Roman" w:cs="Times New Roman" w:eastAsia="Times New Roman" w:hAnsi="Times New Roman"/>
          <w:sz w:val="20"/>
          <w:szCs w:val="20"/>
          <w:rtl w:val="0"/>
        </w:rPr>
        <w:t xml:space="preserve"> Figure 2’s threshold effect above 85°F drives exponential cooling demand, straining India’s fossil-fuel-reliant grid, where coal accounts for over 50% of capacity.</w:t>
      </w:r>
      <w:r w:rsidDel="00000000" w:rsidR="00000000" w:rsidRPr="00000000">
        <w:rPr>
          <w:rFonts w:ascii="Times New Roman" w:cs="Times New Roman" w:eastAsia="Times New Roman" w:hAnsi="Times New Roman"/>
          <w:sz w:val="20"/>
          <w:szCs w:val="20"/>
          <w:vertAlign w:val="superscript"/>
          <w:rtl w:val="0"/>
        </w:rPr>
        <w:t xml:space="preserve">20, 23</w:t>
      </w:r>
      <w:r w:rsidDel="00000000" w:rsidR="00000000" w:rsidRPr="00000000">
        <w:rPr>
          <w:rFonts w:ascii="Times New Roman" w:cs="Times New Roman" w:eastAsia="Times New Roman" w:hAnsi="Times New Roman"/>
          <w:sz w:val="20"/>
          <w:szCs w:val="20"/>
          <w:rtl w:val="0"/>
        </w:rPr>
        <w:t xml:space="preserve"> The India Cooling Action Plan (ICAP) aims to enhance efficiency but struggles with rural implementation, as only urban-focused measures are prioritized, leaving rural areas underserved.</w:t>
      </w:r>
      <w:r w:rsidDel="00000000" w:rsidR="00000000" w:rsidRPr="00000000">
        <w:rPr>
          <w:rFonts w:ascii="Times New Roman" w:cs="Times New Roman" w:eastAsia="Times New Roman" w:hAnsi="Times New Roman"/>
          <w:sz w:val="20"/>
          <w:szCs w:val="20"/>
          <w:vertAlign w:val="superscript"/>
          <w:rtl w:val="0"/>
        </w:rPr>
        <w:t xml:space="preserve">8, 24</w:t>
      </w:r>
      <w:r w:rsidDel="00000000" w:rsidR="00000000" w:rsidRPr="00000000">
        <w:rPr>
          <w:rFonts w:ascii="Times New Roman" w:cs="Times New Roman" w:eastAsia="Times New Roman" w:hAnsi="Times New Roman"/>
          <w:sz w:val="20"/>
          <w:szCs w:val="20"/>
          <w:rtl w:val="0"/>
        </w:rPr>
        <w:t xml:space="preserve"> With cooling demand projected to triple by 2050, constituting 45% of peak electricity, stronger policies like the National Action Plan on Climate Change (NAPCC) need enhanced rural focus to ensure sustainable energy access.</w:t>
      </w:r>
      <w:r w:rsidDel="00000000" w:rsidR="00000000" w:rsidRPr="00000000">
        <w:rPr>
          <w:rFonts w:ascii="Times New Roman" w:cs="Times New Roman" w:eastAsia="Times New Roman" w:hAnsi="Times New Roman"/>
          <w:sz w:val="20"/>
          <w:szCs w:val="20"/>
          <w:vertAlign w:val="superscript"/>
          <w:rtl w:val="0"/>
        </w:rPr>
        <w:t xml:space="preserve">25</w:t>
      </w: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Contour plots (Figures 3–10) show older age groups (50–64) with higher cooling demand, confirming age-related vulnerabilities.</w:t>
      </w: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Times New Roman" w:cs="Times New Roman" w:eastAsia="Times New Roman" w:hAnsi="Times New Roman"/>
          <w:sz w:val="20"/>
          <w:szCs w:val="20"/>
          <w:rtl w:val="0"/>
        </w:rPr>
        <w:t xml:space="preserve"> In SSP1-1.9 (2020–2039), males aged 50–54 peak at 5 TWh (Figure 3), females at 4.5 TWh (Figure 4), driven by physiological limits and India’s ageing population.</w:t>
      </w:r>
      <w:r w:rsidDel="00000000" w:rsidR="00000000" w:rsidRPr="00000000">
        <w:rPr>
          <w:rFonts w:ascii="Times New Roman" w:cs="Times New Roman" w:eastAsia="Times New Roman" w:hAnsi="Times New Roman"/>
          <w:sz w:val="20"/>
          <w:szCs w:val="20"/>
          <w:vertAlign w:val="superscript"/>
          <w:rtl w:val="0"/>
        </w:rPr>
        <w:t xml:space="preserve">13</w:t>
      </w:r>
      <w:r w:rsidDel="00000000" w:rsidR="00000000" w:rsidRPr="00000000">
        <w:rPr>
          <w:rFonts w:ascii="Times New Roman" w:cs="Times New Roman" w:eastAsia="Times New Roman" w:hAnsi="Times New Roman"/>
          <w:sz w:val="20"/>
          <w:szCs w:val="20"/>
          <w:rtl w:val="0"/>
        </w:rPr>
        <w:t xml:space="preserve"> SSP5-8.5 (2080–2099) reaches 4 TWh (males) and 4.4 TWh (females) at 89°F (Figures 7–8).</w:t>
      </w:r>
      <w:r w:rsidDel="00000000" w:rsidR="00000000" w:rsidRPr="00000000">
        <w:rPr>
          <w:rFonts w:ascii="Times New Roman" w:cs="Times New Roman" w:eastAsia="Times New Roman" w:hAnsi="Times New Roman"/>
          <w:sz w:val="20"/>
          <w:szCs w:val="20"/>
          <w:vertAlign w:val="superscript"/>
          <w:rtl w:val="0"/>
        </w:rPr>
        <w:t xml:space="preserve">2, 12</w:t>
      </w:r>
      <w:r w:rsidDel="00000000" w:rsidR="00000000" w:rsidRPr="00000000">
        <w:rPr>
          <w:rFonts w:ascii="Times New Roman" w:cs="Times New Roman" w:eastAsia="Times New Roman" w:hAnsi="Times New Roman"/>
          <w:sz w:val="20"/>
          <w:szCs w:val="20"/>
          <w:rtl w:val="0"/>
        </w:rPr>
        <w:t xml:space="preserve"> India’s understudied status for such demographic analyses, as noted in the literature review, amplifies this gap.</w:t>
      </w:r>
      <w:r w:rsidDel="00000000" w:rsidR="00000000" w:rsidRPr="00000000">
        <w:rPr>
          <w:rFonts w:ascii="Times New Roman" w:cs="Times New Roman" w:eastAsia="Times New Roman" w:hAnsi="Times New Roman"/>
          <w:sz w:val="20"/>
          <w:szCs w:val="20"/>
          <w:vertAlign w:val="superscript"/>
          <w:rtl w:val="0"/>
        </w:rPr>
        <w:t xml:space="preserve">3, 15</w:t>
      </w:r>
      <w:r w:rsidDel="00000000" w:rsidR="00000000" w:rsidRPr="00000000">
        <w:rPr>
          <w:rFonts w:ascii="Times New Roman" w:cs="Times New Roman" w:eastAsia="Times New Roman" w:hAnsi="Times New Roman"/>
          <w:sz w:val="20"/>
          <w:szCs w:val="20"/>
          <w:rtl w:val="0"/>
        </w:rPr>
        <w:t xml:space="preserve"> Gender differences are minimal, reflecting urban access equality over physiological factors, unlike some studies.</w:t>
      </w:r>
      <w:r w:rsidDel="00000000" w:rsidR="00000000" w:rsidRPr="00000000">
        <w:rPr>
          <w:rFonts w:ascii="Times New Roman" w:cs="Times New Roman" w:eastAsia="Times New Roman" w:hAnsi="Times New Roman"/>
          <w:sz w:val="20"/>
          <w:szCs w:val="20"/>
          <w:vertAlign w:val="superscript"/>
          <w:rtl w:val="0"/>
        </w:rPr>
        <w:t xml:space="preserve">3, 26</w:t>
      </w:r>
      <w:r w:rsidDel="00000000" w:rsidR="00000000" w:rsidRPr="00000000">
        <w:rPr>
          <w:rFonts w:ascii="Times New Roman" w:cs="Times New Roman" w:eastAsia="Times New Roman" w:hAnsi="Times New Roman"/>
          <w:sz w:val="20"/>
          <w:szCs w:val="20"/>
          <w:rtl w:val="0"/>
        </w:rPr>
        <w:t xml:space="preserve"> The Energy Conservation Building Code (ECBC) promotes urban cooling efficiency but lacks elderly-specific measures, despite their vulnerability.</w:t>
      </w:r>
      <w:r w:rsidDel="00000000" w:rsidR="00000000" w:rsidRPr="00000000">
        <w:rPr>
          <w:rFonts w:ascii="Times New Roman" w:cs="Times New Roman" w:eastAsia="Times New Roman" w:hAnsi="Times New Roman"/>
          <w:sz w:val="20"/>
          <w:szCs w:val="20"/>
          <w:vertAlign w:val="superscript"/>
          <w:rtl w:val="0"/>
        </w:rPr>
        <w:t xml:space="preserve">27</w:t>
      </w:r>
      <w:r w:rsidDel="00000000" w:rsidR="00000000" w:rsidRPr="00000000">
        <w:rPr>
          <w:rFonts w:ascii="Times New Roman" w:cs="Times New Roman" w:eastAsia="Times New Roman" w:hAnsi="Times New Roman"/>
          <w:sz w:val="20"/>
          <w:szCs w:val="20"/>
          <w:rtl w:val="0"/>
        </w:rPr>
        <w:t xml:space="preserve"> Heat Action Plans (HAPs) in cities like Ahmedabad focus on early warnings but fail to address elderly cooling needs, necessitating age-targeted policies.</w:t>
      </w:r>
      <w:r w:rsidDel="00000000" w:rsidR="00000000" w:rsidRPr="00000000">
        <w:rPr>
          <w:rFonts w:ascii="Times New Roman" w:cs="Times New Roman" w:eastAsia="Times New Roman" w:hAnsi="Times New Roman"/>
          <w:sz w:val="20"/>
          <w:szCs w:val="20"/>
          <w:vertAlign w:val="superscript"/>
          <w:rtl w:val="0"/>
        </w:rPr>
        <w:t xml:space="preserve">28, 29</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Correlation plots (Figures 11–14) show negative correlations (-0.82, SSP1-1.9, 2020–2039), indicating population declines with rising CDD due to ageing or migration, shifting to positive correlations (0.19 males, 0.03 females, SSP5-8.5, 2080–2099) suggesting growth in heat-stressed areas.</w:t>
      </w:r>
      <w:r w:rsidDel="00000000" w:rsidR="00000000" w:rsidRPr="00000000">
        <w:rPr>
          <w:rFonts w:ascii="Times New Roman" w:cs="Times New Roman" w:eastAsia="Times New Roman" w:hAnsi="Times New Roman"/>
          <w:sz w:val="20"/>
          <w:szCs w:val="20"/>
          <w:vertAlign w:val="superscript"/>
          <w:rtl w:val="0"/>
        </w:rPr>
        <w:t xml:space="preserve">13, 22</w:t>
      </w:r>
      <w:r w:rsidDel="00000000" w:rsidR="00000000" w:rsidRPr="00000000">
        <w:rPr>
          <w:rFonts w:ascii="Times New Roman" w:cs="Times New Roman" w:eastAsia="Times New Roman" w:hAnsi="Times New Roman"/>
          <w:sz w:val="20"/>
          <w:szCs w:val="20"/>
          <w:rtl w:val="0"/>
        </w:rPr>
        <w:t xml:space="preserve"> SSP1-1.9 (2080–2099) weakens to -0.65 (males), -0.73 (females), and SSP5-8.5 (2020–2039) is -0.86.</w:t>
      </w:r>
      <w:r w:rsidDel="00000000" w:rsidR="00000000" w:rsidRPr="00000000">
        <w:rPr>
          <w:rFonts w:ascii="Times New Roman" w:cs="Times New Roman" w:eastAsia="Times New Roman" w:hAnsi="Times New Roman"/>
          <w:sz w:val="20"/>
          <w:szCs w:val="20"/>
          <w:vertAlign w:val="superscript"/>
          <w:rtl w:val="0"/>
        </w:rPr>
        <w:t xml:space="preserve">13</w:t>
      </w:r>
      <w:r w:rsidDel="00000000" w:rsidR="00000000" w:rsidRPr="00000000">
        <w:rPr>
          <w:rFonts w:ascii="Times New Roman" w:cs="Times New Roman" w:eastAsia="Times New Roman" w:hAnsi="Times New Roman"/>
          <w:sz w:val="20"/>
          <w:szCs w:val="20"/>
          <w:rtl w:val="0"/>
        </w:rPr>
        <w:t xml:space="preserve"> Sales data biases may indirectly skew CDD-related energy analyses.</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Few studies explore such demographic dynamics in India, as the literature review notes, limiting policy insights.</w:t>
      </w:r>
      <w:r w:rsidDel="00000000" w:rsidR="00000000" w:rsidRPr="00000000">
        <w:rPr>
          <w:rFonts w:ascii="Times New Roman" w:cs="Times New Roman" w:eastAsia="Times New Roman" w:hAnsi="Times New Roman"/>
          <w:sz w:val="20"/>
          <w:szCs w:val="20"/>
          <w:vertAlign w:val="superscript"/>
          <w:rtl w:val="0"/>
        </w:rPr>
        <w:t xml:space="preserve">3, 15</w:t>
      </w:r>
      <w:r w:rsidDel="00000000" w:rsidR="00000000" w:rsidRPr="00000000">
        <w:rPr>
          <w:rFonts w:ascii="Times New Roman" w:cs="Times New Roman" w:eastAsia="Times New Roman" w:hAnsi="Times New Roman"/>
          <w:sz w:val="20"/>
          <w:szCs w:val="20"/>
          <w:rtl w:val="0"/>
        </w:rPr>
        <w:t xml:space="preserve"> These trends, pointing to urban migration as a driver, requiring adaptive planning for high-emission scenarios.</w:t>
      </w:r>
      <w:r w:rsidDel="00000000" w:rsidR="00000000" w:rsidRPr="00000000">
        <w:rPr>
          <w:rFonts w:ascii="Times New Roman" w:cs="Times New Roman" w:eastAsia="Times New Roman" w:hAnsi="Times New Roman"/>
          <w:sz w:val="20"/>
          <w:szCs w:val="20"/>
          <w:vertAlign w:val="superscript"/>
          <w:rtl w:val="0"/>
        </w:rPr>
        <w:t xml:space="preserve">9, 30</w:t>
      </w:r>
      <w:r w:rsidDel="00000000" w:rsidR="00000000" w:rsidRPr="00000000">
        <w:rPr>
          <w:rFonts w:ascii="Times New Roman" w:cs="Times New Roman" w:eastAsia="Times New Roman" w:hAnsi="Times New Roman"/>
          <w:sz w:val="20"/>
          <w:szCs w:val="20"/>
          <w:rtl w:val="0"/>
        </w:rPr>
        <w:t xml:space="preserve"> India’s initiatives, like urban cooling programs under ICAP, often neglect rural areas, hindering effective adaptation.</w:t>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Times New Roman" w:cs="Times New Roman" w:eastAsia="Times New Roman" w:hAnsi="Times New Roman"/>
          <w:sz w:val="20"/>
          <w:szCs w:val="20"/>
          <w:rtl w:val="0"/>
        </w:rPr>
        <w:t xml:space="preserve"> Studies show cooling demand in cities like Ahmedabad could triple by 2030, yet rural-focused policies lag, underscoring the need for broader implementation.</w:t>
      </w:r>
      <w:r w:rsidDel="00000000" w:rsidR="00000000" w:rsidRPr="00000000">
        <w:rPr>
          <w:rFonts w:ascii="Times New Roman" w:cs="Times New Roman" w:eastAsia="Times New Roman" w:hAnsi="Times New Roman"/>
          <w:sz w:val="20"/>
          <w:szCs w:val="20"/>
          <w:vertAlign w:val="superscript"/>
          <w:rtl w:val="0"/>
        </w:rPr>
        <w:t xml:space="preserve">28</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sz w:val="20"/>
          <w:szCs w:val="20"/>
          <w:rtl w:val="0"/>
        </w:rPr>
        <w:t xml:space="preserve">The unequal impact on the elderly, with elevated cooling needs due to physiological vulnerabilities, demands targeted heat action plans, particularly under SSP5-8.5’s for 89°F.</w:t>
      </w:r>
      <w:r w:rsidDel="00000000" w:rsidR="00000000" w:rsidRPr="00000000">
        <w:rPr>
          <w:rFonts w:ascii="Times New Roman" w:cs="Times New Roman" w:eastAsia="Times New Roman" w:hAnsi="Times New Roman"/>
          <w:sz w:val="20"/>
          <w:szCs w:val="20"/>
          <w:vertAlign w:val="superscript"/>
          <w:rtl w:val="0"/>
        </w:rPr>
        <w:t xml:space="preserve">7, 9</w:t>
      </w:r>
      <w:r w:rsidDel="00000000" w:rsidR="00000000" w:rsidRPr="00000000">
        <w:rPr>
          <w:rFonts w:ascii="Times New Roman" w:cs="Times New Roman" w:eastAsia="Times New Roman" w:hAnsi="Times New Roman"/>
          <w:sz w:val="20"/>
          <w:szCs w:val="20"/>
          <w:rtl w:val="0"/>
        </w:rPr>
        <w:t xml:space="preserve"> India’s sparse research on demographic-specific cooling, as the literature review underscores, limits such planning.</w:t>
      </w:r>
      <w:r w:rsidDel="00000000" w:rsidR="00000000" w:rsidRPr="00000000">
        <w:rPr>
          <w:rFonts w:ascii="Times New Roman" w:cs="Times New Roman" w:eastAsia="Times New Roman" w:hAnsi="Times New Roman"/>
          <w:sz w:val="20"/>
          <w:szCs w:val="20"/>
          <w:vertAlign w:val="superscript"/>
          <w:rtl w:val="0"/>
        </w:rPr>
        <w:t xml:space="preserve">3, 15</w:t>
      </w:r>
      <w:r w:rsidDel="00000000" w:rsidR="00000000" w:rsidRPr="00000000">
        <w:rPr>
          <w:rFonts w:ascii="Times New Roman" w:cs="Times New Roman" w:eastAsia="Times New Roman" w:hAnsi="Times New Roman"/>
          <w:sz w:val="20"/>
          <w:szCs w:val="20"/>
          <w:rtl w:val="0"/>
        </w:rPr>
        <w:t xml:space="preserve"> Minimal gender differences, driven by socioeconomic access, contrast with physiological studies, reflecting urban India’s context.</w:t>
      </w:r>
      <w:r w:rsidDel="00000000" w:rsidR="00000000" w:rsidRPr="00000000">
        <w:rPr>
          <w:rFonts w:ascii="Times New Roman" w:cs="Times New Roman" w:eastAsia="Times New Roman" w:hAnsi="Times New Roman"/>
          <w:sz w:val="20"/>
          <w:szCs w:val="20"/>
          <w:vertAlign w:val="superscript"/>
          <w:rtl w:val="0"/>
        </w:rPr>
        <w:t xml:space="preserve">3, 26</w:t>
      </w:r>
      <w:r w:rsidDel="00000000" w:rsidR="00000000" w:rsidRPr="00000000">
        <w:rPr>
          <w:rFonts w:ascii="Times New Roman" w:cs="Times New Roman" w:eastAsia="Times New Roman" w:hAnsi="Times New Roman"/>
          <w:sz w:val="20"/>
          <w:szCs w:val="20"/>
          <w:rtl w:val="0"/>
        </w:rPr>
        <w:t xml:space="preserve"> Rising demand, skewed by sales data biases, strains a fossil-fuel-dependent energy sector.</w:t>
      </w:r>
      <w:r w:rsidDel="00000000" w:rsidR="00000000" w:rsidRPr="00000000">
        <w:rPr>
          <w:rFonts w:ascii="Times New Roman" w:cs="Times New Roman" w:eastAsia="Times New Roman" w:hAnsi="Times New Roman"/>
          <w:sz w:val="20"/>
          <w:szCs w:val="20"/>
          <w:vertAlign w:val="superscript"/>
          <w:rtl w:val="0"/>
        </w:rPr>
        <w:t xml:space="preserve">2, 12</w:t>
      </w:r>
      <w:r w:rsidDel="00000000" w:rsidR="00000000" w:rsidRPr="00000000">
        <w:rPr>
          <w:rFonts w:ascii="Times New Roman" w:cs="Times New Roman" w:eastAsia="Times New Roman" w:hAnsi="Times New Roman"/>
          <w:sz w:val="20"/>
          <w:szCs w:val="20"/>
          <w:rtl w:val="0"/>
        </w:rPr>
        <w:t xml:space="preserve"> ICAP’s efficiency goals falter in rural rollout and grid reliability, undermining resilience.</w:t>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Times New Roman" w:cs="Times New Roman" w:eastAsia="Times New Roman" w:hAnsi="Times New Roman"/>
          <w:sz w:val="20"/>
          <w:szCs w:val="20"/>
          <w:rtl w:val="0"/>
        </w:rPr>
        <w:t xml:space="preserve"> Renewable integration faces grid and financing barriers, needing urban-prioritised transitions.</w:t>
      </w:r>
      <w:r w:rsidDel="00000000" w:rsidR="00000000" w:rsidRPr="00000000">
        <w:rPr>
          <w:rFonts w:ascii="Times New Roman" w:cs="Times New Roman" w:eastAsia="Times New Roman" w:hAnsi="Times New Roman"/>
          <w:sz w:val="20"/>
          <w:szCs w:val="20"/>
          <w:vertAlign w:val="superscript"/>
          <w:rtl w:val="0"/>
        </w:rPr>
        <w:t xml:space="preserve">14, 31</w:t>
      </w:r>
      <w:r w:rsidDel="00000000" w:rsidR="00000000" w:rsidRPr="00000000">
        <w:rPr>
          <w:rFonts w:ascii="Times New Roman" w:cs="Times New Roman" w:eastAsia="Times New Roman" w:hAnsi="Times New Roman"/>
          <w:sz w:val="20"/>
          <w:szCs w:val="20"/>
          <w:rtl w:val="0"/>
        </w:rPr>
        <w:t xml:space="preserve"> Despite NAPCC’s renewable targets (50% non-fossil energy by 2030), coal reliance persists, necessitating rural-focused policies.</w:t>
      </w:r>
      <w:r w:rsidDel="00000000" w:rsidR="00000000" w:rsidRPr="00000000">
        <w:rPr>
          <w:rFonts w:ascii="Times New Roman" w:cs="Times New Roman" w:eastAsia="Times New Roman" w:hAnsi="Times New Roman"/>
          <w:sz w:val="20"/>
          <w:szCs w:val="20"/>
          <w:vertAlign w:val="superscript"/>
          <w:rtl w:val="0"/>
        </w:rPr>
        <w:t xml:space="preserve">32</w:t>
      </w:r>
      <w:r w:rsidDel="00000000" w:rsidR="00000000" w:rsidRPr="00000000">
        <w:rPr>
          <w:rFonts w:ascii="Times New Roman" w:cs="Times New Roman" w:eastAsia="Times New Roman" w:hAnsi="Times New Roman"/>
          <w:sz w:val="20"/>
          <w:szCs w:val="20"/>
          <w:rtl w:val="0"/>
        </w:rPr>
        <w:t xml:space="preserve"> Elderly-focused subsidies and rural electrification are essential for equitable adaptation, as current policies fail to address these gaps.</w:t>
      </w:r>
      <w:r w:rsidDel="00000000" w:rsidR="00000000" w:rsidRPr="00000000">
        <w:rPr>
          <w:rFonts w:ascii="Times New Roman" w:cs="Times New Roman" w:eastAsia="Times New Roman" w:hAnsi="Times New Roman"/>
          <w:sz w:val="20"/>
          <w:szCs w:val="20"/>
          <w:vertAlign w:val="superscript"/>
          <w:rtl w:val="0"/>
        </w:rPr>
        <w:t xml:space="preserve">8, 14</w:t>
      </w: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References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22</w:t>
      </w:r>
      <w:r w:rsidDel="00000000" w:rsidR="00000000" w:rsidRPr="00000000">
        <w:rPr>
          <w:rFonts w:ascii="Times New Roman" w:cs="Times New Roman" w:eastAsia="Times New Roman" w:hAnsi="Times New Roman"/>
          <w:i w:val="1"/>
          <w:sz w:val="20"/>
          <w:szCs w:val="20"/>
          <w:rtl w:val="0"/>
        </w:rPr>
        <w:t xml:space="preserve"> Ebi, Kristie L., et al. “Hot Weather and Heat Extremes: Health Risks.” The Lancet, vol. 398, no. 10301, 2021, pp. 698–708.</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23</w:t>
      </w:r>
      <w:r w:rsidDel="00000000" w:rsidR="00000000" w:rsidRPr="00000000">
        <w:rPr>
          <w:rFonts w:ascii="Times New Roman" w:cs="Times New Roman" w:eastAsia="Times New Roman" w:hAnsi="Times New Roman"/>
          <w:i w:val="1"/>
          <w:sz w:val="20"/>
          <w:szCs w:val="20"/>
          <w:rtl w:val="0"/>
        </w:rPr>
        <w:t xml:space="preserve"> International Energy Agency. “IEA – International Energy Agency - Contact.” </w:t>
      </w:r>
      <w:hyperlink r:id="rId13">
        <w:r w:rsidDel="00000000" w:rsidR="00000000" w:rsidRPr="00000000">
          <w:rPr>
            <w:rFonts w:ascii="Times New Roman" w:cs="Times New Roman" w:eastAsia="Times New Roman" w:hAnsi="Times New Roman"/>
            <w:i w:val="1"/>
            <w:color w:val="1155cc"/>
            <w:sz w:val="20"/>
            <w:szCs w:val="20"/>
            <w:u w:val="single"/>
            <w:rtl w:val="0"/>
          </w:rPr>
          <w:t xml:space="preserve">www.iea.org</w:t>
        </w:r>
      </w:hyperlink>
      <w:r w:rsidDel="00000000" w:rsidR="00000000" w:rsidRPr="00000000">
        <w:rPr>
          <w:rFonts w:ascii="Times New Roman" w:cs="Times New Roman" w:eastAsia="Times New Roman" w:hAnsi="Times New Roman"/>
          <w:i w:val="1"/>
          <w:sz w:val="20"/>
          <w:szCs w:val="20"/>
          <w:rtl w:val="0"/>
        </w:rPr>
        <w:t xml:space="preserve">, n.d.</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i w:val="1"/>
          <w:sz w:val="20"/>
          <w:szCs w:val="20"/>
          <w:vertAlign w:val="superscript"/>
        </w:rPr>
      </w:pPr>
      <w:r w:rsidDel="00000000" w:rsidR="00000000" w:rsidRPr="00000000">
        <w:rPr>
          <w:rFonts w:ascii="Times New Roman" w:cs="Times New Roman" w:eastAsia="Times New Roman" w:hAnsi="Times New Roman"/>
          <w:i w:val="1"/>
          <w:sz w:val="20"/>
          <w:szCs w:val="20"/>
          <w:vertAlign w:val="superscript"/>
          <w:rtl w:val="0"/>
        </w:rPr>
        <w:t xml:space="preserve">24 </w:t>
      </w:r>
      <w:r w:rsidDel="00000000" w:rsidR="00000000" w:rsidRPr="00000000">
        <w:rPr>
          <w:rFonts w:ascii="Times New Roman" w:cs="Times New Roman" w:eastAsia="Times New Roman" w:hAnsi="Times New Roman"/>
          <w:i w:val="1"/>
          <w:sz w:val="20"/>
          <w:szCs w:val="20"/>
          <w:rtl w:val="0"/>
        </w:rPr>
        <w:t xml:space="preserve">U.S. Energy Information Administration. “India - U.S. Energy Information Administration (EIA).” </w:t>
      </w:r>
      <w:hyperlink r:id="rId14">
        <w:r w:rsidDel="00000000" w:rsidR="00000000" w:rsidRPr="00000000">
          <w:rPr>
            <w:rFonts w:ascii="Times New Roman" w:cs="Times New Roman" w:eastAsia="Times New Roman" w:hAnsi="Times New Roman"/>
            <w:i w:val="1"/>
            <w:color w:val="1155cc"/>
            <w:sz w:val="20"/>
            <w:szCs w:val="20"/>
            <w:u w:val="single"/>
            <w:rtl w:val="0"/>
          </w:rPr>
          <w:t xml:space="preserve">www.eia.gov</w:t>
        </w:r>
      </w:hyperlink>
      <w:r w:rsidDel="00000000" w:rsidR="00000000" w:rsidRPr="00000000">
        <w:rPr>
          <w:rFonts w:ascii="Times New Roman" w:cs="Times New Roman" w:eastAsia="Times New Roman" w:hAnsi="Times New Roman"/>
          <w:i w:val="1"/>
          <w:sz w:val="20"/>
          <w:szCs w:val="20"/>
          <w:rtl w:val="0"/>
        </w:rPr>
        <w:t xml:space="preserve">, n.d</w:t>
      </w:r>
      <w:r w:rsidDel="00000000" w:rsidR="00000000" w:rsidRPr="00000000">
        <w:rPr>
          <w:rFonts w:ascii="Times New Roman" w:cs="Times New Roman" w:eastAsia="Times New Roman" w:hAnsi="Times New Roman"/>
          <w:i w:val="1"/>
          <w:sz w:val="20"/>
          <w:szCs w:val="20"/>
          <w:vertAlign w:val="superscript"/>
          <w:rtl w:val="0"/>
        </w:rPr>
        <w:t xml:space="preserve">.</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25</w:t>
      </w:r>
      <w:r w:rsidDel="00000000" w:rsidR="00000000" w:rsidRPr="00000000">
        <w:rPr>
          <w:rFonts w:ascii="Times New Roman" w:cs="Times New Roman" w:eastAsia="Times New Roman" w:hAnsi="Times New Roman"/>
          <w:i w:val="1"/>
          <w:sz w:val="20"/>
          <w:szCs w:val="20"/>
          <w:rtl w:val="0"/>
        </w:rPr>
        <w:t xml:space="preserve"> International Energy Agency. “IEA – International Energy Agency - Membership.” </w:t>
      </w:r>
      <w:hyperlink r:id="rId15">
        <w:r w:rsidDel="00000000" w:rsidR="00000000" w:rsidRPr="00000000">
          <w:rPr>
            <w:rFonts w:ascii="Times New Roman" w:cs="Times New Roman" w:eastAsia="Times New Roman" w:hAnsi="Times New Roman"/>
            <w:i w:val="1"/>
            <w:color w:val="1155cc"/>
            <w:sz w:val="20"/>
            <w:szCs w:val="20"/>
            <w:u w:val="single"/>
            <w:rtl w:val="0"/>
          </w:rPr>
          <w:t xml:space="preserve">www.iea.org</w:t>
        </w:r>
      </w:hyperlink>
      <w:r w:rsidDel="00000000" w:rsidR="00000000" w:rsidRPr="00000000">
        <w:rPr>
          <w:rFonts w:ascii="Times New Roman" w:cs="Times New Roman" w:eastAsia="Times New Roman" w:hAnsi="Times New Roman"/>
          <w:i w:val="1"/>
          <w:sz w:val="20"/>
          <w:szCs w:val="20"/>
          <w:rtl w:val="0"/>
        </w:rPr>
        <w:t xml:space="preserve">, n.d.</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i w:val="1"/>
          <w:sz w:val="20"/>
          <w:szCs w:val="20"/>
          <w:vertAlign w:val="superscript"/>
        </w:rPr>
      </w:pPr>
      <w:r w:rsidDel="00000000" w:rsidR="00000000" w:rsidRPr="00000000">
        <w:rPr>
          <w:rFonts w:ascii="Times New Roman" w:cs="Times New Roman" w:eastAsia="Times New Roman" w:hAnsi="Times New Roman"/>
          <w:i w:val="1"/>
          <w:sz w:val="20"/>
          <w:szCs w:val="20"/>
          <w:vertAlign w:val="superscript"/>
          <w:rtl w:val="0"/>
        </w:rPr>
        <w:t xml:space="preserve">26 </w:t>
      </w:r>
      <w:r w:rsidDel="00000000" w:rsidR="00000000" w:rsidRPr="00000000">
        <w:rPr>
          <w:rFonts w:ascii="Times New Roman" w:cs="Times New Roman" w:eastAsia="Times New Roman" w:hAnsi="Times New Roman"/>
          <w:i w:val="1"/>
          <w:sz w:val="20"/>
          <w:szCs w:val="20"/>
          <w:rtl w:val="0"/>
        </w:rPr>
        <w:t xml:space="preserve">Lundgren, Karin, et al. “Gender Differences in Thermoregulation and Heat Stress.” Journal of Thermal Biology, vol. 38, no. 5, 2013, pp. 221–229</w:t>
      </w:r>
      <w:r w:rsidDel="00000000" w:rsidR="00000000" w:rsidRPr="00000000">
        <w:rPr>
          <w:rFonts w:ascii="Times New Roman" w:cs="Times New Roman" w:eastAsia="Times New Roman" w:hAnsi="Times New Roman"/>
          <w:i w:val="1"/>
          <w:sz w:val="20"/>
          <w:szCs w:val="20"/>
          <w:vertAlign w:val="superscript"/>
          <w:rtl w:val="0"/>
        </w:rPr>
        <w:t xml:space="preserve">.</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27 </w:t>
      </w:r>
      <w:r w:rsidDel="00000000" w:rsidR="00000000" w:rsidRPr="00000000">
        <w:rPr>
          <w:rFonts w:ascii="Times New Roman" w:cs="Times New Roman" w:eastAsia="Times New Roman" w:hAnsi="Times New Roman"/>
          <w:i w:val="1"/>
          <w:sz w:val="20"/>
          <w:szCs w:val="20"/>
          <w:rtl w:val="0"/>
        </w:rPr>
        <w:t xml:space="preserve">International Energy Agency. “IEA – International Energy Agency - Energy Efficiency.” </w:t>
      </w:r>
      <w:hyperlink r:id="rId16">
        <w:r w:rsidDel="00000000" w:rsidR="00000000" w:rsidRPr="00000000">
          <w:rPr>
            <w:rFonts w:ascii="Times New Roman" w:cs="Times New Roman" w:eastAsia="Times New Roman" w:hAnsi="Times New Roman"/>
            <w:i w:val="1"/>
            <w:color w:val="1155cc"/>
            <w:sz w:val="20"/>
            <w:szCs w:val="20"/>
            <w:u w:val="single"/>
            <w:rtl w:val="0"/>
          </w:rPr>
          <w:t xml:space="preserve">www.iea.org</w:t>
        </w:r>
      </w:hyperlink>
      <w:r w:rsidDel="00000000" w:rsidR="00000000" w:rsidRPr="00000000">
        <w:rPr>
          <w:rFonts w:ascii="Times New Roman" w:cs="Times New Roman" w:eastAsia="Times New Roman" w:hAnsi="Times New Roman"/>
          <w:i w:val="1"/>
          <w:sz w:val="20"/>
          <w:szCs w:val="20"/>
          <w:rtl w:val="0"/>
        </w:rPr>
        <w:t xml:space="preserve">, n.d.</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28</w:t>
      </w:r>
      <w:r w:rsidDel="00000000" w:rsidR="00000000" w:rsidRPr="00000000">
        <w:rPr>
          <w:rFonts w:ascii="Times New Roman" w:cs="Times New Roman" w:eastAsia="Times New Roman" w:hAnsi="Times New Roman"/>
          <w:i w:val="1"/>
          <w:sz w:val="20"/>
          <w:szCs w:val="20"/>
          <w:rtl w:val="0"/>
        </w:rPr>
        <w:t xml:space="preserve"> International Atomic Energy Agency. “Ahmedabad Study.” </w:t>
      </w:r>
      <w:hyperlink r:id="rId17">
        <w:r w:rsidDel="00000000" w:rsidR="00000000" w:rsidRPr="00000000">
          <w:rPr>
            <w:rFonts w:ascii="Times New Roman" w:cs="Times New Roman" w:eastAsia="Times New Roman" w:hAnsi="Times New Roman"/>
            <w:i w:val="1"/>
            <w:color w:val="1155cc"/>
            <w:sz w:val="20"/>
            <w:szCs w:val="20"/>
            <w:u w:val="single"/>
            <w:rtl w:val="0"/>
          </w:rPr>
          <w:t xml:space="preserve">www.iaea.org</w:t>
        </w:r>
      </w:hyperlink>
      <w:r w:rsidDel="00000000" w:rsidR="00000000" w:rsidRPr="00000000">
        <w:rPr>
          <w:rFonts w:ascii="Times New Roman" w:cs="Times New Roman" w:eastAsia="Times New Roman" w:hAnsi="Times New Roman"/>
          <w:i w:val="1"/>
          <w:sz w:val="20"/>
          <w:szCs w:val="20"/>
          <w:rtl w:val="0"/>
        </w:rPr>
        <w:t xml:space="preserve">, n.d.</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29 </w:t>
      </w:r>
      <w:r w:rsidDel="00000000" w:rsidR="00000000" w:rsidRPr="00000000">
        <w:rPr>
          <w:rFonts w:ascii="Times New Roman" w:cs="Times New Roman" w:eastAsia="Times New Roman" w:hAnsi="Times New Roman"/>
          <w:i w:val="1"/>
          <w:sz w:val="20"/>
          <w:szCs w:val="20"/>
          <w:rtl w:val="0"/>
        </w:rPr>
        <w:t xml:space="preserve">@ClimateAdaptation. “Ahmedabad Heat Action Plan focuses on early warnings and awareness, a model for urban adaptation.” X, 2023.</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30</w:t>
      </w:r>
      <w:r w:rsidDel="00000000" w:rsidR="00000000" w:rsidRPr="00000000">
        <w:rPr>
          <w:rFonts w:ascii="Times New Roman" w:cs="Times New Roman" w:eastAsia="Times New Roman" w:hAnsi="Times New Roman"/>
          <w:i w:val="1"/>
          <w:sz w:val="20"/>
          <w:szCs w:val="20"/>
          <w:rtl w:val="0"/>
        </w:rPr>
        <w:t xml:space="preserve"> Samir, K. C., and Wolfgang Lutz. “The Human Core of the Shared Socioeconomic Pathways.” Global Environmental Change, vol. 42, 2017, pp. 181–192.</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31</w:t>
      </w:r>
      <w:r w:rsidDel="00000000" w:rsidR="00000000" w:rsidRPr="00000000">
        <w:rPr>
          <w:rFonts w:ascii="Times New Roman" w:cs="Times New Roman" w:eastAsia="Times New Roman" w:hAnsi="Times New Roman"/>
          <w:i w:val="1"/>
          <w:sz w:val="20"/>
          <w:szCs w:val="20"/>
          <w:rtl w:val="0"/>
        </w:rPr>
        <w:t xml:space="preserve"> International Energy Agency. The Future of Cooling in India. IEA, 2021.</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32 </w:t>
      </w:r>
      <w:r w:rsidDel="00000000" w:rsidR="00000000" w:rsidRPr="00000000">
        <w:rPr>
          <w:rFonts w:ascii="Times New Roman" w:cs="Times New Roman" w:eastAsia="Times New Roman" w:hAnsi="Times New Roman"/>
          <w:i w:val="1"/>
          <w:sz w:val="20"/>
          <w:szCs w:val="20"/>
          <w:rtl w:val="0"/>
        </w:rPr>
        <w:t xml:space="preserve">International Energy Agency. “International Energy Agency (IEA) | Department of Energy.” </w:t>
      </w:r>
      <w:hyperlink r:id="rId18">
        <w:r w:rsidDel="00000000" w:rsidR="00000000" w:rsidRPr="00000000">
          <w:rPr>
            <w:rFonts w:ascii="Times New Roman" w:cs="Times New Roman" w:eastAsia="Times New Roman" w:hAnsi="Times New Roman"/>
            <w:i w:val="1"/>
            <w:color w:val="1155cc"/>
            <w:sz w:val="20"/>
            <w:szCs w:val="20"/>
            <w:u w:val="single"/>
            <w:rtl w:val="0"/>
          </w:rPr>
          <w:t xml:space="preserve">www.energy.gov</w:t>
        </w:r>
      </w:hyperlink>
      <w:r w:rsidDel="00000000" w:rsidR="00000000" w:rsidRPr="00000000">
        <w:rPr>
          <w:rFonts w:ascii="Times New Roman" w:cs="Times New Roman" w:eastAsia="Times New Roman" w:hAnsi="Times New Roman"/>
          <w:i w:val="1"/>
          <w:sz w:val="20"/>
          <w:szCs w:val="20"/>
          <w:rtl w:val="0"/>
        </w:rPr>
        <w:t xml:space="preserve">, n.d.</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sq8vf8935e2o" w:id="7"/>
      <w:bookmarkEnd w:id="7"/>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78khdpsyn4o6" w:id="8"/>
      <w:bookmarkEnd w:id="8"/>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rzo6hogvs28o" w:id="9"/>
      <w:bookmarkEnd w:id="9"/>
      <w:r w:rsidDel="00000000" w:rsidR="00000000" w:rsidRPr="00000000">
        <w:rPr>
          <w:rFonts w:ascii="Times New Roman" w:cs="Times New Roman" w:eastAsia="Times New Roman" w:hAnsi="Times New Roman"/>
          <w:b w:val="1"/>
          <w:color w:val="000000"/>
          <w:rtl w:val="0"/>
        </w:rPr>
        <w:t xml:space="preserve">Conclusion</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This study demonstrates that heat index-driven cooling energy demand in India varies significantly with age across SSP1-1.9 to SSP5-8.5 from 2020 to 2099, with SSP5-8.5 projecting a heat index of 89°F by 2099, calculated by the Rothfusz formula.</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As the literature review notes, India remains understudied for such demographic-specific analyses, limiting climate adaptation insights.</w:t>
      </w:r>
      <w:r w:rsidDel="00000000" w:rsidR="00000000" w:rsidRPr="00000000">
        <w:rPr>
          <w:rFonts w:ascii="Times New Roman" w:cs="Times New Roman" w:eastAsia="Times New Roman" w:hAnsi="Times New Roman"/>
          <w:sz w:val="20"/>
          <w:szCs w:val="20"/>
          <w:vertAlign w:val="superscript"/>
          <w:rtl w:val="0"/>
        </w:rPr>
        <w:t xml:space="preserve">3, 15</w:t>
      </w:r>
      <w:r w:rsidDel="00000000" w:rsidR="00000000" w:rsidRPr="00000000">
        <w:rPr>
          <w:rFonts w:ascii="Times New Roman" w:cs="Times New Roman" w:eastAsia="Times New Roman" w:hAnsi="Times New Roman"/>
          <w:sz w:val="20"/>
          <w:szCs w:val="20"/>
          <w:rtl w:val="0"/>
        </w:rPr>
        <w:t xml:space="preserve"> Figure 2’s threshold effect above 85°F, potentially underestimated due to sales data biases, highlights the urgent need for sustainable energy solutions.</w:t>
      </w:r>
      <w:r w:rsidDel="00000000" w:rsidR="00000000" w:rsidRPr="00000000">
        <w:rPr>
          <w:rFonts w:ascii="Times New Roman" w:cs="Times New Roman" w:eastAsia="Times New Roman" w:hAnsi="Times New Roman"/>
          <w:sz w:val="20"/>
          <w:szCs w:val="20"/>
          <w:vertAlign w:val="superscript"/>
          <w:rtl w:val="0"/>
        </w:rPr>
        <w:t xml:space="preserve">2, 12</w:t>
      </w:r>
      <w:r w:rsidDel="00000000" w:rsidR="00000000" w:rsidRPr="00000000">
        <w:rPr>
          <w:rFonts w:ascii="Times New Roman" w:cs="Times New Roman" w:eastAsia="Times New Roman" w:hAnsi="Times New Roman"/>
          <w:sz w:val="20"/>
          <w:szCs w:val="20"/>
          <w:rtl w:val="0"/>
        </w:rPr>
        <w:t xml:space="preserve"> The India Cooling Action Plan (ICAP) promotes efficient cooling but falters in rural delivery, leaving vulnerable populations exposed.</w:t>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Times New Roman" w:cs="Times New Roman" w:eastAsia="Times New Roman" w:hAnsi="Times New Roman"/>
          <w:sz w:val="20"/>
          <w:szCs w:val="20"/>
          <w:rtl w:val="0"/>
        </w:rPr>
        <w:t xml:space="preserve"> To address this, policies should include rural-focused cooling subsidies, incentivizing affordable, energy-efficient devices like solar-powered fans, which could reduce energy burdens by up to 30% in off-grid areas.</w:t>
      </w:r>
      <w:r w:rsidDel="00000000" w:rsidR="00000000" w:rsidRPr="00000000">
        <w:rPr>
          <w:rFonts w:ascii="Times New Roman" w:cs="Times New Roman" w:eastAsia="Times New Roman" w:hAnsi="Times New Roman"/>
          <w:sz w:val="20"/>
          <w:szCs w:val="20"/>
          <w:vertAlign w:val="superscript"/>
          <w:rtl w:val="0"/>
        </w:rPr>
        <w:t xml:space="preserve">23</w:t>
      </w:r>
      <w:r w:rsidDel="00000000" w:rsidR="00000000" w:rsidRPr="00000000">
        <w:rPr>
          <w:rFonts w:ascii="Times New Roman" w:cs="Times New Roman" w:eastAsia="Times New Roman" w:hAnsi="Times New Roman"/>
          <w:sz w:val="20"/>
          <w:szCs w:val="20"/>
          <w:rtl w:val="0"/>
        </w:rPr>
        <w:t xml:space="preserve"> These findings underscore the need for targeted strategies to address rising heat stress and energy burdens.</w:t>
      </w:r>
      <w:r w:rsidDel="00000000" w:rsidR="00000000" w:rsidRPr="00000000">
        <w:rPr>
          <w:rFonts w:ascii="Times New Roman" w:cs="Times New Roman" w:eastAsia="Times New Roman" w:hAnsi="Times New Roman"/>
          <w:sz w:val="20"/>
          <w:szCs w:val="20"/>
          <w:vertAlign w:val="superscript"/>
          <w:rtl w:val="0"/>
        </w:rPr>
        <w:t xml:space="preserve">8</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Older populations (50–64) show higher cooling demand, driven by physiological vulnerabilities, necessitating specific interventions, as India’s understudied demographic research limits tailored planning.</w:t>
      </w: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Times New Roman" w:cs="Times New Roman" w:eastAsia="Times New Roman" w:hAnsi="Times New Roman"/>
          <w:sz w:val="20"/>
          <w:szCs w:val="20"/>
          <w:rtl w:val="0"/>
        </w:rPr>
        <w:t xml:space="preserve"> Figures 3–10 highlight peaks (e.g., 5 TWh, males, SSP1-1.9, 2020–2039).</w:t>
      </w:r>
      <w:r w:rsidDel="00000000" w:rsidR="00000000" w:rsidRPr="00000000">
        <w:rPr>
          <w:rFonts w:ascii="Times New Roman" w:cs="Times New Roman" w:eastAsia="Times New Roman" w:hAnsi="Times New Roman"/>
          <w:sz w:val="20"/>
          <w:szCs w:val="20"/>
          <w:vertAlign w:val="superscript"/>
          <w:rtl w:val="0"/>
        </w:rPr>
        <w:t xml:space="preserve">2, 12</w:t>
      </w:r>
      <w:r w:rsidDel="00000000" w:rsidR="00000000" w:rsidRPr="00000000">
        <w:rPr>
          <w:rFonts w:ascii="Times New Roman" w:cs="Times New Roman" w:eastAsia="Times New Roman" w:hAnsi="Times New Roman"/>
          <w:sz w:val="20"/>
          <w:szCs w:val="20"/>
          <w:rtl w:val="0"/>
        </w:rPr>
        <w:t xml:space="preserve"> Gender differences are minimal, reflecting socioeconomic access over physiological factors, contrasting with some studies.</w:t>
      </w:r>
      <w:r w:rsidDel="00000000" w:rsidR="00000000" w:rsidRPr="00000000">
        <w:rPr>
          <w:rFonts w:ascii="Times New Roman" w:cs="Times New Roman" w:eastAsia="Times New Roman" w:hAnsi="Times New Roman"/>
          <w:sz w:val="20"/>
          <w:szCs w:val="20"/>
          <w:vertAlign w:val="superscript"/>
          <w:rtl w:val="0"/>
        </w:rPr>
        <w:t xml:space="preserve">3, 26</w:t>
      </w:r>
      <w:r w:rsidDel="00000000" w:rsidR="00000000" w:rsidRPr="00000000">
        <w:rPr>
          <w:rFonts w:ascii="Times New Roman" w:cs="Times New Roman" w:eastAsia="Times New Roman" w:hAnsi="Times New Roman"/>
          <w:sz w:val="20"/>
          <w:szCs w:val="20"/>
          <w:rtl w:val="0"/>
        </w:rPr>
        <w:t xml:space="preserve"> New policies, such as elderly-specific cooling grants and mandatory passive cooling designs in rural housing, could reduce heat stress by 20% while cutting energy use, as seen in pilot programs.</w:t>
      </w:r>
      <w:r w:rsidDel="00000000" w:rsidR="00000000" w:rsidRPr="00000000">
        <w:rPr>
          <w:rFonts w:ascii="Times New Roman" w:cs="Times New Roman" w:eastAsia="Times New Roman" w:hAnsi="Times New Roman"/>
          <w:sz w:val="20"/>
          <w:szCs w:val="20"/>
          <w:vertAlign w:val="superscript"/>
          <w:rtl w:val="0"/>
        </w:rPr>
        <w:t xml:space="preserve">28</w:t>
      </w:r>
      <w:r w:rsidDel="00000000" w:rsidR="00000000" w:rsidRPr="00000000">
        <w:rPr>
          <w:rFonts w:ascii="Times New Roman" w:cs="Times New Roman" w:eastAsia="Times New Roman" w:hAnsi="Times New Roman"/>
          <w:sz w:val="20"/>
          <w:szCs w:val="20"/>
          <w:rtl w:val="0"/>
        </w:rPr>
        <w:t xml:space="preserve"> The lack of demographic-specific cooling studies in India highlights the need for new research to inform such policies, ensuring they address these needs effectively.</w:t>
      </w:r>
      <w:r w:rsidDel="00000000" w:rsidR="00000000" w:rsidRPr="00000000">
        <w:rPr>
          <w:rFonts w:ascii="Times New Roman" w:cs="Times New Roman" w:eastAsia="Times New Roman" w:hAnsi="Times New Roman"/>
          <w:sz w:val="20"/>
          <w:szCs w:val="20"/>
          <w:vertAlign w:val="superscript"/>
          <w:rtl w:val="0"/>
        </w:rPr>
        <w:t xml:space="preserve">3, 15</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India’s limited research on age and gender disaggregated cooling demand, as the literature review highlights, underscores the novelty of these findings, urging further localised studies.</w:t>
      </w:r>
      <w:r w:rsidDel="00000000" w:rsidR="00000000" w:rsidRPr="00000000">
        <w:rPr>
          <w:rFonts w:ascii="Times New Roman" w:cs="Times New Roman" w:eastAsia="Times New Roman" w:hAnsi="Times New Roman"/>
          <w:sz w:val="20"/>
          <w:szCs w:val="20"/>
          <w:vertAlign w:val="superscript"/>
          <w:rtl w:val="0"/>
        </w:rPr>
        <w:t xml:space="preserve">3, 15</w:t>
      </w:r>
      <w:r w:rsidDel="00000000" w:rsidR="00000000" w:rsidRPr="00000000">
        <w:rPr>
          <w:rFonts w:ascii="Times New Roman" w:cs="Times New Roman" w:eastAsia="Times New Roman" w:hAnsi="Times New Roman"/>
          <w:sz w:val="20"/>
          <w:szCs w:val="20"/>
          <w:rtl w:val="0"/>
        </w:rPr>
        <w:t xml:space="preserve"> Future research should explore socioeconomic factors to enhance adaptation, integrating renewables despite grid constraints.</w:t>
      </w:r>
      <w:r w:rsidDel="00000000" w:rsidR="00000000" w:rsidRPr="00000000">
        <w:rPr>
          <w:rFonts w:ascii="Times New Roman" w:cs="Times New Roman" w:eastAsia="Times New Roman" w:hAnsi="Times New Roman"/>
          <w:sz w:val="20"/>
          <w:szCs w:val="20"/>
          <w:vertAlign w:val="superscript"/>
          <w:rtl w:val="0"/>
        </w:rPr>
        <w:t xml:space="preserve">14, 31</w:t>
      </w:r>
      <w:r w:rsidDel="00000000" w:rsidR="00000000" w:rsidRPr="00000000">
        <w:rPr>
          <w:rFonts w:ascii="Times New Roman" w:cs="Times New Roman" w:eastAsia="Times New Roman" w:hAnsi="Times New Roman"/>
          <w:sz w:val="20"/>
          <w:szCs w:val="20"/>
          <w:rtl w:val="0"/>
        </w:rPr>
        <w:t xml:space="preserve"> Strengthened heat action plans, tailored for the elderly, can leverage these insights to build resilience, ensuring India’s cooling strategies align with sustainable development goals.</w:t>
      </w:r>
      <w:r w:rsidDel="00000000" w:rsidR="00000000" w:rsidRPr="00000000">
        <w:rPr>
          <w:rFonts w:ascii="Times New Roman" w:cs="Times New Roman" w:eastAsia="Times New Roman" w:hAnsi="Times New Roman"/>
          <w:sz w:val="20"/>
          <w:szCs w:val="20"/>
          <w:vertAlign w:val="superscript"/>
          <w:rtl w:val="0"/>
        </w:rPr>
        <w:t xml:space="preserve">33</w:t>
      </w:r>
      <w:r w:rsidDel="00000000" w:rsidR="00000000" w:rsidRPr="00000000">
        <w:rPr>
          <w:rFonts w:ascii="Times New Roman" w:cs="Times New Roman" w:eastAsia="Times New Roman" w:hAnsi="Times New Roman"/>
          <w:sz w:val="20"/>
          <w:szCs w:val="20"/>
          <w:rtl w:val="0"/>
        </w:rPr>
        <w:t xml:space="preserve"> New policies, such as tax incentives for renewable cooling technologies and mandatory grid upgrades, are urgently needed to address these gaps, as current frameworks fail to meet the scale of India’s heat stress challenges.</w:t>
      </w:r>
      <w:r w:rsidDel="00000000" w:rsidR="00000000" w:rsidRPr="00000000">
        <w:rPr>
          <w:rFonts w:ascii="Times New Roman" w:cs="Times New Roman" w:eastAsia="Times New Roman" w:hAnsi="Times New Roman"/>
          <w:sz w:val="20"/>
          <w:szCs w:val="20"/>
          <w:vertAlign w:val="superscript"/>
          <w:rtl w:val="0"/>
        </w:rPr>
        <w:t xml:space="preserve">8, 32</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References</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vertAlign w:val="superscript"/>
          <w:rtl w:val="0"/>
        </w:rPr>
        <w:t xml:space="preserve">33</w:t>
      </w:r>
      <w:r w:rsidDel="00000000" w:rsidR="00000000" w:rsidRPr="00000000">
        <w:rPr>
          <w:rFonts w:ascii="Times New Roman" w:cs="Times New Roman" w:eastAsia="Times New Roman" w:hAnsi="Times New Roman"/>
          <w:i w:val="1"/>
          <w:sz w:val="20"/>
          <w:szCs w:val="20"/>
          <w:rtl w:val="0"/>
        </w:rPr>
        <w:t xml:space="preserve"> Watts, Nick, et al. “The Lancet Countdown on Health and Climate Change.” The Lancet, vol. 391, no. 10120, 2018, pp. 581–630.</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Plots</w:t>
      </w:r>
      <w:r w:rsidDel="00000000" w:rsidR="00000000" w:rsidRPr="00000000">
        <w:drawing>
          <wp:anchor allowOverlap="1" behindDoc="0" distB="114300" distT="114300" distL="114300" distR="114300" hidden="0" layoutInCell="1" locked="0" relativeHeight="0" simplePos="0">
            <wp:simplePos x="0" y="0"/>
            <wp:positionH relativeFrom="column">
              <wp:posOffset>-328612</wp:posOffset>
            </wp:positionH>
            <wp:positionV relativeFrom="paragraph">
              <wp:posOffset>190500</wp:posOffset>
            </wp:positionV>
            <wp:extent cx="6605588" cy="3105150"/>
            <wp:effectExtent b="0" l="0" r="0" t="0"/>
            <wp:wrapNone/>
            <wp:docPr id="1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605588" cy="3105150"/>
                    </a:xfrm>
                    <a:prstGeom prst="rect"/>
                    <a:ln/>
                  </pic:spPr>
                </pic:pic>
              </a:graphicData>
            </a:graphic>
          </wp:anchor>
        </w:drawing>
      </w:r>
    </w:p>
    <w:p w:rsidR="00000000" w:rsidDel="00000000" w:rsidP="00000000" w:rsidRDefault="00000000" w:rsidRPr="00000000" w14:paraId="0000008C">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92">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 Heat Index with Uncertainty Bounds (Including Historic) for SSP1-1.9, SSP1-2.6, SSP2-4.5, SSP3-7.0, and SSP5-8.5 (1991–2099)</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5810250" cy="3491737"/>
            <wp:effectExtent b="0" l="0" r="0" t="0"/>
            <wp:wrapNone/>
            <wp:docPr id="35"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5810250" cy="3491737"/>
                    </a:xfrm>
                    <a:prstGeom prst="rect"/>
                    <a:ln/>
                  </pic:spPr>
                </pic:pic>
              </a:graphicData>
            </a:graphic>
          </wp:anchor>
        </w:drawing>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 Scatter Plot of Energy Demand vs. Heat Index for Multiple SSPs (1991–2099)</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943600" cy="3568700"/>
            <wp:effectExtent b="0" l="0" r="0" t="0"/>
            <wp:docPr id="1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 Males, SSP1-1.9 (2020–2039)</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6005513" cy="3267075"/>
            <wp:effectExtent b="0" l="0" r="0" t="0"/>
            <wp:wrapNone/>
            <wp:docPr id="33"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6005513" cy="3267075"/>
                    </a:xfrm>
                    <a:prstGeom prst="rect"/>
                    <a:ln/>
                  </pic:spPr>
                </pic:pic>
              </a:graphicData>
            </a:graphic>
          </wp:anchor>
        </w:drawing>
      </w:r>
    </w:p>
    <w:p w:rsidR="00000000" w:rsidDel="00000000" w:rsidP="00000000" w:rsidRDefault="00000000" w:rsidRPr="00000000" w14:paraId="000000A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B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 Females, SSP1-1.9 (2020–2039)</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40"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5: Males, SSP1-1.9 (2080–2099)</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19"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6: Females, SSP1-1.9 (2080–2099).</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42"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7: Males, SSP5-8.5 (2020–2039)</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2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8: Females, SSP5-8.5 (2020–2039)</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9: Males, SSP5-8.5 (2080–2099)</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75" name="image70.png"/>
            <a:graphic>
              <a:graphicData uri="http://schemas.openxmlformats.org/drawingml/2006/picture">
                <pic:pic>
                  <pic:nvPicPr>
                    <pic:cNvPr id="0" name="image70.png"/>
                    <pic:cNvPicPr preferRelativeResize="0"/>
                  </pic:nvPicPr>
                  <pic:blipFill>
                    <a:blip r:embed="rId2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10: Females, SSP5-8.5 (2080–2099)</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481638" cy="3629025"/>
            <wp:effectExtent b="0" l="0" r="0" t="0"/>
            <wp:docPr id="2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481638"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11: SSP1-1.9 (2020–2039)</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139368</wp:posOffset>
            </wp:positionV>
            <wp:extent cx="5500688" cy="3771900"/>
            <wp:effectExtent b="0" l="0" r="0" t="0"/>
            <wp:wrapNone/>
            <wp:docPr id="44"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500688" cy="3771900"/>
                    </a:xfrm>
                    <a:prstGeom prst="rect"/>
                    <a:ln/>
                  </pic:spPr>
                </pic:pic>
              </a:graphicData>
            </a:graphic>
          </wp:anchor>
        </w:drawing>
      </w:r>
    </w:p>
    <w:p w:rsidR="00000000" w:rsidDel="00000000" w:rsidP="00000000" w:rsidRDefault="00000000" w:rsidRPr="00000000" w14:paraId="000000B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C2">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12: SSP1-1.9 (2080–2099)</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591175" cy="3452813"/>
            <wp:effectExtent b="0" l="0" r="0" t="0"/>
            <wp:docPr id="65" name="image62.png"/>
            <a:graphic>
              <a:graphicData uri="http://schemas.openxmlformats.org/drawingml/2006/picture">
                <pic:pic>
                  <pic:nvPicPr>
                    <pic:cNvPr id="0" name="image62.png"/>
                    <pic:cNvPicPr preferRelativeResize="0"/>
                  </pic:nvPicPr>
                  <pic:blipFill>
                    <a:blip r:embed="rId31"/>
                    <a:srcRect b="0" l="0" r="0" t="0"/>
                    <a:stretch>
                      <a:fillRect/>
                    </a:stretch>
                  </pic:blipFill>
                  <pic:spPr>
                    <a:xfrm>
                      <a:off x="0" y="0"/>
                      <a:ext cx="5591175" cy="3452813"/>
                    </a:xfrm>
                    <a:prstGeom prst="rect"/>
                    <a:ln/>
                  </pic:spPr>
                </pic:pic>
              </a:graphicData>
            </a:graphic>
          </wp:inline>
        </w:drawing>
      </w:r>
      <w:r w:rsidDel="00000000" w:rsidR="00000000" w:rsidRPr="00000000">
        <w:rPr>
          <w:rFonts w:ascii="Times New Roman" w:cs="Times New Roman" w:eastAsia="Times New Roman" w:hAnsi="Times New Roman"/>
          <w:b w:val="1"/>
          <w:i w:val="1"/>
          <w:sz w:val="20"/>
          <w:szCs w:val="20"/>
          <w:rtl w:val="0"/>
        </w:rPr>
        <w:t xml:space="preserve">Figure 13: SSP5-8.5 (2020–2039)</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3686175</wp:posOffset>
            </wp:positionV>
            <wp:extent cx="5872163" cy="3743325"/>
            <wp:effectExtent b="0" l="0" r="0" t="0"/>
            <wp:wrapNone/>
            <wp:docPr id="68" name="image66.png"/>
            <a:graphic>
              <a:graphicData uri="http://schemas.openxmlformats.org/drawingml/2006/picture">
                <pic:pic>
                  <pic:nvPicPr>
                    <pic:cNvPr id="0" name="image66.png"/>
                    <pic:cNvPicPr preferRelativeResize="0"/>
                  </pic:nvPicPr>
                  <pic:blipFill>
                    <a:blip r:embed="rId32"/>
                    <a:srcRect b="0" l="0" r="0" t="0"/>
                    <a:stretch>
                      <a:fillRect/>
                    </a:stretch>
                  </pic:blipFill>
                  <pic:spPr>
                    <a:xfrm>
                      <a:off x="0" y="0"/>
                      <a:ext cx="5872163" cy="3743325"/>
                    </a:xfrm>
                    <a:prstGeom prst="rect"/>
                    <a:ln/>
                  </pic:spPr>
                </pic:pic>
              </a:graphicData>
            </a:graphic>
          </wp:anchor>
        </w:drawing>
      </w:r>
    </w:p>
    <w:p w:rsidR="00000000" w:rsidDel="00000000" w:rsidP="00000000" w:rsidRDefault="00000000" w:rsidRPr="00000000" w14:paraId="000000C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D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14: SSP5-8.5 (2080–2099)</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b w:val="1"/>
          <w:i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Supplementary Figures 1-52</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Pr>
        <w:drawing>
          <wp:inline distB="114300" distT="114300" distL="114300" distR="114300">
            <wp:extent cx="5943600" cy="3568700"/>
            <wp:effectExtent b="0" l="0" r="0" t="0"/>
            <wp:docPr id="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 Females, SSP1-1.9 (2040–2059)</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295275</wp:posOffset>
            </wp:positionV>
            <wp:extent cx="5943600" cy="3568700"/>
            <wp:effectExtent b="0" l="0" r="0" t="0"/>
            <wp:wrapNone/>
            <wp:docPr id="54"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5943600" cy="3568700"/>
                    </a:xfrm>
                    <a:prstGeom prst="rect"/>
                    <a:ln/>
                  </pic:spPr>
                </pic:pic>
              </a:graphicData>
            </a:graphic>
          </wp:anchor>
        </w:drawing>
      </w:r>
    </w:p>
    <w:p w:rsidR="00000000" w:rsidDel="00000000" w:rsidP="00000000" w:rsidRDefault="00000000" w:rsidRPr="00000000" w14:paraId="000000DC">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0">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4">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5">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7">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 Males, SSP1-1.9 (2040–2059)</w:t>
      </w:r>
      <w:r w:rsidDel="00000000" w:rsidR="00000000" w:rsidRPr="00000000">
        <w:rPr>
          <w:rtl w:val="0"/>
        </w:rPr>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8"/>
          <w:szCs w:val="28"/>
        </w:rPr>
        <w:drawing>
          <wp:inline distB="114300" distT="114300" distL="114300" distR="114300">
            <wp:extent cx="5943600" cy="3568700"/>
            <wp:effectExtent b="0" l="0" r="0" t="0"/>
            <wp:docPr id="71" name="image71.png"/>
            <a:graphic>
              <a:graphicData uri="http://schemas.openxmlformats.org/drawingml/2006/picture">
                <pic:pic>
                  <pic:nvPicPr>
                    <pic:cNvPr id="0" name="image71.png"/>
                    <pic:cNvPicPr preferRelativeResize="0"/>
                  </pic:nvPicPr>
                  <pic:blipFill>
                    <a:blip r:embed="rId3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 Females, SSP1-1.9 (2060–2079)</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342900</wp:posOffset>
            </wp:positionV>
            <wp:extent cx="5943600" cy="3568700"/>
            <wp:effectExtent b="0" l="0" r="0" t="0"/>
            <wp:wrapNone/>
            <wp:docPr id="21"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943600" cy="3568700"/>
                    </a:xfrm>
                    <a:prstGeom prst="rect"/>
                    <a:ln/>
                  </pic:spPr>
                </pic:pic>
              </a:graphicData>
            </a:graphic>
          </wp:anchor>
        </w:drawing>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Figure 4: Males, SSP1-1.9 (2060–2079)</w:t>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68700"/>
            <wp:effectExtent b="0" l="0" r="0" t="0"/>
            <wp:docPr id="72" name="image77.png"/>
            <a:graphic>
              <a:graphicData uri="http://schemas.openxmlformats.org/drawingml/2006/picture">
                <pic:pic>
                  <pic:nvPicPr>
                    <pic:cNvPr id="0" name="image77.png"/>
                    <pic:cNvPicPr preferRelativeResize="0"/>
                  </pic:nvPicPr>
                  <pic:blipFill>
                    <a:blip r:embed="rId36"/>
                    <a:srcRect b="0" l="0" r="0" t="0"/>
                    <a:stretch>
                      <a:fillRect/>
                    </a:stretch>
                  </pic:blipFill>
                  <pic:spPr>
                    <a:xfrm>
                      <a:off x="0" y="0"/>
                      <a:ext cx="5943600" cy="35687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9267825</wp:posOffset>
            </wp:positionV>
            <wp:extent cx="5943600" cy="3568700"/>
            <wp:effectExtent b="0" l="0" r="0" t="0"/>
            <wp:wrapNone/>
            <wp:docPr id="51"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5943600" cy="3568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9096375</wp:posOffset>
            </wp:positionV>
            <wp:extent cx="5943600" cy="3568700"/>
            <wp:effectExtent b="0" l="0" r="0" t="0"/>
            <wp:wrapNone/>
            <wp:docPr id="22"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943600" cy="3568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9096375</wp:posOffset>
            </wp:positionV>
            <wp:extent cx="5943600" cy="3568700"/>
            <wp:effectExtent b="0" l="0" r="0" t="0"/>
            <wp:wrapNone/>
            <wp:docPr id="41"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5943600" cy="3568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4229100</wp:posOffset>
            </wp:positionV>
            <wp:extent cx="5943600" cy="3568700"/>
            <wp:effectExtent b="0" l="0" r="0" t="0"/>
            <wp:wrapNone/>
            <wp:docPr id="48"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5943600" cy="3568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9296400</wp:posOffset>
            </wp:positionV>
            <wp:extent cx="5943600" cy="3568700"/>
            <wp:effectExtent b="0" l="0" r="0" t="0"/>
            <wp:wrapNone/>
            <wp:docPr id="25"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5943600" cy="3568700"/>
                    </a:xfrm>
                    <a:prstGeom prst="rect"/>
                    <a:ln/>
                  </pic:spPr>
                </pic:pic>
              </a:graphicData>
            </a:graphic>
          </wp:anchor>
        </w:drawing>
      </w:r>
    </w:p>
    <w:p w:rsidR="00000000" w:rsidDel="00000000" w:rsidP="00000000" w:rsidRDefault="00000000" w:rsidRPr="00000000" w14:paraId="000000F8">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5: Females, SSP1-2.6 (2020–2039)</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0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0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0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0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0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6: Males, SSP1-2.6 (2020–2039)</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46"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7: Females, SSP1-2.6 (2040–2059)</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29"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8: Males, SSP1-2.6 (2040–2059)</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45"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9: Females, SSP1-2.6 (2060–2079)</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1"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10: Males, SSP1-2.6 (2060–2079)</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14"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11: Females, SSP1-2.6 (2080–2099)</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17"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12: Males, SSP1-2.6 (2080–2099)</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6"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13: Females, SSP2-4.5 (2020–2039)</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815013" cy="3499391"/>
            <wp:effectExtent b="0" l="0" r="0" t="0"/>
            <wp:docPr id="70" name="image67.png"/>
            <a:graphic>
              <a:graphicData uri="http://schemas.openxmlformats.org/drawingml/2006/picture">
                <pic:pic>
                  <pic:nvPicPr>
                    <pic:cNvPr id="0" name="image67.png"/>
                    <pic:cNvPicPr preferRelativeResize="0"/>
                  </pic:nvPicPr>
                  <pic:blipFill>
                    <a:blip r:embed="rId45"/>
                    <a:srcRect b="0" l="0" r="0" t="0"/>
                    <a:stretch>
                      <a:fillRect/>
                    </a:stretch>
                  </pic:blipFill>
                  <pic:spPr>
                    <a:xfrm>
                      <a:off x="0" y="0"/>
                      <a:ext cx="5815013" cy="349939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14: Males, SSP2-4.5 (2020–2039)</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4"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15: Females, SSP2-4.5 (2040–2059)</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5943600" cy="3568700"/>
            <wp:effectExtent b="0" l="0" r="0" t="0"/>
            <wp:wrapNone/>
            <wp:docPr id="63" name="image73.png"/>
            <a:graphic>
              <a:graphicData uri="http://schemas.openxmlformats.org/drawingml/2006/picture">
                <pic:pic>
                  <pic:nvPicPr>
                    <pic:cNvPr id="0" name="image73.png"/>
                    <pic:cNvPicPr preferRelativeResize="0"/>
                  </pic:nvPicPr>
                  <pic:blipFill>
                    <a:blip r:embed="rId47"/>
                    <a:srcRect b="0" l="0" r="0" t="0"/>
                    <a:stretch>
                      <a:fillRect/>
                    </a:stretch>
                  </pic:blipFill>
                  <pic:spPr>
                    <a:xfrm>
                      <a:off x="0" y="0"/>
                      <a:ext cx="5943600" cy="3568700"/>
                    </a:xfrm>
                    <a:prstGeom prst="rect"/>
                    <a:ln/>
                  </pic:spPr>
                </pic:pic>
              </a:graphicData>
            </a:graphic>
          </wp:anchor>
        </w:drawing>
      </w:r>
    </w:p>
    <w:p w:rsidR="00000000" w:rsidDel="00000000" w:rsidP="00000000" w:rsidRDefault="00000000" w:rsidRPr="00000000" w14:paraId="0000011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2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2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2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2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16: Males, SSP2-4.5 (2040–2059)</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2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8" name="image65.png"/>
            <a:graphic>
              <a:graphicData uri="http://schemas.openxmlformats.org/drawingml/2006/picture">
                <pic:pic>
                  <pic:nvPicPr>
                    <pic:cNvPr id="0" name="image65.png"/>
                    <pic:cNvPicPr preferRelativeResize="0"/>
                  </pic:nvPicPr>
                  <pic:blipFill>
                    <a:blip r:embed="rId4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17: Females, SSP2-4.5 (2060–2079)</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66" name="image68.png"/>
            <a:graphic>
              <a:graphicData uri="http://schemas.openxmlformats.org/drawingml/2006/picture">
                <pic:pic>
                  <pic:nvPicPr>
                    <pic:cNvPr id="0" name="image68.png"/>
                    <pic:cNvPicPr preferRelativeResize="0"/>
                  </pic:nvPicPr>
                  <pic:blipFill>
                    <a:blip r:embed="rId4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18: Males, SSP2-4.5 (2060–2079)</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0"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19: Females, SSP2-4.5 (2080–2099)</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74" name="image75.png"/>
            <a:graphic>
              <a:graphicData uri="http://schemas.openxmlformats.org/drawingml/2006/picture">
                <pic:pic>
                  <pic:nvPicPr>
                    <pic:cNvPr id="0" name="image75.png"/>
                    <pic:cNvPicPr preferRelativeResize="0"/>
                  </pic:nvPicPr>
                  <pic:blipFill>
                    <a:blip r:embed="rId5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20: Males, SSP2-4.5 (2080–2099)</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7"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21: Females, SSP3-7.0 (2020–2039)</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5" name="image63.png"/>
            <a:graphic>
              <a:graphicData uri="http://schemas.openxmlformats.org/drawingml/2006/picture">
                <pic:pic>
                  <pic:nvPicPr>
                    <pic:cNvPr id="0" name="image63.png"/>
                    <pic:cNvPicPr preferRelativeResize="0"/>
                  </pic:nvPicPr>
                  <pic:blipFill>
                    <a:blip r:embed="rId5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22: Males, SSP3-7.0 (2020–2039)</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18"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23: Females, SSP3-7.0 (2040–2059)</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60"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24: Males, SSP3-7.0 (2040–2059)</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67" name="image74.png"/>
            <a:graphic>
              <a:graphicData uri="http://schemas.openxmlformats.org/drawingml/2006/picture">
                <pic:pic>
                  <pic:nvPicPr>
                    <pic:cNvPr id="0" name="image74.png"/>
                    <pic:cNvPicPr preferRelativeResize="0"/>
                  </pic:nvPicPr>
                  <pic:blipFill>
                    <a:blip r:embed="rId5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25: Females, SSP3-7.0 (2060–2079)</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3" name="image55.png"/>
            <a:graphic>
              <a:graphicData uri="http://schemas.openxmlformats.org/drawingml/2006/picture">
                <pic:pic>
                  <pic:nvPicPr>
                    <pic:cNvPr id="0" name="image55.png"/>
                    <pic:cNvPicPr preferRelativeResize="0"/>
                  </pic:nvPicPr>
                  <pic:blipFill>
                    <a:blip r:embed="rId5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26: Males, SSP3-7.0 (2060–2079)</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69" name="image72.png"/>
            <a:graphic>
              <a:graphicData uri="http://schemas.openxmlformats.org/drawingml/2006/picture">
                <pic:pic>
                  <pic:nvPicPr>
                    <pic:cNvPr id="0" name="image72.png"/>
                    <pic:cNvPicPr preferRelativeResize="0"/>
                  </pic:nvPicPr>
                  <pic:blipFill>
                    <a:blip r:embed="rId5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27: Females, SSP3-7.0 (2080–2099)</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2"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28: Females, SSP3-7.0 (2080–2099)</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8"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29: Females, SSP5-8.5 (2020–2039)</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9" name="image61.png"/>
            <a:graphic>
              <a:graphicData uri="http://schemas.openxmlformats.org/drawingml/2006/picture">
                <pic:pic>
                  <pic:nvPicPr>
                    <pic:cNvPr id="0" name="image61.png"/>
                    <pic:cNvPicPr preferRelativeResize="0"/>
                  </pic:nvPicPr>
                  <pic:blipFill>
                    <a:blip r:embed="rId2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30: Males, SSP5-8.5 (2020–2039)</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2" name="image53.png"/>
            <a:graphic>
              <a:graphicData uri="http://schemas.openxmlformats.org/drawingml/2006/picture">
                <pic:pic>
                  <pic:nvPicPr>
                    <pic:cNvPr id="0" name="image53.png"/>
                    <pic:cNvPicPr preferRelativeResize="0"/>
                  </pic:nvPicPr>
                  <pic:blipFill>
                    <a:blip r:embed="rId6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31: Females, SSP5-8.5 (2040–2059)</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27"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32: Males, SSP5-8.5 (2040–2059)</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23" name="image30.png"/>
            <a:graphic>
              <a:graphicData uri="http://schemas.openxmlformats.org/drawingml/2006/picture">
                <pic:pic>
                  <pic:nvPicPr>
                    <pic:cNvPr id="0" name="image30.png"/>
                    <pic:cNvPicPr preferRelativeResize="0"/>
                  </pic:nvPicPr>
                  <pic:blipFill>
                    <a:blip r:embed="rId6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33: Females, SSP5-8.5 (2060–2079)</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9"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34: Males, SSP5-8.5 (2060–2079)</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76"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35: Females, SSP5-8.5 (2080–2099)</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36: Males, SSP5-8.5 (2080–2099)</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114300</wp:posOffset>
            </wp:positionV>
            <wp:extent cx="5310188" cy="3752850"/>
            <wp:effectExtent b="0" l="0" r="0" t="0"/>
            <wp:wrapNone/>
            <wp:docPr id="8"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5310188" cy="3752850"/>
                    </a:xfrm>
                    <a:prstGeom prst="rect"/>
                    <a:ln/>
                  </pic:spPr>
                </pic:pic>
              </a:graphicData>
            </a:graphic>
          </wp:anchor>
        </w:drawing>
      </w:r>
    </w:p>
    <w:p w:rsidR="00000000" w:rsidDel="00000000" w:rsidP="00000000" w:rsidRDefault="00000000" w:rsidRPr="00000000" w14:paraId="0000014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4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37: SSP1-1.9 (2040–2059)</w:t>
      </w:r>
      <w:r w:rsidDel="00000000" w:rsidR="00000000" w:rsidRPr="00000000">
        <w:drawing>
          <wp:anchor allowOverlap="1" behindDoc="0" distB="114300" distT="114300" distL="114300" distR="114300" hidden="0" layoutInCell="1" locked="0" relativeHeight="0" simplePos="0">
            <wp:simplePos x="0" y="0"/>
            <wp:positionH relativeFrom="column">
              <wp:posOffset>566738</wp:posOffset>
            </wp:positionH>
            <wp:positionV relativeFrom="paragraph">
              <wp:posOffset>323850</wp:posOffset>
            </wp:positionV>
            <wp:extent cx="5434013" cy="3619500"/>
            <wp:effectExtent b="0" l="0" r="0" t="0"/>
            <wp:wrapNone/>
            <wp:docPr id="5"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434013" cy="3619500"/>
                    </a:xfrm>
                    <a:prstGeom prst="rect"/>
                    <a:ln/>
                  </pic:spPr>
                </pic:pic>
              </a:graphicData>
            </a:graphic>
          </wp:anchor>
        </w:drawing>
      </w:r>
    </w:p>
    <w:p w:rsidR="00000000" w:rsidDel="00000000" w:rsidP="00000000" w:rsidRDefault="00000000" w:rsidRPr="00000000" w14:paraId="0000015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38: SSP1-1.9 (2060–2079)</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242888</wp:posOffset>
            </wp:positionH>
            <wp:positionV relativeFrom="paragraph">
              <wp:posOffset>114300</wp:posOffset>
            </wp:positionV>
            <wp:extent cx="5453063" cy="3686175"/>
            <wp:effectExtent b="0" l="0" r="0" t="0"/>
            <wp:wrapNone/>
            <wp:docPr id="57"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5453063" cy="3686175"/>
                    </a:xfrm>
                    <a:prstGeom prst="rect"/>
                    <a:ln/>
                  </pic:spPr>
                </pic:pic>
              </a:graphicData>
            </a:graphic>
          </wp:anchor>
        </w:drawing>
      </w:r>
    </w:p>
    <w:p w:rsidR="00000000" w:rsidDel="00000000" w:rsidP="00000000" w:rsidRDefault="00000000" w:rsidRPr="00000000" w14:paraId="0000016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39: SSP1-2.6 (2020–2039)</w:t>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333375</wp:posOffset>
            </wp:positionV>
            <wp:extent cx="5653088" cy="3676650"/>
            <wp:effectExtent b="0" l="0" r="0" t="0"/>
            <wp:wrapNone/>
            <wp:docPr id="32" name="image54.png"/>
            <a:graphic>
              <a:graphicData uri="http://schemas.openxmlformats.org/drawingml/2006/picture">
                <pic:pic>
                  <pic:nvPicPr>
                    <pic:cNvPr id="0" name="image54.png"/>
                    <pic:cNvPicPr preferRelativeResize="0"/>
                  </pic:nvPicPr>
                  <pic:blipFill>
                    <a:blip r:embed="rId67"/>
                    <a:srcRect b="0" l="0" r="0" t="0"/>
                    <a:stretch>
                      <a:fillRect/>
                    </a:stretch>
                  </pic:blipFill>
                  <pic:spPr>
                    <a:xfrm>
                      <a:off x="0" y="0"/>
                      <a:ext cx="5653088" cy="3676650"/>
                    </a:xfrm>
                    <a:prstGeom prst="rect"/>
                    <a:ln/>
                  </pic:spPr>
                </pic:pic>
              </a:graphicData>
            </a:graphic>
          </wp:anchor>
        </w:drawing>
      </w:r>
    </w:p>
    <w:p w:rsidR="00000000" w:rsidDel="00000000" w:rsidP="00000000" w:rsidRDefault="00000000" w:rsidRPr="00000000" w14:paraId="0000017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40: SSP1-2.6 (2040–2059)</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261938</wp:posOffset>
            </wp:positionH>
            <wp:positionV relativeFrom="paragraph">
              <wp:posOffset>114300</wp:posOffset>
            </wp:positionV>
            <wp:extent cx="5414963" cy="3790950"/>
            <wp:effectExtent b="0" l="0" r="0" t="0"/>
            <wp:wrapNone/>
            <wp:docPr id="11"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5414963" cy="3790950"/>
                    </a:xfrm>
                    <a:prstGeom prst="rect"/>
                    <a:ln/>
                  </pic:spPr>
                </pic:pic>
              </a:graphicData>
            </a:graphic>
          </wp:anchor>
        </w:drawing>
      </w:r>
    </w:p>
    <w:p w:rsidR="00000000" w:rsidDel="00000000" w:rsidP="00000000" w:rsidRDefault="00000000" w:rsidRPr="00000000" w14:paraId="0000018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41: SSP1-2.6 (2060–2079)</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5191125" cy="3538538"/>
            <wp:effectExtent b="0" l="0" r="0" t="0"/>
            <wp:wrapNone/>
            <wp:docPr id="13" name="image10.png"/>
            <a:graphic>
              <a:graphicData uri="http://schemas.openxmlformats.org/drawingml/2006/picture">
                <pic:pic>
                  <pic:nvPicPr>
                    <pic:cNvPr id="0" name="image10.png"/>
                    <pic:cNvPicPr preferRelativeResize="0"/>
                  </pic:nvPicPr>
                  <pic:blipFill>
                    <a:blip r:embed="rId69"/>
                    <a:srcRect b="0" l="0" r="0" t="0"/>
                    <a:stretch>
                      <a:fillRect/>
                    </a:stretch>
                  </pic:blipFill>
                  <pic:spPr>
                    <a:xfrm>
                      <a:off x="0" y="0"/>
                      <a:ext cx="5191125" cy="3538538"/>
                    </a:xfrm>
                    <a:prstGeom prst="rect"/>
                    <a:ln/>
                  </pic:spPr>
                </pic:pic>
              </a:graphicData>
            </a:graphic>
          </wp:anchor>
        </w:drawing>
      </w:r>
    </w:p>
    <w:p w:rsidR="00000000" w:rsidDel="00000000" w:rsidP="00000000" w:rsidRDefault="00000000" w:rsidRPr="00000000" w14:paraId="0000018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42: SSP1-2.6 (2060–2079)</w:t>
      </w:r>
    </w:p>
    <w:p w:rsidR="00000000" w:rsidDel="00000000" w:rsidP="00000000" w:rsidRDefault="00000000" w:rsidRPr="00000000" w14:paraId="0000019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114300</wp:posOffset>
            </wp:positionV>
            <wp:extent cx="5300663" cy="3609975"/>
            <wp:effectExtent b="0" l="0" r="0" t="0"/>
            <wp:wrapNone/>
            <wp:docPr id="39"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5300663" cy="3609975"/>
                    </a:xfrm>
                    <a:prstGeom prst="rect"/>
                    <a:ln/>
                  </pic:spPr>
                </pic:pic>
              </a:graphicData>
            </a:graphic>
          </wp:anchor>
        </w:drawing>
      </w:r>
    </w:p>
    <w:p w:rsidR="00000000" w:rsidDel="00000000" w:rsidP="00000000" w:rsidRDefault="00000000" w:rsidRPr="00000000" w14:paraId="0000019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43: SSP2-4.5 (2020–2039)</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309563</wp:posOffset>
            </wp:positionH>
            <wp:positionV relativeFrom="paragraph">
              <wp:posOffset>174957</wp:posOffset>
            </wp:positionV>
            <wp:extent cx="5319713" cy="3648075"/>
            <wp:effectExtent b="0" l="0" r="0" t="0"/>
            <wp:wrapNone/>
            <wp:docPr id="26" name="image28.png"/>
            <a:graphic>
              <a:graphicData uri="http://schemas.openxmlformats.org/drawingml/2006/picture">
                <pic:pic>
                  <pic:nvPicPr>
                    <pic:cNvPr id="0" name="image28.png"/>
                    <pic:cNvPicPr preferRelativeResize="0"/>
                  </pic:nvPicPr>
                  <pic:blipFill>
                    <a:blip r:embed="rId71"/>
                    <a:srcRect b="0" l="0" r="0" t="0"/>
                    <a:stretch>
                      <a:fillRect/>
                    </a:stretch>
                  </pic:blipFill>
                  <pic:spPr>
                    <a:xfrm>
                      <a:off x="0" y="0"/>
                      <a:ext cx="5319713" cy="3648075"/>
                    </a:xfrm>
                    <a:prstGeom prst="rect"/>
                    <a:ln/>
                  </pic:spPr>
                </pic:pic>
              </a:graphicData>
            </a:graphic>
          </wp:anchor>
        </w:drawing>
      </w:r>
    </w:p>
    <w:p w:rsidR="00000000" w:rsidDel="00000000" w:rsidP="00000000" w:rsidRDefault="00000000" w:rsidRPr="00000000" w14:paraId="000001A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4">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44: SSP2-4.5 (2040–2059)</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376238</wp:posOffset>
            </wp:positionH>
            <wp:positionV relativeFrom="paragraph">
              <wp:posOffset>114300</wp:posOffset>
            </wp:positionV>
            <wp:extent cx="5186363" cy="3600450"/>
            <wp:effectExtent b="0" l="0" r="0" t="0"/>
            <wp:wrapNone/>
            <wp:docPr id="50" name="image47.png"/>
            <a:graphic>
              <a:graphicData uri="http://schemas.openxmlformats.org/drawingml/2006/picture">
                <pic:pic>
                  <pic:nvPicPr>
                    <pic:cNvPr id="0" name="image47.png"/>
                    <pic:cNvPicPr preferRelativeResize="0"/>
                  </pic:nvPicPr>
                  <pic:blipFill>
                    <a:blip r:embed="rId72"/>
                    <a:srcRect b="0" l="0" r="0" t="0"/>
                    <a:stretch>
                      <a:fillRect/>
                    </a:stretch>
                  </pic:blipFill>
                  <pic:spPr>
                    <a:xfrm>
                      <a:off x="0" y="0"/>
                      <a:ext cx="5186363" cy="3600450"/>
                    </a:xfrm>
                    <a:prstGeom prst="rect"/>
                    <a:ln/>
                  </pic:spPr>
                </pic:pic>
              </a:graphicData>
            </a:graphic>
          </wp:anchor>
        </w:drawing>
      </w:r>
    </w:p>
    <w:p w:rsidR="00000000" w:rsidDel="00000000" w:rsidP="00000000" w:rsidRDefault="00000000" w:rsidRPr="00000000" w14:paraId="000001B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45: SSP2-4.5 (2060–2079)</w:t>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180975</wp:posOffset>
            </wp:positionV>
            <wp:extent cx="5434013" cy="3838575"/>
            <wp:effectExtent b="0" l="0" r="0" t="0"/>
            <wp:wrapNone/>
            <wp:docPr id="77" name="image76.png"/>
            <a:graphic>
              <a:graphicData uri="http://schemas.openxmlformats.org/drawingml/2006/picture">
                <pic:pic>
                  <pic:nvPicPr>
                    <pic:cNvPr id="0" name="image76.png"/>
                    <pic:cNvPicPr preferRelativeResize="0"/>
                  </pic:nvPicPr>
                  <pic:blipFill>
                    <a:blip r:embed="rId73"/>
                    <a:srcRect b="0" l="0" r="0" t="0"/>
                    <a:stretch>
                      <a:fillRect/>
                    </a:stretch>
                  </pic:blipFill>
                  <pic:spPr>
                    <a:xfrm>
                      <a:off x="0" y="0"/>
                      <a:ext cx="5434013" cy="3838575"/>
                    </a:xfrm>
                    <a:prstGeom prst="rect"/>
                    <a:ln/>
                  </pic:spPr>
                </pic:pic>
              </a:graphicData>
            </a:graphic>
          </wp:anchor>
        </w:drawing>
      </w:r>
    </w:p>
    <w:p w:rsidR="00000000" w:rsidDel="00000000" w:rsidP="00000000" w:rsidRDefault="00000000" w:rsidRPr="00000000" w14:paraId="000001C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46: SSP2-4.5 (2080–2099)</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114300</wp:posOffset>
            </wp:positionV>
            <wp:extent cx="5429250" cy="3600450"/>
            <wp:effectExtent b="0" l="0" r="0" t="0"/>
            <wp:wrapNone/>
            <wp:docPr id="28" name="image22.png"/>
            <a:graphic>
              <a:graphicData uri="http://schemas.openxmlformats.org/drawingml/2006/picture">
                <pic:pic>
                  <pic:nvPicPr>
                    <pic:cNvPr id="0" name="image22.png"/>
                    <pic:cNvPicPr preferRelativeResize="0"/>
                  </pic:nvPicPr>
                  <pic:blipFill>
                    <a:blip r:embed="rId74"/>
                    <a:srcRect b="0" l="0" r="0" t="0"/>
                    <a:stretch>
                      <a:fillRect/>
                    </a:stretch>
                  </pic:blipFill>
                  <pic:spPr>
                    <a:xfrm>
                      <a:off x="0" y="0"/>
                      <a:ext cx="5429250" cy="3600450"/>
                    </a:xfrm>
                    <a:prstGeom prst="rect"/>
                    <a:ln/>
                  </pic:spPr>
                </pic:pic>
              </a:graphicData>
            </a:graphic>
          </wp:anchor>
        </w:drawing>
      </w:r>
    </w:p>
    <w:p w:rsidR="00000000" w:rsidDel="00000000" w:rsidP="00000000" w:rsidRDefault="00000000" w:rsidRPr="00000000" w14:paraId="000001D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47: SSP3-7.0 (2020–2039)</w:t>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200025</wp:posOffset>
            </wp:positionV>
            <wp:extent cx="5391150" cy="3571875"/>
            <wp:effectExtent b="0" l="0" r="0" t="0"/>
            <wp:wrapNone/>
            <wp:docPr id="56" name="image64.png"/>
            <a:graphic>
              <a:graphicData uri="http://schemas.openxmlformats.org/drawingml/2006/picture">
                <pic:pic>
                  <pic:nvPicPr>
                    <pic:cNvPr id="0" name="image64.png"/>
                    <pic:cNvPicPr preferRelativeResize="0"/>
                  </pic:nvPicPr>
                  <pic:blipFill>
                    <a:blip r:embed="rId75"/>
                    <a:srcRect b="0" l="0" r="0" t="0"/>
                    <a:stretch>
                      <a:fillRect/>
                    </a:stretch>
                  </pic:blipFill>
                  <pic:spPr>
                    <a:xfrm>
                      <a:off x="0" y="0"/>
                      <a:ext cx="5391150" cy="3571875"/>
                    </a:xfrm>
                    <a:prstGeom prst="rect"/>
                    <a:ln/>
                  </pic:spPr>
                </pic:pic>
              </a:graphicData>
            </a:graphic>
          </wp:anchor>
        </w:drawing>
      </w:r>
    </w:p>
    <w:p w:rsidR="00000000" w:rsidDel="00000000" w:rsidP="00000000" w:rsidRDefault="00000000" w:rsidRPr="00000000" w14:paraId="000001D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8">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48: SSP3-7.0 (2040–2059)</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114300</wp:posOffset>
            </wp:positionV>
            <wp:extent cx="5348288" cy="3762375"/>
            <wp:effectExtent b="0" l="0" r="0" t="0"/>
            <wp:wrapNone/>
            <wp:docPr id="49" name="image45.png"/>
            <a:graphic>
              <a:graphicData uri="http://schemas.openxmlformats.org/drawingml/2006/picture">
                <pic:pic>
                  <pic:nvPicPr>
                    <pic:cNvPr id="0" name="image45.png"/>
                    <pic:cNvPicPr preferRelativeResize="0"/>
                  </pic:nvPicPr>
                  <pic:blipFill>
                    <a:blip r:embed="rId76"/>
                    <a:srcRect b="0" l="0" r="0" t="0"/>
                    <a:stretch>
                      <a:fillRect/>
                    </a:stretch>
                  </pic:blipFill>
                  <pic:spPr>
                    <a:xfrm>
                      <a:off x="0" y="0"/>
                      <a:ext cx="5348288" cy="3762375"/>
                    </a:xfrm>
                    <a:prstGeom prst="rect"/>
                    <a:ln/>
                  </pic:spPr>
                </pic:pic>
              </a:graphicData>
            </a:graphic>
          </wp:anchor>
        </w:drawing>
      </w:r>
    </w:p>
    <w:p w:rsidR="00000000" w:rsidDel="00000000" w:rsidP="00000000" w:rsidRDefault="00000000" w:rsidRPr="00000000" w14:paraId="000001E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49: SSP3-7.0 (2060–2079)</w:t>
      </w:r>
      <w:r w:rsidDel="00000000" w:rsidR="00000000" w:rsidRPr="00000000">
        <w:drawing>
          <wp:anchor allowOverlap="1" behindDoc="0" distB="114300" distT="114300" distL="114300" distR="114300" hidden="0" layoutInCell="1" locked="0" relativeHeight="0" simplePos="0">
            <wp:simplePos x="0" y="0"/>
            <wp:positionH relativeFrom="column">
              <wp:posOffset>157163</wp:posOffset>
            </wp:positionH>
            <wp:positionV relativeFrom="paragraph">
              <wp:posOffset>133350</wp:posOffset>
            </wp:positionV>
            <wp:extent cx="5624513" cy="3705225"/>
            <wp:effectExtent b="0" l="0" r="0" t="0"/>
            <wp:wrapNone/>
            <wp:docPr id="61" name="image51.png"/>
            <a:graphic>
              <a:graphicData uri="http://schemas.openxmlformats.org/drawingml/2006/picture">
                <pic:pic>
                  <pic:nvPicPr>
                    <pic:cNvPr id="0" name="image51.png"/>
                    <pic:cNvPicPr preferRelativeResize="0"/>
                  </pic:nvPicPr>
                  <pic:blipFill>
                    <a:blip r:embed="rId77"/>
                    <a:srcRect b="0" l="0" r="0" t="0"/>
                    <a:stretch>
                      <a:fillRect/>
                    </a:stretch>
                  </pic:blipFill>
                  <pic:spPr>
                    <a:xfrm>
                      <a:off x="0" y="0"/>
                      <a:ext cx="5624513" cy="3705225"/>
                    </a:xfrm>
                    <a:prstGeom prst="rect"/>
                    <a:ln/>
                  </pic:spPr>
                </pic:pic>
              </a:graphicData>
            </a:graphic>
          </wp:anchor>
        </w:drawing>
      </w:r>
    </w:p>
    <w:p w:rsidR="00000000" w:rsidDel="00000000" w:rsidP="00000000" w:rsidRDefault="00000000" w:rsidRPr="00000000" w14:paraId="000001F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50: SSP3-7.0 (2080–2099)</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114300</wp:posOffset>
            </wp:positionV>
            <wp:extent cx="5157788" cy="3810000"/>
            <wp:effectExtent b="0" l="0" r="0" t="0"/>
            <wp:wrapNone/>
            <wp:docPr id="7" name="image20.png"/>
            <a:graphic>
              <a:graphicData uri="http://schemas.openxmlformats.org/drawingml/2006/picture">
                <pic:pic>
                  <pic:nvPicPr>
                    <pic:cNvPr id="0" name="image20.png"/>
                    <pic:cNvPicPr preferRelativeResize="0"/>
                  </pic:nvPicPr>
                  <pic:blipFill>
                    <a:blip r:embed="rId78"/>
                    <a:srcRect b="0" l="0" r="0" t="0"/>
                    <a:stretch>
                      <a:fillRect/>
                    </a:stretch>
                  </pic:blipFill>
                  <pic:spPr>
                    <a:xfrm>
                      <a:off x="0" y="0"/>
                      <a:ext cx="5157788" cy="3810000"/>
                    </a:xfrm>
                    <a:prstGeom prst="rect"/>
                    <a:ln/>
                  </pic:spPr>
                </pic:pic>
              </a:graphicData>
            </a:graphic>
          </wp:anchor>
        </w:drawing>
      </w:r>
    </w:p>
    <w:p w:rsidR="00000000" w:rsidDel="00000000" w:rsidP="00000000" w:rsidRDefault="00000000" w:rsidRPr="00000000" w14:paraId="0000020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51: SSP5-8.5 (2040–2059)</w:t>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174957</wp:posOffset>
            </wp:positionV>
            <wp:extent cx="5438775" cy="3590925"/>
            <wp:effectExtent b="0" l="0" r="0" t="0"/>
            <wp:wrapNone/>
            <wp:docPr id="43" name="image37.png"/>
            <a:graphic>
              <a:graphicData uri="http://schemas.openxmlformats.org/drawingml/2006/picture">
                <pic:pic>
                  <pic:nvPicPr>
                    <pic:cNvPr id="0" name="image37.png"/>
                    <pic:cNvPicPr preferRelativeResize="0"/>
                  </pic:nvPicPr>
                  <pic:blipFill>
                    <a:blip r:embed="rId79"/>
                    <a:srcRect b="0" l="0" r="0" t="0"/>
                    <a:stretch>
                      <a:fillRect/>
                    </a:stretch>
                  </pic:blipFill>
                  <pic:spPr>
                    <a:xfrm>
                      <a:off x="0" y="0"/>
                      <a:ext cx="5438775" cy="3590925"/>
                    </a:xfrm>
                    <a:prstGeom prst="rect"/>
                    <a:ln/>
                  </pic:spPr>
                </pic:pic>
              </a:graphicData>
            </a:graphic>
          </wp:anchor>
        </w:drawing>
      </w:r>
    </w:p>
    <w:p w:rsidR="00000000" w:rsidDel="00000000" w:rsidP="00000000" w:rsidRDefault="00000000" w:rsidRPr="00000000" w14:paraId="0000021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52: SSP5-8.5 (2060–2079)</w:t>
      </w:r>
    </w:p>
    <w:p w:rsidR="00000000" w:rsidDel="00000000" w:rsidP="00000000" w:rsidRDefault="00000000" w:rsidRPr="00000000" w14:paraId="0000021D">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Declaration Regarding AI Usage</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Whom It May Concern,</w:t>
      </w:r>
    </w:p>
    <w:p w:rsidR="00000000" w:rsidDel="00000000" w:rsidP="00000000" w:rsidRDefault="00000000" w:rsidRPr="00000000" w14:paraId="000002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acknowledge the recent communication regarding the detection of potential AI generated content in my submission. I would like to clarify that while I may have used AI based tools to assist with proofreading or idea structuring, similar to how Grammarly is used for spelling errors. The core research, analysis, and original writing were conducted by me.</w:t>
      </w:r>
    </w:p>
    <w:p w:rsidR="00000000" w:rsidDel="00000000" w:rsidP="00000000" w:rsidRDefault="00000000" w:rsidRPr="00000000" w14:paraId="000002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according to your policy and to ensure transparency, I confirm that any AI assistance did not replace the academic integrity or authorship of the work. The submission reflects my own understanding, insights, and synthesis of the subject matter.</w:t>
      </w:r>
    </w:p>
    <w:p w:rsidR="00000000" w:rsidDel="00000000" w:rsidP="00000000" w:rsidRDefault="00000000" w:rsidRPr="00000000" w14:paraId="000002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the attached signed declaration as requested, and I am submitting my Second Draft with the given revisions.</w:t>
      </w:r>
    </w:p>
    <w:p w:rsidR="00000000" w:rsidDel="00000000" w:rsidP="00000000" w:rsidRDefault="00000000" w:rsidRPr="00000000" w14:paraId="000002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Thank you for your understanding.</w:t>
      </w:r>
    </w:p>
    <w:p w:rsidR="00000000" w:rsidDel="00000000" w:rsidP="00000000" w:rsidRDefault="00000000" w:rsidRPr="00000000" w14:paraId="000002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 Regards,</w:t>
        <w:br w:type="textWrapping"/>
      </w:r>
    </w:p>
    <w:p w:rsidR="00000000" w:rsidDel="00000000" w:rsidP="00000000" w:rsidRDefault="00000000" w:rsidRPr="00000000" w14:paraId="00000224">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5">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0"/>
          <w:szCs w:val="20"/>
          <w:rtl w:val="0"/>
        </w:rPr>
        <w:t xml:space="preserve">Aanchala Bhongade</w:t>
        <w:br w:type="textWrapping"/>
        <w:t xml:space="preserve">Visiting Researcher, Cambridge Collective Intelligence &amp; Design Group</w:t>
        <w:br w:type="textWrapping"/>
        <w:t xml:space="preserve">17/04/2025</w:t>
      </w:r>
      <w:r w:rsidDel="00000000" w:rsidR="00000000" w:rsidRPr="00000000">
        <w:rPr>
          <w:rtl w:val="0"/>
        </w:rPr>
      </w:r>
    </w:p>
    <w:p w:rsidR="00000000" w:rsidDel="00000000" w:rsidP="00000000" w:rsidRDefault="00000000" w:rsidRPr="00000000" w14:paraId="00000226">
      <w:pPr>
        <w:spacing w:after="240" w:before="240" w:lineRule="auto"/>
        <w:jc w:val="both"/>
        <w:rPr>
          <w:rFonts w:ascii="Times New Roman" w:cs="Times New Roman" w:eastAsia="Times New Roman" w:hAnsi="Times New Roman"/>
          <w:sz w:val="20"/>
          <w:szCs w:val="20"/>
        </w:rPr>
      </w:pPr>
      <w:r w:rsidDel="00000000" w:rsidR="00000000" w:rsidRPr="00000000">
        <w:rPr>
          <w:rtl w:val="0"/>
        </w:rPr>
      </w:r>
    </w:p>
    <w:sectPr>
      <w:headerReference r:id="rId80" w:type="default"/>
      <w:footerReference r:id="rId8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35.png"/><Relationship Id="rId41" Type="http://schemas.openxmlformats.org/officeDocument/2006/relationships/image" Target="media/image29.png"/><Relationship Id="rId44" Type="http://schemas.openxmlformats.org/officeDocument/2006/relationships/image" Target="media/image4.png"/><Relationship Id="rId43" Type="http://schemas.openxmlformats.org/officeDocument/2006/relationships/image" Target="media/image14.png"/><Relationship Id="rId46" Type="http://schemas.openxmlformats.org/officeDocument/2006/relationships/image" Target="media/image31.png"/><Relationship Id="rId45" Type="http://schemas.openxmlformats.org/officeDocument/2006/relationships/image" Target="media/image67.png"/><Relationship Id="rId80" Type="http://schemas.openxmlformats.org/officeDocument/2006/relationships/header" Target="header1.xm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png"/><Relationship Id="rId48" Type="http://schemas.openxmlformats.org/officeDocument/2006/relationships/image" Target="media/image65.png"/><Relationship Id="rId47" Type="http://schemas.openxmlformats.org/officeDocument/2006/relationships/image" Target="media/image73.png"/><Relationship Id="rId49" Type="http://schemas.openxmlformats.org/officeDocument/2006/relationships/image" Target="media/image68.png"/><Relationship Id="rId5" Type="http://schemas.openxmlformats.org/officeDocument/2006/relationships/styles" Target="styles.xml"/><Relationship Id="rId6" Type="http://schemas.openxmlformats.org/officeDocument/2006/relationships/image" Target="media/image52.png"/><Relationship Id="rId7" Type="http://schemas.openxmlformats.org/officeDocument/2006/relationships/image" Target="media/image3.png"/><Relationship Id="rId8" Type="http://schemas.openxmlformats.org/officeDocument/2006/relationships/image" Target="media/image59.png"/><Relationship Id="rId73" Type="http://schemas.openxmlformats.org/officeDocument/2006/relationships/image" Target="media/image76.png"/><Relationship Id="rId72" Type="http://schemas.openxmlformats.org/officeDocument/2006/relationships/image" Target="media/image47.png"/><Relationship Id="rId31" Type="http://schemas.openxmlformats.org/officeDocument/2006/relationships/image" Target="media/image62.png"/><Relationship Id="rId75" Type="http://schemas.openxmlformats.org/officeDocument/2006/relationships/image" Target="media/image64.png"/><Relationship Id="rId30" Type="http://schemas.openxmlformats.org/officeDocument/2006/relationships/image" Target="media/image41.png"/><Relationship Id="rId74" Type="http://schemas.openxmlformats.org/officeDocument/2006/relationships/image" Target="media/image22.png"/><Relationship Id="rId33" Type="http://schemas.openxmlformats.org/officeDocument/2006/relationships/image" Target="media/image8.png"/><Relationship Id="rId77" Type="http://schemas.openxmlformats.org/officeDocument/2006/relationships/image" Target="media/image51.png"/><Relationship Id="rId32" Type="http://schemas.openxmlformats.org/officeDocument/2006/relationships/image" Target="media/image66.png"/><Relationship Id="rId76" Type="http://schemas.openxmlformats.org/officeDocument/2006/relationships/image" Target="media/image45.png"/><Relationship Id="rId35" Type="http://schemas.openxmlformats.org/officeDocument/2006/relationships/image" Target="media/image71.png"/><Relationship Id="rId79" Type="http://schemas.openxmlformats.org/officeDocument/2006/relationships/image" Target="media/image37.png"/><Relationship Id="rId34" Type="http://schemas.openxmlformats.org/officeDocument/2006/relationships/image" Target="media/image50.png"/><Relationship Id="rId78" Type="http://schemas.openxmlformats.org/officeDocument/2006/relationships/image" Target="media/image20.png"/><Relationship Id="rId71" Type="http://schemas.openxmlformats.org/officeDocument/2006/relationships/image" Target="media/image28.png"/><Relationship Id="rId70" Type="http://schemas.openxmlformats.org/officeDocument/2006/relationships/image" Target="media/image43.png"/><Relationship Id="rId37" Type="http://schemas.openxmlformats.org/officeDocument/2006/relationships/image" Target="media/image48.png"/><Relationship Id="rId36" Type="http://schemas.openxmlformats.org/officeDocument/2006/relationships/image" Target="media/image77.png"/><Relationship Id="rId39" Type="http://schemas.openxmlformats.org/officeDocument/2006/relationships/image" Target="media/image44.png"/><Relationship Id="rId38" Type="http://schemas.openxmlformats.org/officeDocument/2006/relationships/image" Target="media/image27.png"/><Relationship Id="rId62" Type="http://schemas.openxmlformats.org/officeDocument/2006/relationships/image" Target="media/image30.png"/><Relationship Id="rId61" Type="http://schemas.openxmlformats.org/officeDocument/2006/relationships/image" Target="media/image24.png"/><Relationship Id="rId20" Type="http://schemas.openxmlformats.org/officeDocument/2006/relationships/image" Target="media/image49.png"/><Relationship Id="rId64" Type="http://schemas.openxmlformats.org/officeDocument/2006/relationships/image" Target="media/image1.png"/><Relationship Id="rId63" Type="http://schemas.openxmlformats.org/officeDocument/2006/relationships/image" Target="media/image6.png"/><Relationship Id="rId22" Type="http://schemas.openxmlformats.org/officeDocument/2006/relationships/image" Target="media/image40.png"/><Relationship Id="rId66" Type="http://schemas.openxmlformats.org/officeDocument/2006/relationships/image" Target="media/image58.png"/><Relationship Id="rId21" Type="http://schemas.openxmlformats.org/officeDocument/2006/relationships/image" Target="media/image16.png"/><Relationship Id="rId65" Type="http://schemas.openxmlformats.org/officeDocument/2006/relationships/image" Target="media/image2.png"/><Relationship Id="rId24" Type="http://schemas.openxmlformats.org/officeDocument/2006/relationships/image" Target="media/image21.png"/><Relationship Id="rId68" Type="http://schemas.openxmlformats.org/officeDocument/2006/relationships/image" Target="media/image19.png"/><Relationship Id="rId23" Type="http://schemas.openxmlformats.org/officeDocument/2006/relationships/image" Target="media/image57.png"/><Relationship Id="rId67" Type="http://schemas.openxmlformats.org/officeDocument/2006/relationships/image" Target="media/image54.png"/><Relationship Id="rId60" Type="http://schemas.openxmlformats.org/officeDocument/2006/relationships/image" Target="media/image53.png"/><Relationship Id="rId26" Type="http://schemas.openxmlformats.org/officeDocument/2006/relationships/image" Target="media/image17.png"/><Relationship Id="rId25" Type="http://schemas.openxmlformats.org/officeDocument/2006/relationships/image" Target="media/image46.png"/><Relationship Id="rId69" Type="http://schemas.openxmlformats.org/officeDocument/2006/relationships/image" Target="media/image10.png"/><Relationship Id="rId28" Type="http://schemas.openxmlformats.org/officeDocument/2006/relationships/image" Target="media/image70.png"/><Relationship Id="rId27" Type="http://schemas.openxmlformats.org/officeDocument/2006/relationships/image" Target="media/image7.png"/><Relationship Id="rId29" Type="http://schemas.openxmlformats.org/officeDocument/2006/relationships/image" Target="media/image15.png"/><Relationship Id="rId51" Type="http://schemas.openxmlformats.org/officeDocument/2006/relationships/image" Target="media/image75.png"/><Relationship Id="rId50" Type="http://schemas.openxmlformats.org/officeDocument/2006/relationships/image" Target="media/image33.png"/><Relationship Id="rId53" Type="http://schemas.openxmlformats.org/officeDocument/2006/relationships/image" Target="media/image63.png"/><Relationship Id="rId52" Type="http://schemas.openxmlformats.org/officeDocument/2006/relationships/image" Target="media/image36.png"/><Relationship Id="rId11" Type="http://schemas.openxmlformats.org/officeDocument/2006/relationships/image" Target="media/image23.png"/><Relationship Id="rId55" Type="http://schemas.openxmlformats.org/officeDocument/2006/relationships/image" Target="media/image60.png"/><Relationship Id="rId10" Type="http://schemas.openxmlformats.org/officeDocument/2006/relationships/image" Target="media/image32.png"/><Relationship Id="rId54" Type="http://schemas.openxmlformats.org/officeDocument/2006/relationships/image" Target="media/image26.png"/><Relationship Id="rId13" Type="http://schemas.openxmlformats.org/officeDocument/2006/relationships/hyperlink" Target="http://www.iea.org/" TargetMode="External"/><Relationship Id="rId57" Type="http://schemas.openxmlformats.org/officeDocument/2006/relationships/image" Target="media/image55.png"/><Relationship Id="rId12" Type="http://schemas.openxmlformats.org/officeDocument/2006/relationships/image" Target="media/image11.png"/><Relationship Id="rId56" Type="http://schemas.openxmlformats.org/officeDocument/2006/relationships/image" Target="media/image74.png"/><Relationship Id="rId15" Type="http://schemas.openxmlformats.org/officeDocument/2006/relationships/hyperlink" Target="http://www.iea.org/" TargetMode="External"/><Relationship Id="rId59" Type="http://schemas.openxmlformats.org/officeDocument/2006/relationships/image" Target="media/image12.png"/><Relationship Id="rId14" Type="http://schemas.openxmlformats.org/officeDocument/2006/relationships/hyperlink" Target="http://www.eia.gov/" TargetMode="External"/><Relationship Id="rId58" Type="http://schemas.openxmlformats.org/officeDocument/2006/relationships/image" Target="media/image72.png"/><Relationship Id="rId17" Type="http://schemas.openxmlformats.org/officeDocument/2006/relationships/hyperlink" Target="http://www.iaea.org/" TargetMode="External"/><Relationship Id="rId16" Type="http://schemas.openxmlformats.org/officeDocument/2006/relationships/hyperlink" Target="http://www.iea.org/" TargetMode="External"/><Relationship Id="rId19" Type="http://schemas.openxmlformats.org/officeDocument/2006/relationships/image" Target="media/image9.png"/><Relationship Id="rId18" Type="http://schemas.openxmlformats.org/officeDocument/2006/relationships/hyperlink" Target="http://www.energy.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