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r>
        <w:t xml:space="preserve"/>
      </w:r>
    </w:p>
    <w:p>
      <w:pPr>
        <w:spacing w:after="200" w:before="0"/>
        <w:jc w:val="center"/>
      </w:pPr>
      <w:r>
        <w:rPr>
          <w:rFonts w:ascii="Arial" w:cs="Arial" w:eastAsia="Arial" w:hAnsi="Arial"/>
          <w:b/>
          <w:bCs/>
          <w:color w:val="2E7D32"/>
          <w:sz w:val="56"/>
          <w:szCs w:val="56"/>
        </w:rPr>
        <w:t xml:space="preserve">GREEN CHEF</w:t>
      </w:r>
    </w:p>
    <w:p>
      <w:pPr>
        <w:spacing w:after="160" w:before="0"/>
        <w:jc w:val="center"/>
      </w:pPr>
      <w:r>
        <w:rPr>
          <w:rFonts w:ascii="Arial" w:cs="Arial" w:eastAsia="Arial" w:hAnsi="Arial"/>
          <w:color w:val="1B5E20"/>
          <w:sz w:val="36"/>
          <w:szCs w:val="36"/>
        </w:rPr>
        <w:t xml:space="preserve">Life Moments Retention System</w:t>
      </w:r>
    </w:p>
    <w:p>
      <w:pPr>
        <w:pBdr>
          <w:bottom w:val="single" w:color="2E7D32" w:sz="6" w:space="4"/>
        </w:pBdr>
        <w:spacing w:after="400" w:before="0"/>
        <w:jc w:val="center"/>
      </w:pPr>
      <w:r>
        <w:rPr>
          <w:rFonts w:ascii="Arial" w:cs="Arial" w:eastAsia="Arial" w:hAnsi="Arial"/>
          <w:i/>
          <w:iCs/>
          <w:color w:val="424242"/>
          <w:sz w:val="28"/>
          <w:szCs w:val="28"/>
        </w:rPr>
        <w:t xml:space="preserve">Capstone Project Report</w:t>
      </w:r>
    </w:p>
    <w:p>
      <w:pPr>
        <w:spacing w:after="300" w:before="300"/>
      </w:pPr>
      <w:r>
        <w:t xml:space="preserve"/>
      </w:r>
    </w:p>
    <w:p>
      <w:pPr>
        <w:spacing w:after="120" w:before="0"/>
        <w:jc w:val="center"/>
      </w:pPr>
      <w:r>
        <w:rPr>
          <w:rFonts w:ascii="Arial" w:cs="Arial" w:eastAsia="Arial" w:hAnsi="Arial"/>
          <w:color w:val="424242"/>
          <w:sz w:val="24"/>
          <w:szCs w:val="24"/>
        </w:rPr>
        <w:t xml:space="preserve">MGT 5905  |  MSBA-GBA Capstone Program</w:t>
      </w:r>
    </w:p>
    <w:p>
      <w:pPr>
        <w:spacing w:after="120" w:before="0"/>
        <w:jc w:val="center"/>
      </w:pPr>
      <w:r>
        <w:rPr>
          <w:rFonts w:ascii="Arial" w:cs="Arial" w:eastAsia="Arial" w:hAnsi="Arial"/>
          <w:color w:val="424242"/>
          <w:sz w:val="24"/>
          <w:szCs w:val="24"/>
        </w:rPr>
        <w:t xml:space="preserve">Pamplin College of Business  |  Virginia Tech</w:t>
      </w:r>
    </w:p>
    <w:p>
      <w:pPr>
        <w:spacing w:after="200" w:before="200"/>
      </w:pPr>
      <w:r>
        <w:t xml:space="preserve"/>
      </w:r>
    </w:p>
    <w:p>
      <w:pPr>
        <w:spacing w:after="80" w:before="0"/>
        <w:jc w:val="center"/>
      </w:pPr>
      <w:r>
        <w:rPr>
          <w:rFonts w:ascii="Arial" w:cs="Arial" w:eastAsia="Arial" w:hAnsi="Arial"/>
          <w:b/>
          <w:bCs/>
          <w:color w:val="000000"/>
          <w:sz w:val="22"/>
          <w:szCs w:val="22"/>
        </w:rPr>
        <w:t xml:space="preserve">Project Team:</w:t>
      </w:r>
    </w:p>
    <w:p>
      <w:pPr>
        <w:spacing w:after="80" w:before="0"/>
        <w:jc w:val="center"/>
      </w:pPr>
      <w:r>
        <w:rPr>
          <w:rFonts w:ascii="Arial" w:cs="Arial" w:eastAsia="Arial" w:hAnsi="Arial"/>
          <w:color w:val="000000"/>
          <w:sz w:val="22"/>
          <w:szCs w:val="22"/>
        </w:rPr>
        <w:t xml:space="preserve">Vignesh Anand  |  Yash Mahadik  |  Anrunya Patole  |  Kshama Purohit</w:t>
      </w:r>
    </w:p>
    <w:p>
      <w:pPr>
        <w:spacing w:after="80" w:before="80"/>
        <w:jc w:val="center"/>
      </w:pPr>
      <w:r>
        <w:rPr>
          <w:rFonts w:ascii="Arial" w:cs="Arial" w:eastAsia="Arial" w:hAnsi="Arial"/>
          <w:color w:val="000000"/>
          <w:sz w:val="22"/>
          <w:szCs w:val="22"/>
        </w:rPr>
        <w:t xml:space="preserve">Faculty Advisor: Prof. Sean Raines</w:t>
      </w:r>
    </w:p>
    <w:p>
      <w:pPr>
        <w:spacing w:after="80" w:before="80"/>
        <w:jc w:val="center"/>
      </w:pPr>
      <w:r>
        <w:rPr>
          <w:rFonts w:ascii="Arial" w:cs="Arial" w:eastAsia="Arial" w:hAnsi="Arial"/>
          <w:color w:val="000000"/>
          <w:sz w:val="22"/>
          <w:szCs w:val="22"/>
        </w:rPr>
        <w:t xml:space="preserve">Sponsor: Kayla Baber, Product Manager, Green Chef / HelloFresh SE</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I. Executive Summary</w:t>
      </w:r>
    </w:p>
    <w:p>
      <w:pPr>
        <w:spacing w:after="80" w:before="80" w:line="276" w:lineRule="auto"/>
        <w:jc w:val="both"/>
      </w:pPr>
      <w:r>
        <w:rPr>
          <w:rFonts w:ascii="Arial" w:cs="Arial" w:eastAsia="Arial" w:hAnsi="Arial"/>
          <w:color w:val="000000"/>
          <w:sz w:val="22"/>
          <w:szCs w:val="22"/>
        </w:rPr>
        <w:t xml:space="preserve">This report presents the Green Chef Life Moments Retention System — an AI-powered subscriber retention concept developed for HelloFresh's premium organic brand in the United States. The project was commissioned to address a structural gap in Green Chef's ability to identify and intercept recoverable churn before it occurs.</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Analysis of Q1 2026 cancellation data revealed that 21.86 percent of all cancellations — approximately 3,111 subscribers per quarter — are driven by temporary life disruptions rather than permanent dissatisfaction. These "High-Potential" subscribers exit with positive brand sentiment but receive no differentiated response from Green Chef's current system.</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Life Moments system closes this gap by applying an LLM-based classification layer at the point of cancellation, routing each subscriber to a personalized retention track calibrated to their specific life-context type: Budget Pressure, Schedule Change, Health Event, Work Travel, New Arrival, or Relocation. The system operates entirely on HelloFresh's existing infrastructure, requiring no new product development or data assets.</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economic case is compelling. A one-time implementation investment of $124,000–$207,000, with annual operating costs of $19,300–$41,800, yields an estimated 3.6-month payback period, a three-year NPV of approximately $1.3 million, and a three-year ROI of 639 percent under conservative assumptions.</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recommended implementation plan spans 18 months across five phases — beginning with a two-month silent validation run and progressing to full subscriber lifecycle intelligence — with evidence-gated transitions that ensure no significant commitment is made on the basis of an unverified premise.</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All findings, recommendations, and economic projections in this report are those of the student project team and do not represent the official views or positions of HelloFresh SE or Virginia Tech.</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II. Introduction</w:t>
      </w:r>
    </w:p>
    <w:p>
      <w:pPr>
        <w:pStyle w:val="Heading2"/>
        <w:spacing w:after="120" w:before="240"/>
      </w:pPr>
      <w:r>
        <w:rPr>
          <w:rFonts w:ascii="Arial" w:cs="Arial" w:eastAsia="Arial" w:hAnsi="Arial"/>
          <w:b/>
          <w:bCs/>
          <w:color w:val="2E7D32"/>
          <w:sz w:val="26"/>
          <w:szCs w:val="26"/>
        </w:rPr>
        <w:t xml:space="preserve">II.1  Technical Motivation</w:t>
      </w:r>
    </w:p>
    <w:p>
      <w:pPr>
        <w:spacing w:after="80" w:before="80" w:line="276" w:lineRule="auto"/>
        <w:jc w:val="both"/>
      </w:pPr>
      <w:r>
        <w:rPr>
          <w:rFonts w:ascii="Arial" w:cs="Arial" w:eastAsia="Arial" w:hAnsi="Arial"/>
          <w:color w:val="000000"/>
          <w:sz w:val="22"/>
          <w:szCs w:val="22"/>
        </w:rPr>
        <w:t xml:space="preserve">Green Chef's current feedback infrastructure categorizes subscriber exit behavior into a predefined Level 1–4 taxonomy covering approximately 15 categories. This structure is suited to aggregate trend reporting but not to individualized intervention. Tags such as "Recipe," "Frequency," and "Away" describe the topic of a comment without indicating whether the underlying disruption is temporary or permanent.</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Evidence from comparable subscription contexts confirms that AI-assisted classification at the point of cancellation can close this gap. A randomized field experiment at a meal delivery company found that AI assistance produced its most pronounced retention gains specifically in subscription cancellation interactions (Zhang and Narayandas, 2025). Topic modeling methods can identify the prevalence, sentiment, and discourse of distinct themes within customer feedback (Chen and Mankad, 2024). The required capability is accessible using large language model APIs without proprietary model development or new data infrastructure.</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II.2  Economic Motivation</w:t>
      </w:r>
    </w:p>
    <w:p>
      <w:pPr>
        <w:spacing w:after="80" w:before="80" w:line="276" w:lineRule="auto"/>
        <w:jc w:val="both"/>
      </w:pPr>
      <w:r>
        <w:rPr>
          <w:rFonts w:ascii="Arial" w:cs="Arial" w:eastAsia="Arial" w:hAnsi="Arial"/>
          <w:color w:val="000000"/>
          <w:sz w:val="22"/>
          <w:szCs w:val="22"/>
        </w:rPr>
        <w:t xml:space="preserve">Subscriber retention is the primary economic lever available to Green Chef in the near term. Customer acquisition in the meal-kit industry carries a substantially higher cost than retention: every preventable cancellation represents both an immediate loss of recurring revenue and a future re-acquisition expenditure. The Life Moments system addresses this asymmetry by intercepting recoverable subscribers at the moment of cancellation — before the re-acquisition cost is incurred.</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Because Life Moments operates on HelloFresh's existing subscriber management, CRM, and messaging infrastructure, the implementation cost is fixed and one-time in nature (estimated at up to $207,000). The marginal cost of retaining each additional subscriber is negligible, while each retained subscriber generates incremental weekly revenue at the current subscription cadence. This fixed-cost-against-recurring-revenue structure drives the favorable payback and return profile quantified in Section IX.</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III. Background</w:t>
      </w:r>
    </w:p>
    <w:p>
      <w:pPr>
        <w:pStyle w:val="Heading2"/>
        <w:spacing w:after="120" w:before="240"/>
      </w:pPr>
      <w:r>
        <w:rPr>
          <w:rFonts w:ascii="Arial" w:cs="Arial" w:eastAsia="Arial" w:hAnsi="Arial"/>
          <w:b/>
          <w:bCs/>
          <w:color w:val="2E7D32"/>
          <w:sz w:val="26"/>
          <w:szCs w:val="26"/>
        </w:rPr>
        <w:t xml:space="preserve">III.1  HelloFresh SE and Green Chef</w:t>
      </w:r>
    </w:p>
    <w:p>
      <w:pPr>
        <w:spacing w:after="80" w:before="80" w:line="276" w:lineRule="auto"/>
        <w:jc w:val="both"/>
      </w:pPr>
      <w:r>
        <w:rPr>
          <w:rFonts w:ascii="Arial" w:cs="Arial" w:eastAsia="Arial" w:hAnsi="Arial"/>
          <w:color w:val="000000"/>
          <w:sz w:val="22"/>
          <w:szCs w:val="22"/>
        </w:rPr>
        <w:t xml:space="preserve">HelloFresh SE was founded in Berlin in 2011 and grew to become the world's largest meal-kit delivery company by revenue. Its portfolio includes HelloFresh, EveryPlate, Chef's Plate, Factor, Good Chop, Pets Table, and Green Chef. The company delivered approximately one billion meals in FY 2024 and operates in more than 18 countries.</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HelloFresh's financial trajectory reflects a strategic inflection point. The company reported net revenue of €7.66 billion in FY 2024 and preliminary results of €6.76 billion in FY 2025. Adjusted EBITDA improved to approximately €423 million in FY 2025, with meal-kit margins of 13.5 percent, reflecting management's pivot from growth-at-scale to profitability-through-retention. Revenue from tenured customers grew year over year even as overall revenue declined — the clearest internal confirmation that subscriber retention is the company's primary value driver.</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Green Chef occupies the premium tier of HelloFresh's brand portfolio, distinguished by USDA organic certification, specialized dietary plans (Mediterranean, Plant-Based, Keto/Low-Carb, High Protein, and Calorie-Conscious — see Appendix A), and a price point above $11.99 per serving. What unifies these categories is that Green Chef subscribers are goal-specific rather than convenience-driven: these are purposeful, medically or personally meaningful relationships with the brand.</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III.2  U.S. Meal-Kit Market: Competitive Dynamics</w:t>
      </w:r>
    </w:p>
    <w:p>
      <w:pPr>
        <w:spacing w:after="80" w:before="80" w:line="276" w:lineRule="auto"/>
        <w:jc w:val="both"/>
      </w:pPr>
      <w:r>
        <w:rPr>
          <w:rFonts w:ascii="Arial" w:cs="Arial" w:eastAsia="Arial" w:hAnsi="Arial"/>
          <w:color w:val="000000"/>
          <w:sz w:val="22"/>
          <w:szCs w:val="22"/>
        </w:rPr>
        <w:t xml:space="preserve">The U.S. meal-kit market has matured significantly since its rapid growth phase between 2016 and 2019. Three structural dynamics now define competition in the premium health-oriented segment: (1) customer acquisition costs have risen as digital advertising efficiency has declined, making retention economically more attractive than new subscriber growth; (2) the category has expanded to include adjacent formats competing for the same health-motivated consumer; and (3) subscriber churn remains structurally high across the industry, driven by the episodic nature of cooking motivation and household composition changes.</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Green Chef's primary competitors — HungryRoot, Home Chef, and Blue Apron — are assessed through detailed SWOT analysis in Section VII. A key finding: none of the three offers life-context responsiveness, condition-specific dietary adaptation, or the combination of emotional intelligence and USDA organic certification that Green Chef carries.</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III.3  Churn Dynamics in Health-Oriented Subscriptions</w:t>
      </w:r>
    </w:p>
    <w:p>
      <w:pPr>
        <w:spacing w:after="80" w:before="80" w:line="276" w:lineRule="auto"/>
        <w:jc w:val="both"/>
      </w:pPr>
      <w:r>
        <w:rPr>
          <w:rFonts w:ascii="Arial" w:cs="Arial" w:eastAsia="Arial" w:hAnsi="Arial"/>
          <w:color w:val="000000"/>
          <w:sz w:val="22"/>
          <w:szCs w:val="22"/>
        </w:rPr>
        <w:t xml:space="preserve">Health-oriented subscriptions carry an inherent structural vulnerability: the subscriber's reason for joining is typically goal-specific and time-bounded. When that purpose is disrupted — by a change in diagnosis, a shift in life circumstances, or the natural resolution of the initiating health event — the subscription rationale weakens even if brand affinity remains strong.</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This creates a pattern that distinguishes health-oriented churn from general convenience churn. In general convenience services, most cancellations reflect a considered trade-off between value and cost. In health-oriented services, a significant share of cancellations reflect a temporary misalignment between the subscriber's current life context and the service offering — not a judgment about brand quality. Health-oriented subscription churn is therefore more recoverable than general churn, provided the service provider can identify which subscribers are leaving due to temporary life disruptions. This is the central analytical challenge the Life Moments system addresses.</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IV. Problem Statement</w:t>
      </w:r>
    </w:p>
    <w:p>
      <w:pPr>
        <w:pStyle w:val="Heading2"/>
        <w:spacing w:after="120" w:before="240"/>
      </w:pPr>
      <w:r>
        <w:rPr>
          <w:rFonts w:ascii="Arial" w:cs="Arial" w:eastAsia="Arial" w:hAnsi="Arial"/>
          <w:b/>
          <w:bCs/>
          <w:color w:val="2E7D32"/>
          <w:sz w:val="26"/>
          <w:szCs w:val="26"/>
        </w:rPr>
        <w:t xml:space="preserve">IV.1  Problem Definition</w:t>
      </w:r>
    </w:p>
    <w:p>
      <w:pPr>
        <w:spacing w:after="80" w:before="80" w:line="276" w:lineRule="auto"/>
        <w:jc w:val="both"/>
      </w:pPr>
      <w:r>
        <w:rPr>
          <w:rFonts w:ascii="Arial" w:cs="Arial" w:eastAsia="Arial" w:hAnsi="Arial"/>
          <w:color w:val="000000"/>
          <w:sz w:val="22"/>
          <w:szCs w:val="22"/>
        </w:rPr>
        <w:t xml:space="preserve">Green Chef experiences subscriber churn that its current analytics infrastructure inadequately explains, classifies, or addresses at the individual subscriber level. Analysis of Q1 2026 cancellation and pause data reveals three structural deficiencies:</w:t>
      </w:r>
    </w:p>
    <w:p>
      <w:pPr>
        <w:spacing w:after="80" w:before="80"/>
      </w:pPr>
      <w:r>
        <w:t xml:space="preserve"/>
      </w:r>
    </w:p>
    <w:p>
      <w:pPr>
        <w:spacing w:after="80" w:before="80" w:line="276" w:lineRule="auto"/>
        <w:jc w:val="both"/>
      </w:pPr>
      <w:r>
        <w:rPr>
          <w:rFonts w:ascii="Arial" w:cs="Arial" w:eastAsia="Arial" w:hAnsi="Arial"/>
          <w:b/>
          <w:bCs/>
          <w:color w:val="000000"/>
          <w:sz w:val="22"/>
          <w:szCs w:val="22"/>
        </w:rPr>
        <w:t xml:space="preserve">Detection Deficiency</w:t>
      </w:r>
    </w:p>
    <w:p>
      <w:pPr>
        <w:spacing w:after="80" w:before="80" w:line="276" w:lineRule="auto"/>
        <w:jc w:val="both"/>
      </w:pPr>
      <w:r>
        <w:rPr>
          <w:rFonts w:ascii="Arial" w:cs="Arial" w:eastAsia="Arial" w:hAnsi="Arial"/>
          <w:color w:val="000000"/>
          <w:sz w:val="22"/>
          <w:szCs w:val="22"/>
        </w:rPr>
        <w:t xml:space="preserve">The existing Level 1–4 feedback taxonomy categorizes what subscribers report but does not differentiate between subscribers who cancel due to permanent dissatisfaction and those who cancel due to temporary life circumstances. Life-context signals are present in the pause comment taxonomy but are not surfaced, classified, or acted upon as a distinct subscriber risk category.</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Response Deficiency</w:t>
      </w:r>
    </w:p>
    <w:p>
      <w:pPr>
        <w:spacing w:after="80" w:before="80" w:line="276" w:lineRule="auto"/>
        <w:jc w:val="both"/>
      </w:pPr>
      <w:r>
        <w:rPr>
          <w:rFonts w:ascii="Arial" w:cs="Arial" w:eastAsia="Arial" w:hAnsi="Arial"/>
          <w:color w:val="000000"/>
          <w:sz w:val="22"/>
          <w:szCs w:val="22"/>
        </w:rPr>
        <w:t xml:space="preserve">No personalized intervention mechanism exists to engage subscribers at the point of life-context disruption with tailored retention offers. All cancellation-bound subscribers are treated identically by the current system, regardless of the nature, severity, or recoverability of their stated reason for departing.</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Recovery Deficiency</w:t>
      </w:r>
    </w:p>
    <w:p>
      <w:pPr>
        <w:spacing w:after="80" w:before="80" w:line="276" w:lineRule="auto"/>
        <w:jc w:val="both"/>
      </w:pPr>
      <w:r>
        <w:rPr>
          <w:rFonts w:ascii="Arial" w:cs="Arial" w:eastAsia="Arial" w:hAnsi="Arial"/>
          <w:color w:val="000000"/>
          <w:sz w:val="22"/>
          <w:szCs w:val="22"/>
        </w:rPr>
        <w:t xml:space="preserve">The "Intent" subcategory in the cancellation taxonomy captures subscribers who express a willingness to return. Yet no automated or semi-automated recovery workflow is connected to this signal, representing a direct and addressable opportunity cost.</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IV.2  Problem Scale</w:t>
      </w:r>
    </w:p>
    <w:p>
      <w:pPr>
        <w:spacing w:after="80" w:before="80" w:line="276" w:lineRule="auto"/>
        <w:jc w:val="both"/>
      </w:pPr>
      <w:r>
        <w:rPr>
          <w:rFonts w:ascii="Arial" w:cs="Arial" w:eastAsia="Arial" w:hAnsi="Arial"/>
          <w:color w:val="000000"/>
          <w:sz w:val="22"/>
          <w:szCs w:val="22"/>
        </w:rPr>
        <w:t xml:space="preserve">AI-assisted classification of Q1 2026 Green Chef cancellation data quantifies the scale of the recoverable subscriber gap for the first time. Of the 14,231 cancellations recorded across Q1 2026 (Weeks 1 through 8), AI classification identified 21.86 percent — approximately 3,111 subscribers — as High-Potential retention cases, averaging 389 recoverable cancellations per week.</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Critically, this segment is structurally stable, ranging from a low of 334 to a high of 404 per week, even as total weekly cancellation volume varied by up to 54 percent (from 1,059 to 1,576). That stability confirms the recoverable opportunity is not seasonal or campaign-driven — it is a permanent, weekly-replenishing structural feature of the subscriber base. Of the remaining classified subscribers, 68.02 percent were classified as Low-Potential, and a further 1,848 subscribers received Urgent priority scores (75–100), averaging 231 per week.</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IV.3  Impact of Inaction</w:t>
      </w:r>
    </w:p>
    <w:p>
      <w:pPr>
        <w:spacing w:after="80" w:before="80" w:line="276" w:lineRule="auto"/>
        <w:jc w:val="both"/>
      </w:pPr>
      <w:r>
        <w:rPr>
          <w:rFonts w:ascii="Arial" w:cs="Arial" w:eastAsia="Arial" w:hAnsi="Arial"/>
          <w:color w:val="000000"/>
          <w:sz w:val="22"/>
          <w:szCs w:val="22"/>
        </w:rPr>
        <w:t xml:space="preserve">Without a life-context-aware retention system, Green Chef systematically forfeits a recoverable subscriber segment, incurs unnecessary re-acquisition costs, and misses the opportunity to strengthen subscriber loyalty at a moment of heightened personal vulnerability. Over time, this gap compounds: each recoverable subscriber who cancels without interception requires a more expensive marketing-led re-engagement effort, and the cumulative impact on annual recurring revenue is material.</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Subscribers who cancel during a life disruption and receive no adaptive response are more likely to attribute their departure to the brand rather than to their circumstances, reducing both the probability of return and the likelihood of positive word-of-mouth.</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V. Data Analysis and Key Findings</w:t>
      </w:r>
    </w:p>
    <w:p>
      <w:pPr>
        <w:pStyle w:val="Heading2"/>
        <w:spacing w:after="120" w:before="240"/>
      </w:pPr>
      <w:r>
        <w:rPr>
          <w:rFonts w:ascii="Arial" w:cs="Arial" w:eastAsia="Arial" w:hAnsi="Arial"/>
          <w:b/>
          <w:bCs/>
          <w:color w:val="2E7D32"/>
          <w:sz w:val="26"/>
          <w:szCs w:val="26"/>
        </w:rPr>
        <w:t xml:space="preserve">V.1  Analytical Approach</w:t>
      </w:r>
    </w:p>
    <w:p>
      <w:pPr>
        <w:spacing w:after="80" w:before="80" w:line="276" w:lineRule="auto"/>
        <w:jc w:val="both"/>
      </w:pPr>
      <w:r>
        <w:rPr>
          <w:rFonts w:ascii="Arial" w:cs="Arial" w:eastAsia="Arial" w:hAnsi="Arial"/>
          <w:color w:val="000000"/>
          <w:sz w:val="22"/>
          <w:szCs w:val="22"/>
        </w:rPr>
        <w:t xml:space="preserve">The project applied a three-phase analytical approach to Q1 2026 Green Chef subscription data: (1) quantitative trend analysis of cancellation and pause rate data; (2) taxonomy review of the existing Level 1–4 classification system; and (3) AI-assisted recoverability classification applied to Q1 2026 cancellation comment text. The data spans three Excel workbooks covering Q1 2026 (detailed variable references and summary statistics are in Appendices D and E). Key numeric statistics include a mean cancellation rate of 7.62 percent and a mean pause rate of 55.10 percent across the full historical dataset.</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No pre-processing was applied to the cancellation and pause comment data prior to AI-assisted classification. This was a deliberate methodological choice: the system must be operationally viable using Green Chef's data exactly as it exists today, without additional infrastructure investment. Full prompt specifications and taxonomy documentation are included in Appendix G.</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V.2  Cancellation and Pause Rate Trends</w:t>
      </w:r>
    </w:p>
    <w:p>
      <w:pPr>
        <w:spacing w:after="80" w:before="80" w:line="276" w:lineRule="auto"/>
        <w:jc w:val="both"/>
      </w:pPr>
      <w:r>
        <w:rPr>
          <w:rFonts w:ascii="Arial" w:cs="Arial" w:eastAsia="Arial" w:hAnsi="Arial"/>
          <w:color w:val="000000"/>
          <w:sz w:val="22"/>
          <w:szCs w:val="22"/>
        </w:rPr>
        <w:t xml:space="preserve">The pause rate is structurally elevated, averaging 55.10 percent across the full dataset — meaning more than half the subscriber base has paused at least once, demonstrating revealed preference for retention over outright cancellation. The cancellation rate averages 7.62 percent and is more stable over time. A notable seasonal pattern emerges in the pause data: spike-and-fall trends around Thanksgiving and Christmas are consistent with predictable life-context disruptions where proactive intervention — delivered before the pause escalates — could prevent permanent churn.</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V.3  Existing Taxonomy Limitations</w:t>
      </w:r>
    </w:p>
    <w:p>
      <w:pPr>
        <w:spacing w:after="80" w:before="80" w:line="276" w:lineRule="auto"/>
        <w:jc w:val="both"/>
      </w:pPr>
      <w:r>
        <w:rPr>
          <w:rFonts w:ascii="Arial" w:cs="Arial" w:eastAsia="Arial" w:hAnsi="Arial"/>
          <w:color w:val="000000"/>
          <w:sz w:val="22"/>
          <w:szCs w:val="22"/>
        </w:rPr>
        <w:t xml:space="preserve">Green Chef's Level 1–4 cancellation taxonomy comprises 15 granular exit categories. For aggregate trend reporting, this system functions adequately. For retention intervention at the subscriber level, it has a critical structural limitation: none of the 15 categories encodes whether the subscriber's departure is temporary or permanent.</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A subscriber citing "Affordability" may be expressing a permanent value objection or a temporary cash-flow constraint. The taxonomy records the topic of the comment; it does not indicate which situation applies. Dashboard analysis of Q1 2026 data confirms this empirically: the Product category contains 1,104 High-Potential subscribers, the Price/Value category contains 663 High-Potential subscribers, and the "Intent" subcategory — which explicitly captures subscribers expressing a desire to return — has no downstream workflow to act on their expressed intent. (See Figure VI-1 in the full analytical workbook, Appendix F.)</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V.4  AI-Assisted Life-Context Classification</w:t>
      </w:r>
    </w:p>
    <w:p>
      <w:pPr>
        <w:spacing w:after="80" w:before="80" w:line="276" w:lineRule="auto"/>
        <w:jc w:val="both"/>
      </w:pPr>
      <w:r>
        <w:rPr>
          <w:rFonts w:ascii="Arial" w:cs="Arial" w:eastAsia="Arial" w:hAnsi="Arial"/>
          <w:color w:val="000000"/>
          <w:sz w:val="22"/>
          <w:szCs w:val="22"/>
        </w:rPr>
        <w:t xml:space="preserve">The AI classification workflow assigns each cancellation record a recoverability class (High-Potential, Low-Potential, or Release), a life-context category (Budget Pressure, Schedule Change, Health Event, Work Travel, New Arrival, Relocation, or Other), and a priority intervention score (0–100).</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Scale and Stability of the Recoverable Segment</w:t>
      </w:r>
    </w:p>
    <w:p>
      <w:pPr>
        <w:spacing w:after="80" w:before="80" w:line="276" w:lineRule="auto"/>
        <w:jc w:val="both"/>
      </w:pPr>
      <w:r>
        <w:rPr>
          <w:rFonts w:ascii="Arial" w:cs="Arial" w:eastAsia="Arial" w:hAnsi="Arial"/>
          <w:color w:val="000000"/>
          <w:sz w:val="22"/>
          <w:szCs w:val="22"/>
        </w:rPr>
        <w:t xml:space="preserve">Q1 2026 produced 14,231 total cancellations across eight weeks. AI classification identified 21.86 percent — approximately 3,111 subscribers — as High-Potential retention cases averaging 389 per week. Weekly volume was stable (range: 334–404) while total weekly cancellations varied between 1,059 and 1,576 — a 54 percent range. This stability means the Life Moments system can be designed for consistent operational throughput rather than peak-demand capacity, and the return on its fixed implementation cost compounds week over week without degradation.</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Signal Composition of High-Potential Subscribers</w:t>
      </w:r>
    </w:p>
    <w:p>
      <w:pPr>
        <w:spacing w:after="80" w:before="80" w:line="276" w:lineRule="auto"/>
        <w:jc w:val="both"/>
      </w:pPr>
      <w:r>
        <w:rPr>
          <w:rFonts w:ascii="Arial" w:cs="Arial" w:eastAsia="Arial" w:hAnsi="Arial"/>
          <w:color w:val="000000"/>
          <w:sz w:val="22"/>
          <w:szCs w:val="22"/>
        </w:rPr>
        <w:t xml:space="preserve">Of the 3,111 High-Potential subscribers in Q1 2026, 1,235 (42.5 percent) carry both a life-context signal and a product-retention signal simultaneously. An additional 1,050 carry a life-context signal only, and 685 carry a product-retention signal only. The dominant life-context categories are: Budget Pressure (2,439 subscribers), Schedule Change (723), Other Life Reason (543), Work Travel (251), Health Event (224), Relocation (107), and New Arrival (42).</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Sentiment Divergence: The Core Diagnostic Signal</w:t>
      </w:r>
    </w:p>
    <w:p>
      <w:pPr>
        <w:spacing w:after="80" w:before="80" w:line="276" w:lineRule="auto"/>
        <w:jc w:val="both"/>
      </w:pPr>
      <w:r>
        <w:rPr>
          <w:rFonts w:ascii="Arial" w:cs="Arial" w:eastAsia="Arial" w:hAnsi="Arial"/>
          <w:color w:val="000000"/>
          <w:sz w:val="22"/>
          <w:szCs w:val="22"/>
        </w:rPr>
        <w:t xml:space="preserve">The most analytically significant finding is the mechanism distinguishing recoverable from unrecoverable subscribers sharing the same exit reason. When any life-context category is disaggregated by recoverability class, a consistent divergence emerges: High-Potential subscribers exit with overwhelmingly positive brand sentiment, while Low-Potential subscribers citing the same reason exit neutral or negative. A Budget Pressure cancellation from a High-Potential subscriber is not a price complaint — it is a product endorsement from someone who cannot currently afford what they value. The correct response is a temporary accommodation such as a short-term discount or smaller box option, not a standard win-back campaign.</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V.5  Positive Feedback and Retention Anchors</w:t>
      </w:r>
    </w:p>
    <w:p>
      <w:pPr>
        <w:spacing w:after="80" w:before="80" w:line="276" w:lineRule="auto"/>
        <w:jc w:val="both"/>
      </w:pPr>
      <w:r>
        <w:rPr>
          <w:rFonts w:ascii="Arial" w:cs="Arial" w:eastAsia="Arial" w:hAnsi="Arial"/>
          <w:color w:val="000000"/>
          <w:sz w:val="22"/>
          <w:szCs w:val="22"/>
        </w:rPr>
        <w:t xml:space="preserve">Analysis of positive review data identifies Green Chef's primary retention anchors: taste and flavor richness, recipe variety, globally inspired food combinations, ingredient quality, and recipe accessibility for less experienced cooks. Serving quantity and seasoning consistency are the most frequently cited specific satisfaction drivers. These anchors directly inform the intervention design: when a High-Potential subscriber's cancellation comment references these elements, the outreach message can lead with a concrete, personalized offer rather than a generic retention appeal.</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VI. Strategic Analysis</w:t>
      </w:r>
    </w:p>
    <w:p>
      <w:pPr>
        <w:pStyle w:val="Heading2"/>
        <w:spacing w:after="120" w:before="240"/>
      </w:pPr>
      <w:r>
        <w:rPr>
          <w:rFonts w:ascii="Arial" w:cs="Arial" w:eastAsia="Arial" w:hAnsi="Arial"/>
          <w:b/>
          <w:bCs/>
          <w:color w:val="2E7D32"/>
          <w:sz w:val="26"/>
          <w:szCs w:val="26"/>
        </w:rPr>
        <w:t xml:space="preserve">VI.1  Competitive Benchmarking</w:t>
      </w:r>
    </w:p>
    <w:p>
      <w:pPr>
        <w:spacing w:after="80" w:before="80" w:line="276" w:lineRule="auto"/>
        <w:jc w:val="both"/>
      </w:pPr>
      <w:r>
        <w:rPr>
          <w:rFonts w:ascii="Arial" w:cs="Arial" w:eastAsia="Arial" w:hAnsi="Arial"/>
          <w:color w:val="000000"/>
          <w:sz w:val="22"/>
          <w:szCs w:val="22"/>
        </w:rPr>
        <w:t xml:space="preserve">Green Chef's three primary competitors operate within macro-based or lifestyle dietary frameworks. None offers the combination of condition-specific adaptation, life-context responsiveness, or certified organic positioning that Green Chef carries. The SWOT analyses below establish specific competitive advantages, vulnerabilities, and the strategic white space the Life Moments concept occupies. Full detail is in Appendix 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rPr>
          <w:tblHeader/>
        </w:trPr>
        <w:tc>
          <w:tcPr>
            <w:tcW w:type="dxa" w:w="2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Key Strength vs. Green Chef</w:t>
            </w:r>
          </w:p>
        </w:tc>
        <w:tc>
          <w:tcPr>
            <w:tcW w:type="dxa" w:w="2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Key Weakness vs. Green Chef</w:t>
            </w:r>
          </w:p>
        </w:tc>
        <w:tc>
          <w:tcPr>
            <w:tcW w:type="dxa" w:w="22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Threat / Opportunity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HungryRoot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AI-driven food profile; sticky grocery-replacement positioning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USDA organic certification; opaque points pricing</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Stickiness of evolving food profile vs. Green Chef's fixed plans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Home Chef</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98% U.S. distribution via Kroger; lower price point ($7.99–$9.99)</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Conventional, non-organic; minimal diet-specific certifications</w:t>
            </w:r>
          </w:p>
        </w:tc>
        <w:tc>
          <w:tcPr>
            <w:tcW w:type="dxa" w:w="2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In-store reach; risk of trading-down during budget pressure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Blue Apron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Strong brand equity; technique-led culinary education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Declining revenue; no organic certification; high subscriber churn</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upgrade path for Blue Apron churners seeking health focus</w:t>
            </w:r>
          </w:p>
        </w:tc>
      </w:tr>
    </w:tbl>
    <w:p>
      <w:pPr>
        <w:spacing w:after="140" w:before="60"/>
        <w:jc w:val="center"/>
      </w:pPr>
      <w:r>
        <w:rPr>
          <w:rFonts w:ascii="Arial" w:cs="Arial" w:eastAsia="Arial" w:hAnsi="Arial"/>
          <w:i/>
          <w:iCs/>
          <w:color w:val="424242"/>
          <w:sz w:val="19"/>
          <w:szCs w:val="19"/>
        </w:rPr>
        <w:t xml:space="preserve">Table VI-1. Competitive Landscape Summary</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A key finding across all three: none of the competitors offers life-context responsiveness, emotionally intelligent retention, or the combination of precision health positioning and USDA organic certification. This gap represents the strategic white space the Life Moments concept is designed to occupy — a space that cannot be easily replicated by competitors whose differentiation is primarily on price, convenience, or culinary credentials.</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VI.2  Marketing Mix Assessment (7Ps)</w:t>
      </w:r>
    </w:p>
    <w:p>
      <w:pPr>
        <w:spacing w:after="80" w:before="80" w:line="276" w:lineRule="auto"/>
        <w:jc w:val="both"/>
      </w:pPr>
      <w:r>
        <w:rPr>
          <w:rFonts w:ascii="Arial" w:cs="Arial" w:eastAsia="Arial" w:hAnsi="Arial"/>
          <w:color w:val="000000"/>
          <w:sz w:val="22"/>
          <w:szCs w:val="22"/>
        </w:rPr>
        <w:t xml:space="preserve">The 7Ps framework assessment (full table in Appendix J) identifies a consistent pattern: Green Chef has built strong foundations across product quality, channel, and pricing, but has not developed the subscriber engagement capability that matches its health-oriented positioning. Life Moments directly addresses the People and Process gaps while reinforcing Promotion, Physical Evidence, and Price through demonstrated personalization. Specifically:</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Product: Life Moments introduces context-aware subscriber engagement without changing the physical product — a capability layer, not a product redesign.</w:t>
      </w:r>
    </w:p>
    <w:p>
      <w:pPr>
        <w:pStyle w:val="ListParagraph"/>
        <w:numPr>
          <w:ilvl w:val="0"/>
          <w:numId w:val="2"/>
        </w:numPr>
        <w:spacing w:after="60" w:before="60"/>
      </w:pPr>
      <w:r>
        <w:rPr>
          <w:rFonts w:ascii="Arial" w:cs="Arial" w:eastAsia="Arial" w:hAnsi="Arial"/>
          <w:color w:val="000000"/>
          <w:sz w:val="22"/>
          <w:szCs w:val="22"/>
        </w:rPr>
        <w:t xml:space="preserve">Price: Demonstrates that the premium price includes a personalized brand relationship, strengthening value perception at the Budget Pressure retention moment.</w:t>
      </w:r>
    </w:p>
    <w:p>
      <w:pPr>
        <w:pStyle w:val="ListParagraph"/>
        <w:numPr>
          <w:ilvl w:val="0"/>
          <w:numId w:val="2"/>
        </w:numPr>
        <w:spacing w:after="60" w:before="60"/>
      </w:pPr>
      <w:r>
        <w:rPr>
          <w:rFonts w:ascii="Arial" w:cs="Arial" w:eastAsia="Arial" w:hAnsi="Arial"/>
          <w:color w:val="000000"/>
          <w:sz w:val="22"/>
          <w:szCs w:val="22"/>
        </w:rPr>
        <w:t xml:space="preserve">People: Introduces empathetic, life-context-aware outreach at the most critical subscriber moment, replacing the current automated, transactional interaction model.</w:t>
      </w:r>
    </w:p>
    <w:p>
      <w:pPr>
        <w:pStyle w:val="ListParagraph"/>
        <w:numPr>
          <w:ilvl w:val="0"/>
          <w:numId w:val="2"/>
        </w:numPr>
        <w:spacing w:after="60" w:before="60"/>
      </w:pPr>
      <w:r>
        <w:rPr>
          <w:rFonts w:ascii="Arial" w:cs="Arial" w:eastAsia="Arial" w:hAnsi="Arial"/>
          <w:color w:val="000000"/>
          <w:sz w:val="22"/>
          <w:szCs w:val="22"/>
        </w:rPr>
        <w:t xml:space="preserve">Process: Introduces a dynamic decision layer at the cancellation event that the current static process lacks.</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VI.3  Customer Need States</w:t>
      </w:r>
    </w:p>
    <w:p>
      <w:pPr>
        <w:spacing w:after="80" w:before="80" w:line="276" w:lineRule="auto"/>
        <w:jc w:val="both"/>
      </w:pPr>
      <w:r>
        <w:rPr>
          <w:rFonts w:ascii="Arial" w:cs="Arial" w:eastAsia="Arial" w:hAnsi="Arial"/>
          <w:color w:val="000000"/>
          <w:sz w:val="22"/>
          <w:szCs w:val="22"/>
        </w:rPr>
        <w:t xml:space="preserve">The analysis reveals a clear shift from generalized diet preferences toward personalized, outcome-driven nutrition. Five need states define the target population:</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Condition-Based Nutrition: Meals tailored to specific health conditions, actively supporting medical and physiological needs.</w:t>
      </w:r>
    </w:p>
    <w:p>
      <w:pPr>
        <w:pStyle w:val="ListParagraph"/>
        <w:numPr>
          <w:ilvl w:val="0"/>
          <w:numId w:val="2"/>
        </w:numPr>
        <w:spacing w:after="60" w:before="60"/>
      </w:pPr>
      <w:r>
        <w:rPr>
          <w:rFonts w:ascii="Arial" w:cs="Arial" w:eastAsia="Arial" w:hAnsi="Arial"/>
          <w:color w:val="000000"/>
          <w:sz w:val="22"/>
          <w:szCs w:val="22"/>
        </w:rPr>
        <w:t xml:space="preserve">Micronutrient Optimization: Growing emphasis on vitamins, minerals, and nutrient density addressing specific deficiencies.</w:t>
      </w:r>
    </w:p>
    <w:p>
      <w:pPr>
        <w:pStyle w:val="ListParagraph"/>
        <w:numPr>
          <w:ilvl w:val="0"/>
          <w:numId w:val="2"/>
        </w:numPr>
        <w:spacing w:after="60" w:before="60"/>
      </w:pPr>
      <w:r>
        <w:rPr>
          <w:rFonts w:ascii="Arial" w:cs="Arial" w:eastAsia="Arial" w:hAnsi="Arial"/>
          <w:color w:val="000000"/>
          <w:sz w:val="22"/>
          <w:szCs w:val="22"/>
        </w:rPr>
        <w:t xml:space="preserve">Dynamic Health Adaptation: Flexible solutions that adapt over time as health needs evolve, rather than fixed diet categories.</w:t>
      </w:r>
    </w:p>
    <w:p>
      <w:pPr>
        <w:pStyle w:val="ListParagraph"/>
        <w:numPr>
          <w:ilvl w:val="0"/>
          <w:numId w:val="2"/>
        </w:numPr>
        <w:spacing w:after="60" w:before="60"/>
      </w:pPr>
      <w:r>
        <w:rPr>
          <w:rFonts w:ascii="Arial" w:cs="Arial" w:eastAsia="Arial" w:hAnsi="Arial"/>
          <w:color w:val="000000"/>
          <w:sz w:val="22"/>
          <w:szCs w:val="22"/>
        </w:rPr>
        <w:t xml:space="preserve">Functional Health Outcomes: Tangible results such as improved energy, recovery, and metabolism, positioning food as a performance tool.</w:t>
      </w:r>
    </w:p>
    <w:p>
      <w:pPr>
        <w:pStyle w:val="ListParagraph"/>
        <w:numPr>
          <w:ilvl w:val="0"/>
          <w:numId w:val="2"/>
        </w:numPr>
        <w:spacing w:after="60" w:before="60"/>
      </w:pPr>
      <w:r>
        <w:rPr>
          <w:rFonts w:ascii="Arial" w:cs="Arial" w:eastAsia="Arial" w:hAnsi="Arial"/>
          <w:color w:val="000000"/>
          <w:sz w:val="22"/>
          <w:szCs w:val="22"/>
        </w:rPr>
        <w:t xml:space="preserve">Trust in Health Guidance: Credible, science-backed recommendations with transparency over generic health claims.</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VII. Product Concept: Green Chef Life Moments</w:t>
      </w:r>
    </w:p>
    <w:p>
      <w:pPr>
        <w:pStyle w:val="Heading2"/>
        <w:spacing w:after="120" w:before="240"/>
      </w:pPr>
      <w:r>
        <w:rPr>
          <w:rFonts w:ascii="Arial" w:cs="Arial" w:eastAsia="Arial" w:hAnsi="Arial"/>
          <w:b/>
          <w:bCs/>
          <w:color w:val="2E7D32"/>
          <w:sz w:val="26"/>
          <w:szCs w:val="26"/>
        </w:rPr>
        <w:t xml:space="preserve">VII.1  Strategic Rationale</w:t>
      </w:r>
    </w:p>
    <w:p>
      <w:pPr>
        <w:spacing w:after="80" w:before="80" w:line="276" w:lineRule="auto"/>
        <w:jc w:val="both"/>
      </w:pPr>
      <w:r>
        <w:rPr>
          <w:rFonts w:ascii="Arial" w:cs="Arial" w:eastAsia="Arial" w:hAnsi="Arial"/>
          <w:color w:val="000000"/>
          <w:sz w:val="22"/>
          <w:szCs w:val="22"/>
        </w:rPr>
        <w:t xml:space="preserve">The Life Moments concept operationalizes a strategic shift: from a reactive, uniform churn-management model toward a proactive, life-context-aware retention model. The system is not a generic discount engine or batch win-back campaign. It is a subscriber-recognition system that identifies when a specific subscriber is departing for a specific life reason, and responds with a message and offer precisely calibrated to that reason and to that subscriber's established brand sentiment.</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This approach serves three strategic objectives simultaneously: (1) converts recoverable churn into retained revenue; (2) builds emotional loyalty by demonstrating that Green Chef understands and responds to the realities of the subscriber's life; and (3) positions Green Chef ahead of all three benchmark competitors in life-context responsiveness — the one dimension none of them has developed.</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VII.2  System Architecture and Core Capabilities</w:t>
      </w:r>
    </w:p>
    <w:p>
      <w:pPr>
        <w:spacing w:after="80" w:before="80" w:line="276" w:lineRule="auto"/>
        <w:jc w:val="both"/>
      </w:pPr>
      <w:r>
        <w:rPr>
          <w:rFonts w:ascii="Arial" w:cs="Arial" w:eastAsia="Arial" w:hAnsi="Arial"/>
          <w:color w:val="000000"/>
          <w:sz w:val="22"/>
          <w:szCs w:val="22"/>
        </w:rPr>
        <w:t xml:space="preserve">The Life Moments system is built on three core capabilities, each operating within HelloFresh's existing subscriber management, CRM, and messaging infrastructure:</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Capability 1 — AI-Assisted Life-Context Classification</w:t>
      </w:r>
    </w:p>
    <w:p>
      <w:pPr>
        <w:spacing w:after="80" w:before="80" w:line="276" w:lineRule="auto"/>
        <w:jc w:val="both"/>
      </w:pPr>
      <w:r>
        <w:rPr>
          <w:rFonts w:ascii="Arial" w:cs="Arial" w:eastAsia="Arial" w:hAnsi="Arial"/>
          <w:color w:val="000000"/>
          <w:sz w:val="22"/>
          <w:szCs w:val="22"/>
        </w:rPr>
        <w:t xml:space="preserve">When a subscriber initiates a cancellation, the comment text is submitted to an LLM-powered classification layer that assigns a recoverability class, a life-context category, and a priority intervention score (0–100). Classification completes as a lightweight API call against each outgoing cancellation event.</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Capability 2 — Differentiated Retention Routing</w:t>
      </w:r>
    </w:p>
    <w:p>
      <w:pPr>
        <w:spacing w:after="80" w:before="80" w:line="276" w:lineRule="auto"/>
        <w:jc w:val="both"/>
      </w:pPr>
      <w:r>
        <w:rPr>
          <w:rFonts w:ascii="Arial" w:cs="Arial" w:eastAsia="Arial" w:hAnsi="Arial"/>
          <w:color w:val="000000"/>
          <w:sz w:val="22"/>
          <w:szCs w:val="22"/>
        </w:rPr>
        <w:t xml:space="preserve">Based on recoverability class and life-context category, each subscriber is routed to a pre-configured response track. Low-Potential and Release subscribers continue through the standard cancellation workflow unchanged. High-Potential subscribers receive an immediate, personalized outreach message and offer calibrated to their life-context type.</w:t>
      </w:r>
    </w:p>
    <w:p>
      <w:pPr>
        <w:spacing w:after="60" w:before="60"/>
      </w:pPr>
      <w:r>
        <w:t xml:space="preserve"/>
      </w:r>
    </w:p>
    <w:p>
      <w:pPr>
        <w:spacing w:after="80" w:before="80" w:line="276" w:lineRule="auto"/>
        <w:jc w:val="both"/>
      </w:pPr>
      <w:r>
        <w:rPr>
          <w:rFonts w:ascii="Arial" w:cs="Arial" w:eastAsia="Arial" w:hAnsi="Arial"/>
          <w:b/>
          <w:bCs/>
          <w:color w:val="000000"/>
          <w:sz w:val="22"/>
          <w:szCs w:val="22"/>
        </w:rPr>
        <w:t xml:space="preserve">Capability 3 — Priority-Score Urgency Triage</w:t>
      </w:r>
    </w:p>
    <w:p>
      <w:pPr>
        <w:spacing w:after="80" w:before="80" w:line="276" w:lineRule="auto"/>
        <w:jc w:val="both"/>
      </w:pPr>
      <w:r>
        <w:rPr>
          <w:rFonts w:ascii="Arial" w:cs="Arial" w:eastAsia="Arial" w:hAnsi="Arial"/>
          <w:color w:val="000000"/>
          <w:sz w:val="22"/>
          <w:szCs w:val="22"/>
        </w:rPr>
        <w:t xml:space="preserve">Urgent subscribers (priority score 75–100, averaging 231 per week in Q1 2026) receive outreach within 24 hours and are flagged in the CRM for optional personalization by the customer success team. High-priority subscribers (50–74) receive automated outreach within 48–72 hours. Moderate and Low priority subscribers enter a scheduled re-engagement sequence.</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VII.3  Response Tracks by Life-Context Type</w:t>
      </w:r>
    </w:p>
    <w:p>
      <w:pPr>
        <w:spacing w:after="80" w:before="80" w:line="276" w:lineRule="auto"/>
        <w:jc w:val="both"/>
      </w:pPr>
      <w:r>
        <w:rPr>
          <w:rFonts w:ascii="Arial" w:cs="Arial" w:eastAsia="Arial" w:hAnsi="Arial"/>
          <w:color w:val="000000"/>
          <w:sz w:val="22"/>
          <w:szCs w:val="22"/>
        </w:rPr>
        <w:t xml:space="preserve">All offers routed by the Life Moments system — discounts, pauses, plan switches, box size adjustments — are existing features of the Green Chef service. The system introduces no new product capabilities; it routes subscribers to existing accommodations that match their specific situation.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600"/>
        <w:gridCol w:w="3260"/>
      </w:tblGrid>
      <w:tr>
        <w:trPr>
          <w:tblHeader/>
        </w:trPr>
        <w:tc>
          <w:tcPr>
            <w:tcW w:type="dxa" w:w="1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Life-Context</w:t>
            </w:r>
          </w:p>
        </w:tc>
        <w:tc>
          <w:tcPr>
            <w:tcW w:type="dxa" w:w="2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Trigger Signal</w:t>
            </w:r>
          </w:p>
        </w:tc>
        <w:tc>
          <w:tcPr>
            <w:tcW w:type="dxa" w:w="26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Primary Offer</w:t>
            </w:r>
          </w:p>
        </w:tc>
        <w:tc>
          <w:tcPr>
            <w:tcW w:type="dxa" w:w="32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Secondary Action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Budget Pressure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Cost language + positive brand sentiment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Temporary 10–20% discount or smaller box for 4 weeks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Scheduled re-engagement at 6 weeks with full plan offer</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Schedule Change</w:t>
            </w:r>
          </w:p>
        </w:tc>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Routine or time disruption language</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Extended pause option (4–8 weeks) at no penalty</w:t>
            </w:r>
          </w:p>
        </w:tc>
        <w:tc>
          <w:tcPr>
            <w:tcW w:type="dxa" w:w="3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Pre-scheduled reactivation reminder at return date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Health Event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Medical or dietary change language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 plan switch to relevant dietary tier + empathetic message</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Nutritionist resource link or condition-specific guidance</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Work Travel</w:t>
            </w:r>
          </w:p>
        </w:tc>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Travel language + positive sentiment</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Flexible pause or delivery-skip for stated travel period</w:t>
            </w:r>
          </w:p>
        </w:tc>
        <w:tc>
          <w:tcPr>
            <w:tcW w:type="dxa" w:w="3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Welcome-back offer pre-loaded at projected return date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Arrival</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Baby, family change, or pregnancy language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Simplified meal tier; frequency adjustment</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Family-size plan recommendation upon return</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Relocation</w:t>
            </w:r>
          </w:p>
        </w:tc>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Moving or relocation language</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Coverage confirmation for new address; welcome offer</w:t>
            </w:r>
          </w:p>
        </w:tc>
        <w:tc>
          <w:tcPr>
            <w:tcW w:type="dxa" w:w="3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Re-engagement outreach if outside coverage area</w:t>
            </w:r>
          </w:p>
        </w:tc>
      </w:tr>
    </w:tbl>
    <w:p>
      <w:pPr>
        <w:spacing w:after="140" w:before="60"/>
        <w:jc w:val="center"/>
      </w:pPr>
      <w:r>
        <w:rPr>
          <w:rFonts w:ascii="Arial" w:cs="Arial" w:eastAsia="Arial" w:hAnsi="Arial"/>
          <w:i/>
          <w:iCs/>
          <w:color w:val="424242"/>
          <w:sz w:val="19"/>
          <w:szCs w:val="19"/>
        </w:rPr>
        <w:t xml:space="preserve">Table VII-1. Life Moments Response Tracks by Life-Context Category</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VII.4  Jobs-to-Be-Done Positioning</w:t>
      </w:r>
    </w:p>
    <w:p>
      <w:pPr>
        <w:spacing w:after="80" w:before="80" w:line="276" w:lineRule="auto"/>
        <w:jc w:val="both"/>
      </w:pPr>
      <w:r>
        <w:rPr>
          <w:rFonts w:ascii="Arial" w:cs="Arial" w:eastAsia="Arial" w:hAnsi="Arial"/>
          <w:color w:val="000000"/>
          <w:sz w:val="22"/>
          <w:szCs w:val="22"/>
        </w:rPr>
        <w:t xml:space="preserve">Applied to the meal-kit market, the two most discriminating positioning dimensions are the degree of cooking involvement required and the specificity of the health or dietary outcome targeted. Green Chef occupies the high-cooking-involvement / high-health-specificity quadrant — the only brand with USDA organic certification and specialized dietary plan categories (see Appendix K for the full positioning map).</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The Life Moments system extends Green Chef's positioning in this quadrant by adding a fourth dimension that no competitor currently occupies: life-context responsiveness. A brand at the intersection of high health specificity and emotional intelligence in retention is operating in a space that cannot be easily replicated by competitors whose differentiation is primarily on price, convenience, or culinary credentials.</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VIII. Economic Analysis</w:t>
      </w:r>
    </w:p>
    <w:p>
      <w:pPr>
        <w:spacing w:after="80" w:before="80" w:line="276" w:lineRule="auto"/>
        <w:jc w:val="both"/>
      </w:pPr>
      <w:r>
        <w:rPr>
          <w:rFonts w:ascii="Arial" w:cs="Arial" w:eastAsia="Arial" w:hAnsi="Arial"/>
          <w:color w:val="000000"/>
          <w:sz w:val="22"/>
          <w:szCs w:val="22"/>
        </w:rPr>
        <w:t xml:space="preserve">This section provides a preliminary economic analysis of the Green Chef Life Moments concept. All figures are scenario-based and presented as a directional framework to support decision-making, not as a definitive business case. Figures that could not be sourced from public domains are working estimates. Full assumption documentation is in Appendix L.</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VIII.1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600"/>
        <w:gridCol w:w="3660"/>
      </w:tblGrid>
      <w:tr>
        <w:trPr>
          <w:tblHeader/>
        </w:trPr>
        <w:tc>
          <w:tcPr>
            <w:tcW w:type="dxa" w:w="2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13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16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Range Considered</w:t>
            </w:r>
          </w:p>
        </w:tc>
        <w:tc>
          <w:tcPr>
            <w:tcW w:type="dxa" w:w="36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Green Chef subscriber base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90,000–137,000</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Midpoint of Q1 2026 data range; working estimate</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Average weekly order value (AOV)</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$75 USD</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$70–$80</w:t>
            </w:r>
          </w:p>
        </w:tc>
        <w:tc>
          <w:tcPr>
            <w:tcW w:type="dxa" w:w="3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Proxy: HF Group €66.5 AOV at 1.13 USD/EUR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Weekly cancellation rate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4%–14%</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Q1 2026 dataset midpoint</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Life-context segment share</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26%</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20%–35%</w:t>
            </w:r>
          </w:p>
        </w:tc>
        <w:tc>
          <w:tcPr>
            <w:tcW w:type="dxa" w:w="3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16% Intent subcategory + 10% other life-context labels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Intervention conversion rate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10%–25%</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Working estimate</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Additional subscription weeks retained</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6 weeks</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4–10 weeks</w:t>
            </w:r>
          </w:p>
        </w:tc>
        <w:tc>
          <w:tcPr>
            <w:tcW w:type="dxa" w:w="3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Working estimate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Meal-kit AEBITDA margin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12%–15%</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HelloFresh FY 2025 public results</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One-time implementation cost</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$175,000</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$124K–$207K</w:t>
            </w:r>
          </w:p>
        </w:tc>
        <w:tc>
          <w:tcPr>
            <w:tcW w:type="dxa" w:w="3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Working estimate: engineering, PM, and QA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operating cost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$19.3K–$41.8K</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Working estimate: LLM API usage and maintenance</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NPV discount rate</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3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Standard hurdle rate for software-based investments</w:t>
            </w:r>
          </w:p>
        </w:tc>
      </w:tr>
    </w:tbl>
    <w:p>
      <w:pPr>
        <w:spacing w:after="140" w:before="60"/>
        <w:jc w:val="center"/>
      </w:pPr>
      <w:r>
        <w:rPr>
          <w:rFonts w:ascii="Arial" w:cs="Arial" w:eastAsia="Arial" w:hAnsi="Arial"/>
          <w:i/>
          <w:iCs/>
          <w:color w:val="424242"/>
          <w:sz w:val="19"/>
          <w:szCs w:val="19"/>
        </w:rPr>
        <w:t xml:space="preserve">Table VIII-1. Key Economic Assumptions</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VIII.2  Net Cash Flow Analysis</w:t>
      </w:r>
    </w:p>
    <w:p>
      <w:pPr>
        <w:spacing w:after="80" w:before="80" w:line="276" w:lineRule="auto"/>
        <w:jc w:val="both"/>
      </w:pPr>
      <w:r>
        <w:rPr>
          <w:rFonts w:ascii="Arial" w:cs="Arial" w:eastAsia="Arial" w:hAnsi="Arial"/>
          <w:color w:val="000000"/>
          <w:sz w:val="22"/>
          <w:szCs w:val="22"/>
        </w:rPr>
        <w:t xml:space="preserve">The model proceeds through a chain of derived variables: 7,500 weekly cancellations → 1,950 addressable segment (26%) → 195 retained customers per week (10% CVR) → 1,170 additional active subscribers at any time (× 6-week retention extension) → $87,750 incremental weekly revenue (× $75 AOV) → $4,563,000 incremental annual revenue (× 52 weeks) → $616,005 annual profit contribution (× 13.5% AEBITDA margin).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40"/>
        <w:gridCol w:w="1540"/>
        <w:gridCol w:w="1540"/>
        <w:gridCol w:w="1640"/>
      </w:tblGrid>
      <w:tr>
        <w:trPr>
          <w:tblHeader/>
        </w:trPr>
        <w:tc>
          <w:tcPr>
            <w:tcW w:type="dxa" w:w="3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Cash Flow Item</w:t>
            </w:r>
          </w:p>
        </w:tc>
        <w:tc>
          <w:tcPr>
            <w:tcW w:type="dxa" w:w="154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FY 0</w:t>
            </w:r>
          </w:p>
        </w:tc>
        <w:tc>
          <w:tcPr>
            <w:tcW w:type="dxa" w:w="154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FY 1</w:t>
            </w:r>
          </w:p>
        </w:tc>
        <w:tc>
          <w:tcPr>
            <w:tcW w:type="dxa" w:w="154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FY 2</w:t>
            </w:r>
          </w:p>
        </w:tc>
        <w:tc>
          <w:tcPr>
            <w:tcW w:type="dxa" w:w="164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FY 3</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Implementation investment</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(–$175,000)</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Annual operating costs</w:t>
            </w:r>
          </w:p>
        </w:tc>
        <w:tc>
          <w:tcPr>
            <w:tcW w:type="dxa" w:w="15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(–$25,000)</w:t>
            </w:r>
          </w:p>
        </w:tc>
        <w:tc>
          <w:tcPr>
            <w:tcW w:type="dxa" w:w="15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(–$25,000)</w:t>
            </w:r>
          </w:p>
        </w:tc>
        <w:tc>
          <w:tcPr>
            <w:tcW w:type="dxa" w:w="16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(–$25,000)</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Incremental AEBITDA contribution</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+$616,005</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+$616,005</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+$616,005</w:t>
            </w:r>
          </w:p>
        </w:tc>
      </w:tr>
      <w:tr>
        <w:tc>
          <w:tcPr>
            <w:tcW w:type="dxa" w:w="3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Net Cash Flow</w:t>
            </w:r>
          </w:p>
        </w:tc>
        <w:tc>
          <w:tcPr>
            <w:tcW w:type="dxa" w:w="15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(–$175,000)</w:t>
            </w:r>
          </w:p>
        </w:tc>
        <w:tc>
          <w:tcPr>
            <w:tcW w:type="dxa" w:w="15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+$591,005</w:t>
            </w:r>
          </w:p>
        </w:tc>
        <w:tc>
          <w:tcPr>
            <w:tcW w:type="dxa" w:w="15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+$591,005</w:t>
            </w:r>
          </w:p>
        </w:tc>
        <w:tc>
          <w:tcPr>
            <w:tcW w:type="dxa" w:w="16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+$591,005</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Cumulative Net Cash Flow</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(–$175,000)</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+$416,005</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+$1,007,010</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+$1,598,015</w:t>
            </w:r>
          </w:p>
        </w:tc>
      </w:tr>
    </w:tbl>
    <w:p>
      <w:pPr>
        <w:spacing w:after="140" w:before="60"/>
        <w:jc w:val="center"/>
      </w:pPr>
      <w:r>
        <w:rPr>
          <w:rFonts w:ascii="Arial" w:cs="Arial" w:eastAsia="Arial" w:hAnsi="Arial"/>
          <w:i/>
          <w:iCs/>
          <w:color w:val="424242"/>
          <w:sz w:val="19"/>
          <w:szCs w:val="19"/>
        </w:rPr>
        <w:t xml:space="preserve">Table VIII-2. Three-Year Net Cash Flow Summary (Conservative Scenario)</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VIII.3  Payback Period, NPV, and ROI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2E7D32"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Payback Period</w:t>
            </w:r>
          </w:p>
        </w:tc>
        <w:tc>
          <w:tcPr>
            <w:tcW w:type="dxa" w:w="7560"/>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40"/>
            </w:tcMar>
          </w:tcPr>
          <w:p>
            <w:r>
              <w:rPr>
                <w:rFonts w:ascii="Arial" w:cs="Arial" w:eastAsia="Arial" w:hAnsi="Arial"/>
                <w:color w:val="000000"/>
                <w:sz w:val="21"/>
                <w:szCs w:val="21"/>
              </w:rPr>
              <w:t xml:space="preserve">$175,000 ÷ $591,005 = 0.296 years ≈ 3.6 months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2E7D32"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Net Present Value (10%, 3-year)</w:t>
            </w:r>
          </w:p>
        </w:tc>
        <w:tc>
          <w:tcPr>
            <w:tcW w:type="dxa" w:w="7560"/>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40"/>
            </w:tcMar>
          </w:tcPr>
          <w:p>
            <w:r>
              <w:rPr>
                <w:rFonts w:ascii="Arial" w:cs="Arial" w:eastAsia="Arial" w:hAnsi="Arial"/>
                <w:color w:val="000000"/>
                <w:sz w:val="21"/>
                <w:szCs w:val="21"/>
              </w:rPr>
              <w:t xml:space="preserve">NPV = –$175,000 + $591,005/(1.1)¹ + $591,005/(1.1)² + $591,005/(1.1)³ ≈ $1,294,742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2E7D32"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Return on Investment (3-year)</w:t>
            </w:r>
          </w:p>
        </w:tc>
        <w:tc>
          <w:tcPr>
            <w:tcW w:type="dxa" w:w="7560"/>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40"/>
            </w:tcMar>
          </w:tcPr>
          <w:p>
            <w:r>
              <w:rPr>
                <w:rFonts w:ascii="Arial" w:cs="Arial" w:eastAsia="Arial" w:hAnsi="Arial"/>
                <w:color w:val="000000"/>
                <w:sz w:val="21"/>
                <w:szCs w:val="21"/>
              </w:rPr>
              <w:t xml:space="preserve">ROI = ($1,848,015 – $250,000) ÷ $250,000 × 100 = 639%  (~$7.39 returned per $1 invested)</w:t>
            </w:r>
          </w:p>
        </w:tc>
      </w:tr>
    </w:tbl>
    <w:p>
      <w:pPr>
        <w:spacing w:after="120" w:before="120"/>
      </w:pPr>
      <w:r>
        <w:t xml:space="preserve"/>
      </w:r>
    </w:p>
    <w:p>
      <w:pPr>
        <w:pStyle w:val="Heading2"/>
        <w:spacing w:after="120" w:before="240"/>
      </w:pPr>
      <w:r>
        <w:rPr>
          <w:rFonts w:ascii="Arial" w:cs="Arial" w:eastAsia="Arial" w:hAnsi="Arial"/>
          <w:b/>
          <w:bCs/>
          <w:color w:val="2E7D32"/>
          <w:sz w:val="26"/>
          <w:szCs w:val="26"/>
        </w:rPr>
        <w:t xml:space="preserve">VIII.4  Limitations and Risk Factors</w:t>
      </w:r>
    </w:p>
    <w:p>
      <w:pPr>
        <w:pStyle w:val="ListParagraph"/>
        <w:numPr>
          <w:ilvl w:val="0"/>
          <w:numId w:val="2"/>
        </w:numPr>
        <w:spacing w:after="60" w:before="60"/>
      </w:pPr>
      <w:r>
        <w:rPr>
          <w:rFonts w:ascii="Arial" w:cs="Arial" w:eastAsia="Arial" w:hAnsi="Arial"/>
          <w:color w:val="000000"/>
          <w:sz w:val="22"/>
          <w:szCs w:val="22"/>
        </w:rPr>
        <w:t xml:space="preserve">Implementation costs are not validated: the $175,000 figure is the project team's interpretation of engineering, PM, and QA requirements. Actual costs may differ based on HelloFresh's internal rates.</w:t>
      </w:r>
    </w:p>
    <w:p>
      <w:pPr>
        <w:pStyle w:val="ListParagraph"/>
        <w:numPr>
          <w:ilvl w:val="0"/>
          <w:numId w:val="2"/>
        </w:numPr>
        <w:spacing w:after="60" w:before="60"/>
      </w:pPr>
      <w:r>
        <w:rPr>
          <w:rFonts w:ascii="Arial" w:cs="Arial" w:eastAsia="Arial" w:hAnsi="Arial"/>
          <w:color w:val="000000"/>
          <w:sz w:val="22"/>
          <w:szCs w:val="22"/>
        </w:rPr>
        <w:t xml:space="preserve">The 26 percent addressable segment figure has been derived from structurally representative dummy data and manual review; actual figures may vary by fiscal year and quarter.</w:t>
      </w:r>
    </w:p>
    <w:p>
      <w:pPr>
        <w:pStyle w:val="ListParagraph"/>
        <w:numPr>
          <w:ilvl w:val="0"/>
          <w:numId w:val="2"/>
        </w:numPr>
        <w:spacing w:after="60" w:before="60"/>
      </w:pPr>
      <w:r>
        <w:rPr>
          <w:rFonts w:ascii="Arial" w:cs="Arial" w:eastAsia="Arial" w:hAnsi="Arial"/>
          <w:color w:val="000000"/>
          <w:sz w:val="22"/>
          <w:szCs w:val="22"/>
        </w:rPr>
        <w:t xml:space="preserve">FY 1–3 benefits are modeled as constant. This does not account for competitive dynamics, which may vary the differentiation value of Life Moments over time.</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IX. Implementation Roadmap</w:t>
      </w:r>
    </w:p>
    <w:p>
      <w:pPr>
        <w:spacing w:after="80" w:before="80" w:line="276" w:lineRule="auto"/>
        <w:jc w:val="both"/>
      </w:pPr>
      <w:r>
        <w:rPr>
          <w:rFonts w:ascii="Arial" w:cs="Arial" w:eastAsia="Arial" w:hAnsi="Arial"/>
          <w:color w:val="000000"/>
          <w:sz w:val="22"/>
          <w:szCs w:val="22"/>
        </w:rPr>
        <w:t xml:space="preserve">This section presents the phased implementation plan for the Green Chef Life Moments system. Every phase is designed to generate evidence that tests the assumptions of the next phase, so that no significant commitment is made on the basis of an unverified premise. The full technical specification — including prompt engineering, privacy compliance, model selection, infrastructure build, and risk register — is provided in Appendix M.</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IX.1  Guiding Principles</w:t>
      </w:r>
    </w:p>
    <w:p>
      <w:pPr>
        <w:spacing w:after="80" w:before="80" w:line="276" w:lineRule="auto"/>
        <w:jc w:val="both"/>
      </w:pPr>
      <w:r>
        <w:rPr>
          <w:rFonts w:ascii="Arial" w:cs="Arial" w:eastAsia="Arial" w:hAnsi="Arial"/>
          <w:color w:val="000000"/>
          <w:sz w:val="22"/>
          <w:szCs w:val="22"/>
        </w:rPr>
        <w:t xml:space="preserve">Six principles govern the design and sequencing of this plan:</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Test silently before acting: the classifier must run in the background for two months without triggering any subscriber outreach before it is permitted to send a message.</w:t>
      </w:r>
    </w:p>
    <w:p>
      <w:pPr>
        <w:pStyle w:val="ListParagraph"/>
        <w:numPr>
          <w:ilvl w:val="0"/>
          <w:numId w:val="2"/>
        </w:numPr>
        <w:spacing w:after="60" w:before="60"/>
      </w:pPr>
      <w:r>
        <w:rPr>
          <w:rFonts w:ascii="Arial" w:cs="Arial" w:eastAsia="Arial" w:hAnsi="Arial"/>
          <w:color w:val="000000"/>
          <w:sz w:val="22"/>
          <w:szCs w:val="22"/>
        </w:rPr>
        <w:t xml:space="preserve">Process in bulk where possible: Anthropic's Batch API costs 50 percent less than standard calls with no quality reduction; all background processing must use this mode.</w:t>
      </w:r>
    </w:p>
    <w:p>
      <w:pPr>
        <w:pStyle w:val="ListParagraph"/>
        <w:numPr>
          <w:ilvl w:val="0"/>
          <w:numId w:val="2"/>
        </w:numPr>
        <w:spacing w:after="60" w:before="60"/>
      </w:pPr>
      <w:r>
        <w:rPr>
          <w:rFonts w:ascii="Arial" w:cs="Arial" w:eastAsia="Arial" w:hAnsi="Arial"/>
          <w:color w:val="000000"/>
          <w:sz w:val="22"/>
          <w:szCs w:val="22"/>
        </w:rPr>
        <w:t xml:space="preserve">Cache the instruction template: prompt caching reduces the cost of the repeated instruction set by up to 90 percent on repeated calls (~$688/year savings at projected volume).</w:t>
      </w:r>
    </w:p>
    <w:p>
      <w:pPr>
        <w:pStyle w:val="ListParagraph"/>
        <w:numPr>
          <w:ilvl w:val="0"/>
          <w:numId w:val="2"/>
        </w:numPr>
        <w:spacing w:after="60" w:before="60"/>
      </w:pPr>
      <w:r>
        <w:rPr>
          <w:rFonts w:ascii="Arial" w:cs="Arial" w:eastAsia="Arial" w:hAnsi="Arial"/>
          <w:color w:val="000000"/>
          <w:sz w:val="22"/>
          <w:szCs w:val="22"/>
        </w:rPr>
        <w:t xml:space="preserve">Filter before classifying: a pre-screen filter removes the 74 percent of comments with no life-context signal before any AI call, reducing annual AI costs to approximately $300–$800.</w:t>
      </w:r>
    </w:p>
    <w:p>
      <w:pPr>
        <w:pStyle w:val="ListParagraph"/>
        <w:numPr>
          <w:ilvl w:val="0"/>
          <w:numId w:val="2"/>
        </w:numPr>
        <w:spacing w:after="60" w:before="60"/>
      </w:pPr>
      <w:r>
        <w:rPr>
          <w:rFonts w:ascii="Arial" w:cs="Arial" w:eastAsia="Arial" w:hAnsi="Arial"/>
          <w:color w:val="000000"/>
          <w:sz w:val="22"/>
          <w:szCs w:val="22"/>
        </w:rPr>
        <w:t xml:space="preserve">Enforce safety rules in code: AI output format, classification validity, confidence scores, and evidence grounding are all validated in code, not trusted to instructions alone.</w:t>
      </w:r>
    </w:p>
    <w:p>
      <w:pPr>
        <w:pStyle w:val="ListParagraph"/>
        <w:numPr>
          <w:ilvl w:val="0"/>
          <w:numId w:val="2"/>
        </w:numPr>
        <w:spacing w:after="60" w:before="60"/>
      </w:pPr>
      <w:r>
        <w:rPr>
          <w:rFonts w:ascii="Arial" w:cs="Arial" w:eastAsia="Arial" w:hAnsi="Arial"/>
          <w:color w:val="000000"/>
          <w:sz w:val="22"/>
          <w:szCs w:val="22"/>
        </w:rPr>
        <w:t xml:space="preserve">Build outcome tracking before the first test: the pipeline measuring whether classified subscribers returned must be built and tested before Phase 1 begins.</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IX.2  Phase Deployment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500"/>
        <w:gridCol w:w="1500"/>
        <w:gridCol w:w="3160"/>
      </w:tblGrid>
      <w:tr>
        <w:trPr>
          <w:tblHeader/>
        </w:trPr>
        <w:tc>
          <w:tcPr>
            <w:tcW w:type="dxa" w:w="1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Subscribers Contacted?</w:t>
            </w:r>
          </w:p>
        </w:tc>
        <w:tc>
          <w:tcPr>
            <w:tcW w:type="dxa" w:w="31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Gate to Advance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Pre-launch</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Before Month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Legal checks, technical build, privacy compliance, checklist completion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pre-launch checklist items confirmed</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1: Silent Validation</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Months 1–2</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AI classifies all cancellations silently overnight; no outreach of any kind</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≥75% AI/human agreement; error rate &lt;2%; volume within ±20% of projection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2: Controlled Pilot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 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Personalised messages sent to 20% of recoverable cases; 80% receive standard cancellation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20% of recoverable cases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Treatment group resubscribes at a statistically higher rate than control group</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3: Full Deployment</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Months 4–6</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All recoverable cases receive personalised outreach; same system deployed at the pause step</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Yes — all recoverable cases</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Pause-to-cancellation rate drops ≥15% from pre-Phase 2 baseline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4: Win-Back &amp; Early Warning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Months 7–12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Time-targeted win-back messages for lapsed subscribers; weekly at-risk scoring for active subscribers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 lapsed and at-risk subscribers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90-day reactivation rate ≥10% above generic win-back</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5: Full Lifecycle Intelligence</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Months 13–18</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Life-context question at sign-up; periodic check-ins; returning subscriber personalisation</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Yes — full subscriber lifecycle</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Subscriber lifetime value improves for enriched-profile cohort at 12-month evaluation</w:t>
            </w:r>
          </w:p>
        </w:tc>
      </w:tr>
    </w:tbl>
    <w:p>
      <w:pPr>
        <w:spacing w:after="140" w:before="60"/>
        <w:jc w:val="center"/>
      </w:pPr>
      <w:r>
        <w:rPr>
          <w:rFonts w:ascii="Arial" w:cs="Arial" w:eastAsia="Arial" w:hAnsi="Arial"/>
          <w:i/>
          <w:iCs/>
          <w:color w:val="424242"/>
          <w:sz w:val="19"/>
          <w:szCs w:val="19"/>
        </w:rPr>
        <w:t xml:space="preserve">Table IX-1. Phase Deployment Overview</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IX.3  Pre-Launch Requirements</w:t>
      </w:r>
    </w:p>
    <w:p>
      <w:pPr>
        <w:spacing w:after="80" w:before="80" w:line="276" w:lineRule="auto"/>
        <w:jc w:val="both"/>
      </w:pPr>
      <w:r>
        <w:rPr>
          <w:rFonts w:ascii="Arial" w:cs="Arial" w:eastAsia="Arial" w:hAnsi="Arial"/>
          <w:color w:val="000000"/>
          <w:sz w:val="22"/>
          <w:szCs w:val="22"/>
        </w:rPr>
        <w:t xml:space="preserve">All of the following must be confirmed before any subscriber comment is processed:</w:t>
      </w:r>
    </w:p>
    <w:p>
      <w:pPr>
        <w:spacing w:after="6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Data agreement with Anthropic signed (Anthropic's standard DPA, available through their API console).</w:t>
      </w:r>
    </w:p>
    <w:p>
      <w:pPr>
        <w:pStyle w:val="ListParagraph"/>
        <w:numPr>
          <w:ilvl w:val="0"/>
          <w:numId w:val="3"/>
        </w:numPr>
        <w:spacing w:after="60" w:before="60"/>
      </w:pPr>
      <w:r>
        <w:rPr>
          <w:rFonts w:ascii="Arial" w:cs="Arial" w:eastAsia="Arial" w:hAnsi="Arial"/>
          <w:color w:val="000000"/>
          <w:sz w:val="22"/>
          <w:szCs w:val="22"/>
        </w:rPr>
        <w:t xml:space="preserve">California automated decision-making (ADMT) legal assessment complete; opt-out mechanism built if required under 2026 CCPA regulations.</w:t>
      </w:r>
    </w:p>
    <w:p>
      <w:pPr>
        <w:pStyle w:val="ListParagraph"/>
        <w:numPr>
          <w:ilvl w:val="0"/>
          <w:numId w:val="3"/>
        </w:numPr>
        <w:spacing w:after="60" w:before="60"/>
      </w:pPr>
      <w:r>
        <w:rPr>
          <w:rFonts w:ascii="Arial" w:cs="Arial" w:eastAsia="Arial" w:hAnsi="Arial"/>
          <w:color w:val="000000"/>
          <w:sz w:val="22"/>
          <w:szCs w:val="22"/>
        </w:rPr>
        <w:t xml:space="preserve">Personal information removal pipeline built and tested: account ID pseudonymization, pattern-matching for PII, NER-based name detection, and AI output scanning.</w:t>
      </w:r>
    </w:p>
    <w:p>
      <w:pPr>
        <w:pStyle w:val="ListParagraph"/>
        <w:numPr>
          <w:ilvl w:val="0"/>
          <w:numId w:val="3"/>
        </w:numPr>
        <w:spacing w:after="60" w:before="60"/>
      </w:pPr>
      <w:r>
        <w:rPr>
          <w:rFonts w:ascii="Arial" w:cs="Arial" w:eastAsia="Arial" w:hAnsi="Arial"/>
          <w:color w:val="000000"/>
          <w:sz w:val="22"/>
          <w:szCs w:val="22"/>
        </w:rPr>
        <w:t xml:space="preserve">AI output validation checks built: format check, classification check, confidence check (threshold 0.6), and evidence grounding check (hallucination detection).</w:t>
      </w:r>
    </w:p>
    <w:p>
      <w:pPr>
        <w:pStyle w:val="ListParagraph"/>
        <w:numPr>
          <w:ilvl w:val="0"/>
          <w:numId w:val="3"/>
        </w:numPr>
        <w:spacing w:after="60" w:before="60"/>
      </w:pPr>
      <w:r>
        <w:rPr>
          <w:rFonts w:ascii="Arial" w:cs="Arial" w:eastAsia="Arial" w:hAnsi="Arial"/>
          <w:color w:val="000000"/>
          <w:sz w:val="22"/>
          <w:szCs w:val="22"/>
        </w:rPr>
        <w:t xml:space="preserve">Results database created with 180-day automatic deletion configured.</w:t>
      </w:r>
    </w:p>
    <w:p>
      <w:pPr>
        <w:pStyle w:val="ListParagraph"/>
        <w:numPr>
          <w:ilvl w:val="0"/>
          <w:numId w:val="3"/>
        </w:numPr>
        <w:spacing w:after="60" w:before="60"/>
      </w:pPr>
      <w:r>
        <w:rPr>
          <w:rFonts w:ascii="Arial" w:cs="Arial" w:eastAsia="Arial" w:hAnsi="Arial"/>
          <w:color w:val="000000"/>
          <w:sz w:val="22"/>
          <w:szCs w:val="22"/>
        </w:rPr>
        <w:t xml:space="preserve">Outcome tracking queries (7-day and 30-day) tested against CRM staging environment.</w:t>
      </w:r>
    </w:p>
    <w:p>
      <w:pPr>
        <w:pStyle w:val="ListParagraph"/>
        <w:numPr>
          <w:ilvl w:val="0"/>
          <w:numId w:val="3"/>
        </w:numPr>
        <w:spacing w:after="60" w:before="60"/>
      </w:pPr>
      <w:r>
        <w:rPr>
          <w:rFonts w:ascii="Arial" w:cs="Arial" w:eastAsia="Arial" w:hAnsi="Arial"/>
          <w:color w:val="000000"/>
          <w:sz w:val="22"/>
          <w:szCs w:val="22"/>
        </w:rPr>
        <w:t xml:space="preserve">Performance dashboard live before the first classification record is written.</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recommended AI model for all Life Moments classification calls is Claude Sonnet 4.6 (Batch API mode). Claude Haiku 4.5 is insufficient for the multi-part reasoning this task requires; Claude Opus 4.6 is reserved for cases escalated to human review. Annual AI API cost at projected volume, after caching and pre-screen filtering: approximately $300–$800.</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IX.4  First 30 Days: Immediate Actions</w:t>
      </w:r>
    </w:p>
    <w:p>
      <w:pPr>
        <w:spacing w:after="80" w:before="80" w:line="276" w:lineRule="auto"/>
        <w:jc w:val="both"/>
      </w:pPr>
      <w:r>
        <w:rPr>
          <w:rFonts w:ascii="Arial" w:cs="Arial" w:eastAsia="Arial" w:hAnsi="Arial"/>
          <w:color w:val="000000"/>
          <w:sz w:val="22"/>
          <w:szCs w:val="22"/>
        </w:rPr>
        <w:t xml:space="preserve">Five actions are needed within 30 days of this report's submission to maintain momentum and target a Month 1 shadow mode start:</w:t>
      </w:r>
    </w:p>
    <w:p>
      <w:pPr>
        <w:spacing w:after="6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HelloFresh legal initiates the California ADMT assessment — the longest-lead item and the gate that blocks everything else.</w:t>
      </w:r>
    </w:p>
    <w:p>
      <w:pPr>
        <w:pStyle w:val="ListParagraph"/>
        <w:numPr>
          <w:ilvl w:val="0"/>
          <w:numId w:val="3"/>
        </w:numPr>
        <w:spacing w:after="60" w:before="60"/>
      </w:pPr>
      <w:r>
        <w:rPr>
          <w:rFonts w:ascii="Arial" w:cs="Arial" w:eastAsia="Arial" w:hAnsi="Arial"/>
          <w:color w:val="000000"/>
          <w:sz w:val="22"/>
          <w:szCs w:val="22"/>
        </w:rPr>
        <w:t xml:space="preserve">HelloFresh legal initiates the data agreement with Anthropic — runs in parallel; is an administrative task, not a negotiation.</w:t>
      </w:r>
    </w:p>
    <w:p>
      <w:pPr>
        <w:pStyle w:val="ListParagraph"/>
        <w:numPr>
          <w:ilvl w:val="0"/>
          <w:numId w:val="3"/>
        </w:numPr>
        <w:spacing w:after="60" w:before="60"/>
      </w:pPr>
      <w:r>
        <w:rPr>
          <w:rFonts w:ascii="Arial" w:cs="Arial" w:eastAsia="Arial" w:hAnsi="Arial"/>
          <w:color w:val="000000"/>
          <w:sz w:val="22"/>
          <w:szCs w:val="22"/>
        </w:rPr>
        <w:t xml:space="preserve">HelloFresh engineering confirms resource availability for the Phase 1 infrastructure build (one engineer, three to four weeks). If not confirmed within 30 days, a low-code automation bridge (Make.com or Zapier) is initiated so shadow mode begins on schedule.</w:t>
      </w:r>
    </w:p>
    <w:p>
      <w:pPr>
        <w:pStyle w:val="ListParagraph"/>
        <w:numPr>
          <w:ilvl w:val="0"/>
          <w:numId w:val="3"/>
        </w:numPr>
        <w:spacing w:after="60" w:before="60"/>
      </w:pPr>
      <w:r>
        <w:rPr>
          <w:rFonts w:ascii="Arial" w:cs="Arial" w:eastAsia="Arial" w:hAnsi="Arial"/>
          <w:color w:val="000000"/>
          <w:sz w:val="22"/>
          <w:szCs w:val="22"/>
        </w:rPr>
        <w:t xml:space="preserve">Kayla Baber reviews the classification prompt in Appendix M for brand tone and factual accuracy. Any revisions are incorporated by the project team within one week.</w:t>
      </w:r>
    </w:p>
    <w:p>
      <w:pPr>
        <w:pStyle w:val="ListParagraph"/>
        <w:numPr>
          <w:ilvl w:val="0"/>
          <w:numId w:val="3"/>
        </w:numPr>
        <w:spacing w:after="60" w:before="60"/>
      </w:pPr>
      <w:r>
        <w:rPr>
          <w:rFonts w:ascii="Arial" w:cs="Arial" w:eastAsia="Arial" w:hAnsi="Arial"/>
          <w:color w:val="000000"/>
          <w:sz w:val="22"/>
          <w:szCs w:val="22"/>
        </w:rPr>
        <w:t xml:space="preserve">Outcome tracking pipeline built and confirmed working before the first classification record is written to the database.</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X. Conclusions</w:t>
      </w:r>
    </w:p>
    <w:p>
      <w:pPr>
        <w:spacing w:after="80" w:before="80" w:line="276" w:lineRule="auto"/>
        <w:jc w:val="both"/>
      </w:pPr>
      <w:r>
        <w:rPr>
          <w:rFonts w:ascii="Arial" w:cs="Arial" w:eastAsia="Arial" w:hAnsi="Arial"/>
          <w:color w:val="000000"/>
          <w:sz w:val="22"/>
          <w:szCs w:val="22"/>
        </w:rPr>
        <w:t xml:space="preserve">Green Chef faces a structural and addressable retention gap. Q1 2026 data confirms that 21.86 percent of all cancellations — averaging 389 subscribers per week — are driven by temporary life disruptions, not permanent dissatisfaction. These subscribers exit with positive brand sentiment and receive no differentiated response from the current system. Every week this gap persists, Green Chef incurs unnecessary re-acquisition costs and forgoes the incremental revenue that retention would have generated.</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Life Moments system addresses this gap directly, within HelloFresh's existing infrastructure, at a cost that is small relative to the revenue it protects. The three-year financial profile — a 3.6-month payback period, a $1.3 million NPV, and a 639 percent ROI under conservative assumptions — reflects the fundamental economics of the concept: a fixed, one-time implementation cost applied against a weekly-replenishing, recurring-revenue opportunity.</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strategic case is equally strong. Green Chef's USDA organic certification and goal-specific subscriber base create a brand relationship that is inherently more resilient and more recoverable than general convenience subscriptions, but only if the brand has the capability to recognize and respond to the moments when that relationship is disrupted. Life Moments builds that capability.</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No competitor currently occupies the intersection of high health specificity and emotional intelligence in retention. The Life Moments investment is therefore not only a retention initiative — it is a competitive positioning decision that becomes harder to replicate the earlier it is made.</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project team recommends proceeding with the pre-launch checklist and Phase 1 shadow mode on the timeline outlined in Section IX. All significant financial and operational commitments are gated on real evidence from Phase 2, ensuring that HelloFresh retains full optionality throughout the early phases.</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XI. Acknowledgements</w:t>
      </w:r>
    </w:p>
    <w:p>
      <w:pPr>
        <w:spacing w:after="80" w:before="80" w:line="276" w:lineRule="auto"/>
        <w:jc w:val="both"/>
      </w:pPr>
      <w:r>
        <w:rPr>
          <w:rFonts w:ascii="Arial" w:cs="Arial" w:eastAsia="Arial" w:hAnsi="Arial"/>
          <w:color w:val="000000"/>
          <w:sz w:val="22"/>
          <w:szCs w:val="22"/>
        </w:rPr>
        <w:t xml:space="preserve">The project team extends sincere appreciation to the following individuals and organizations: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Kayla Baber, Product Manager at Green Chef / HelloFresh SE, for availability, clarity of guidance, and willingness to engage with the team's analytical directions throughout the project. The data access and project scope provided by the HelloFresh Green Chef team made this work possible.</w:t>
      </w:r>
    </w:p>
    <w:p>
      <w:pPr>
        <w:pStyle w:val="ListParagraph"/>
        <w:numPr>
          <w:ilvl w:val="0"/>
          <w:numId w:val="2"/>
        </w:numPr>
        <w:spacing w:after="60" w:before="60"/>
      </w:pPr>
      <w:r>
        <w:rPr>
          <w:rFonts w:ascii="Arial" w:cs="Arial" w:eastAsia="Arial" w:hAnsi="Arial"/>
          <w:color w:val="000000"/>
          <w:sz w:val="22"/>
          <w:szCs w:val="22"/>
        </w:rPr>
        <w:t xml:space="preserve">Prof. Sean Raines, Adjunct Faculty, Pamplin College of Business' Department of Management, Virginia Tech, for academic guidance, feedback on analytical methodology, and support throughout the MSBA-GBA Capstone program.</w:t>
      </w:r>
    </w:p>
    <w:p>
      <w:pPr>
        <w:pStyle w:val="ListParagraph"/>
        <w:numPr>
          <w:ilvl w:val="0"/>
          <w:numId w:val="2"/>
        </w:numPr>
        <w:spacing w:after="60" w:before="60"/>
      </w:pPr>
      <w:r>
        <w:rPr>
          <w:rFonts w:ascii="Arial" w:cs="Arial" w:eastAsia="Arial" w:hAnsi="Arial"/>
          <w:color w:val="000000"/>
          <w:sz w:val="22"/>
          <w:szCs w:val="22"/>
        </w:rPr>
        <w:t xml:space="preserve">The Virginia Tech Center for Business Analytics and the MSBA-GBA program faculty for the framework within which this project was conducted.</w:t>
      </w:r>
    </w:p>
    <w:p>
      <w:pPr>
        <w:spacing w:after="200" w:before="200"/>
      </w:pPr>
      <w:r>
        <w:t xml:space="preserve"/>
      </w:r>
    </w:p>
    <w:p>
      <w:pPr>
        <w:pStyle w:val="Heading1"/>
        <w:pBdr>
          <w:bottom w:val="single" w:color="2E7D32" w:sz="6" w:space="4"/>
        </w:pBdr>
        <w:spacing w:after="160" w:before="320"/>
      </w:pPr>
      <w:r>
        <w:rPr>
          <w:rFonts w:ascii="Arial" w:cs="Arial" w:eastAsia="Arial" w:hAnsi="Arial"/>
          <w:b/>
          <w:bCs/>
          <w:color w:val="1B5E20"/>
          <w:sz w:val="32"/>
          <w:szCs w:val="32"/>
        </w:rPr>
        <w:t xml:space="preserve">XII. References</w:t>
      </w:r>
    </w:p>
    <w:p>
      <w:pPr>
        <w:spacing w:after="80" w:before="80" w:line="276" w:lineRule="auto"/>
        <w:jc w:val="both"/>
      </w:pPr>
      <w:r>
        <w:rPr>
          <w:rFonts w:ascii="Arial" w:cs="Arial" w:eastAsia="Arial" w:hAnsi="Arial"/>
          <w:color w:val="000000"/>
          <w:sz w:val="22"/>
          <w:szCs w:val="22"/>
        </w:rPr>
        <w:t xml:space="preserve">[To be completed upon finalization of all analytical sections.]</w:t>
      </w:r>
    </w:p>
    <w:p>
      <w:pPr>
        <w:spacing w:after="60" w:before="60"/>
      </w:pPr>
      <w:r>
        <w:t xml:space="preserve"/>
      </w:r>
    </w:p>
    <w:p>
      <w:pPr>
        <w:spacing w:after="80" w:before="80" w:line="276" w:lineRule="auto"/>
        <w:jc w:val="both"/>
      </w:pPr>
      <w:r>
        <w:rPr>
          <w:rFonts w:ascii="Arial" w:cs="Arial" w:eastAsia="Arial" w:hAnsi="Arial"/>
          <w:color w:val="000000"/>
          <w:sz w:val="22"/>
          <w:szCs w:val="22"/>
        </w:rPr>
        <w:t xml:space="preserve">Chen, H., and Mankad, S. (2024). Topic modeling for customer feedback analysis. Journal of Business Analytics, forthcoming.</w:t>
      </w:r>
    </w:p>
    <w:p>
      <w:pPr>
        <w:spacing w:after="40" w:before="40"/>
      </w:pPr>
      <w:r>
        <w:t xml:space="preserve"/>
      </w:r>
    </w:p>
    <w:p>
      <w:pPr>
        <w:spacing w:after="80" w:before="80" w:line="276" w:lineRule="auto"/>
        <w:jc w:val="both"/>
      </w:pPr>
      <w:r>
        <w:rPr>
          <w:rFonts w:ascii="Arial" w:cs="Arial" w:eastAsia="Arial" w:hAnsi="Arial"/>
          <w:color w:val="000000"/>
          <w:sz w:val="22"/>
          <w:szCs w:val="22"/>
        </w:rPr>
        <w:t xml:space="preserve">Stein, M., et al. (2025). Data-driven personalization and firm performance. Harvard Business Review, March/April 2025.</w:t>
      </w:r>
    </w:p>
    <w:p>
      <w:pPr>
        <w:spacing w:after="40" w:before="40"/>
      </w:pPr>
      <w:r>
        <w:t xml:space="preserve"/>
      </w:r>
    </w:p>
    <w:p>
      <w:pPr>
        <w:spacing w:after="80" w:before="80" w:line="276" w:lineRule="auto"/>
        <w:jc w:val="both"/>
      </w:pPr>
      <w:r>
        <w:rPr>
          <w:rFonts w:ascii="Arial" w:cs="Arial" w:eastAsia="Arial" w:hAnsi="Arial"/>
          <w:color w:val="000000"/>
          <w:sz w:val="22"/>
          <w:szCs w:val="22"/>
        </w:rPr>
        <w:t xml:space="preserve">Zhang, M., and Narayandas, D. (2025). AI assistance in customer service: Evidence from a field experiment. Working paper, Harvard Business School.</w:t>
      </w:r>
    </w:p>
    <w:p>
      <w:pPr>
        <w:spacing w:after="40" w:before="40"/>
      </w:pPr>
      <w:r>
        <w:t xml:space="preserve"/>
      </w:r>
    </w:p>
    <w:p>
      <w:pPr>
        <w:spacing w:after="80" w:before="80" w:line="276" w:lineRule="auto"/>
        <w:jc w:val="both"/>
      </w:pPr>
      <w:r>
        <w:rPr>
          <w:rFonts w:ascii="Arial" w:cs="Arial" w:eastAsia="Arial" w:hAnsi="Arial"/>
          <w:color w:val="000000"/>
          <w:sz w:val="22"/>
          <w:szCs w:val="22"/>
        </w:rPr>
        <w:t xml:space="preserve">HelloFresh SE. (2025). FY 2025 Preliminary Financial Results. Frankfurt: HelloFresh SE Investor Relations.</w:t>
      </w:r>
    </w:p>
    <w:p>
      <w:pPr>
        <w:spacing w:after="40" w:before="40"/>
      </w:pPr>
      <w:r>
        <w:t xml:space="preserve"/>
      </w:r>
    </w:p>
    <w:p>
      <w:pPr>
        <w:spacing w:after="80" w:before="80" w:line="276" w:lineRule="auto"/>
        <w:jc w:val="both"/>
      </w:pPr>
      <w:r>
        <w:rPr>
          <w:rFonts w:ascii="Arial" w:cs="Arial" w:eastAsia="Arial" w:hAnsi="Arial"/>
          <w:color w:val="000000"/>
          <w:sz w:val="22"/>
          <w:szCs w:val="22"/>
        </w:rPr>
        <w:t xml:space="preserve">HelloFresh SE. (2025). ReFresh Strategic Initiative Announcement. Frankfurt: HelloFresh SE.</w:t>
      </w:r>
    </w:p>
    <w:p>
      <w:r>
        <w:br w:type="page"/>
      </w:r>
    </w:p>
    <w:p>
      <w:pPr>
        <w:spacing w:after="400" w:before="2400"/>
        <w:jc w:val="center"/>
      </w:pPr>
      <w:r>
        <w:rPr>
          <w:rFonts w:ascii="Arial" w:cs="Arial" w:eastAsia="Arial" w:hAnsi="Arial"/>
          <w:b/>
          <w:bCs/>
          <w:color w:val="2E7D32"/>
          <w:sz w:val="48"/>
          <w:szCs w:val="48"/>
        </w:rPr>
        <w:t xml:space="preserve">APPENDICES</w:t>
      </w:r>
    </w:p>
    <w:p>
      <w:pPr>
        <w:spacing w:after="200" w:before="0"/>
        <w:jc w:val="center"/>
      </w:pPr>
      <w:r>
        <w:rPr>
          <w:rFonts w:ascii="Arial" w:cs="Arial" w:eastAsia="Arial" w:hAnsi="Arial"/>
          <w:i/>
          <w:iCs/>
          <w:color w:val="424242"/>
          <w:sz w:val="28"/>
          <w:szCs w:val="28"/>
        </w:rPr>
        <w:t xml:space="preserve">Supplementary Material</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A. Green Chef Dietary Plan Categories</w:t>
      </w:r>
    </w:p>
    <w:p>
      <w:pPr>
        <w:spacing w:after="80" w:before="80" w:line="276" w:lineRule="auto"/>
        <w:jc w:val="both"/>
      </w:pPr>
      <w:r>
        <w:rPr>
          <w:rFonts w:ascii="Arial" w:cs="Arial" w:eastAsia="Arial" w:hAnsi="Arial"/>
          <w:color w:val="000000"/>
          <w:sz w:val="22"/>
          <w:szCs w:val="22"/>
        </w:rPr>
        <w:t xml:space="preserve">Green Chef offers five primary dietary plan categories in the United States, each targeting a distinct subscriber motivation and health goal: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3860"/>
      </w:tblGrid>
      <w:tr>
        <w:trPr>
          <w:tblHeader/>
        </w:trPr>
        <w:tc>
          <w:tcPr>
            <w:tcW w:type="dxa" w:w="16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Plan Category</w:t>
            </w:r>
          </w:p>
        </w:tc>
        <w:tc>
          <w:tcPr>
            <w:tcW w:type="dxa" w:w="1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Target Subscriber</w:t>
            </w:r>
          </w:p>
        </w:tc>
        <w:tc>
          <w:tcPr>
            <w:tcW w:type="dxa" w:w="2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Key Nutritional Focus</w:t>
            </w:r>
          </w:p>
        </w:tc>
        <w:tc>
          <w:tcPr>
            <w:tcW w:type="dxa" w:w="38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Typical Subscriber Motivation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Mediterranean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Cardiovascular health-conscious adults</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Heart-healthy fats, lean proteins, whole grains, legumes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Managing cardiovascular risk; physician recommendation</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Plant-Based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Vegan / vegetarian consumers; eco-conscious</w:t>
            </w:r>
          </w:p>
        </w:tc>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Complete protein from plant sources; micronutrient balance</w:t>
            </w:r>
          </w:p>
        </w:tc>
        <w:tc>
          <w:tcPr>
            <w:tcW w:type="dxa" w:w="3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Environmental values; animal welfare; digestive health</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Keto / Low-Carb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Weight management; blood glucose control</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fat, adequate protein, very low carbohydrate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Weight loss; diabetes management; metabolic health</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 Protein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Active adults; athletic performance optimization</w:t>
            </w:r>
          </w:p>
        </w:tc>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Elevated protein per serving; lean meat and fish focus</w:t>
            </w:r>
          </w:p>
        </w:tc>
        <w:tc>
          <w:tcPr>
            <w:tcW w:type="dxa" w:w="3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Muscle building; athletic recovery; performance nutrition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Calorie-Conscious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Weight loss; portion control</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Calorie-capped meals with balanced macronutrient distribution</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Structured weight management; post-surgery recovery</w:t>
            </w:r>
          </w:p>
        </w:tc>
      </w:tr>
    </w:tbl>
    <w:p>
      <w:pPr>
        <w:spacing w:after="140" w:before="60"/>
        <w:jc w:val="center"/>
      </w:pPr>
      <w:r>
        <w:rPr>
          <w:rFonts w:ascii="Arial" w:cs="Arial" w:eastAsia="Arial" w:hAnsi="Arial"/>
          <w:i/>
          <w:iCs/>
          <w:color w:val="424242"/>
          <w:sz w:val="19"/>
          <w:szCs w:val="19"/>
        </w:rPr>
        <w:t xml:space="preserve">Table A-1. Green Chef Dietary Plan Categories and Subscriber Profiles</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Green Chef's USDA Organic Certification applies across all plan categories, distinguishing the brand from competitors offering similar dietary frameworks without certified organic sourcing. This certification is a key brand pillar and a primary driver of subscriber loyalty among health-motivated consumers.</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B. Glossary of Key Project Terms</w:t>
      </w:r>
    </w:p>
    <w:p>
      <w:pPr>
        <w:spacing w:after="80" w:before="80" w:line="276" w:lineRule="auto"/>
        <w:jc w:val="both"/>
      </w:pPr>
      <w:r>
        <w:rPr>
          <w:rFonts w:ascii="Arial" w:cs="Arial" w:eastAsia="Arial" w:hAnsi="Arial"/>
          <w:color w:val="000000"/>
          <w:sz w:val="22"/>
          <w:szCs w:val="22"/>
        </w:rPr>
        <w:t xml:space="preserve">The following terms are used throughout this report. Technical AI deployment terms specific to the implementation roadmap are defined separately in Appendix 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High-Potential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label for subscribers leaving due to a temporary personal life circumstance, with neutral or positive brand sentiment. These subscribers are considered recoverable with targeted outreach.</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Low-Potential</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Classification label for subscribers leaving primarily due to product dissatisfaction — pricing, taste, or fundamental misalignment. Automated retention offers are unlikely to produce sustained resubscription.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Release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label for subscribers whose comments do not contain sufficient signal to classify reliably. These subscribers receive a warm farewell message with no retention offer.</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Life-Context Category</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One of six named personal circumstances: Budget Pressure, Schedule Change, Health Event, Work Travel, New Arrival, and Relocation. A seventh catch-all category (Other) captures recognisable life events outside the named set.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Priority Intervention Score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0–100 score assigned by the AI classifier reflecting the strength of positive brand sentiment, life-context signal, and expressed return intent. Scores 75–100 are classified as Urgent; 50–74 as High-Priority.</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Recoverability</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Assessment of whether a subscriber who has cancelled is likely to resubscribe if contacted with the right offer at the right time, based on four dimensions: temporariness of departure reason, externality of reason to the product, emotional tone toward the brand, and pre-cancellation engagement quality.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Level 1–4 Taxonomy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Green Chef's existing four-level hierarchical classification system for subscriber exit feedback, comprising approximately 15 granular categories. Functions for aggregate trend reporting; insufficient for individualized intervention.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LLM / Large Language Model</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 type of AI model capable of understanding and generating natural language text. Used in the Life Moments system to read subscriber cancellation comments and output structured classification results.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AEBITDA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Adjusted Earnings Before Interest, Taxes, Depreciation, and Amortization. HelloFresh's primary reported profitability metric, used as the basis for the economic analysis in Section VIII.</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CLV / Customer Lifetime Value</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The total revenue a subscriber generates over the full duration of their relationship with Green Chef. Improving CLV is the long-term financial objective of Phase 5 of the implementation roadmap.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JTBD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Jobs-to-Be-Done. A strategic framework that characterizes why customers hire (and fire) a service based on the functional and emotional outcomes they are trying to achieve.</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ReFresh Initiative</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HelloFresh's publicly announced strategic program targeting doubled meal variety, new pescatarian options, larger portions, and a subscriber loyalty program as mechanisms to sustain revenue from the existing customer base.</w:t>
            </w:r>
          </w:p>
        </w:tc>
      </w:tr>
    </w:tbl>
    <w:p>
      <w:pPr>
        <w:spacing w:after="140" w:before="60"/>
        <w:jc w:val="center"/>
      </w:pPr>
      <w:r>
        <w:rPr>
          <w:rFonts w:ascii="Arial" w:cs="Arial" w:eastAsia="Arial" w:hAnsi="Arial"/>
          <w:i/>
          <w:iCs/>
          <w:color w:val="424242"/>
          <w:sz w:val="19"/>
          <w:szCs w:val="19"/>
        </w:rPr>
        <w:t xml:space="preserve">Table B-1. Key Project Terms Glossary</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C. Project Timeline</w:t>
      </w:r>
    </w:p>
    <w:p>
      <w:pPr>
        <w:spacing w:after="80" w:before="80" w:line="276" w:lineRule="auto"/>
        <w:jc w:val="both"/>
      </w:pPr>
      <w:r>
        <w:rPr>
          <w:rFonts w:ascii="Arial" w:cs="Arial" w:eastAsia="Arial" w:hAnsi="Arial"/>
          <w:color w:val="000000"/>
          <w:sz w:val="22"/>
          <w:szCs w:val="22"/>
        </w:rPr>
        <w:t xml:space="preserve">The following timeline summarizes the major milestones and sprint schedule governing the Green Chef capstone project from initiation through final delivery.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00"/>
        <w:gridCol w:w="3460"/>
      </w:tblGrid>
      <w:tr>
        <w:trPr>
          <w:tblHeader/>
        </w:trPr>
        <w:tc>
          <w:tcPr>
            <w:tcW w:type="dxa" w:w="1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Sprint / Period</w:t>
            </w:r>
          </w:p>
        </w:tc>
        <w:tc>
          <w:tcPr>
            <w:tcW w:type="dxa" w:w="1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3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34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Weeks 1–3</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Sponsor onboarding; project scoping; NDA execution; data access</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 charter; initial SOW draft</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Sprint 2</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Weeks 4–6</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Data inventory and preliminary EDA; taxonomy review; analytical framework design</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Data documentation; analytical approach memo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Weeks 7–9</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 classification methodology development; prompt engineering; dummy data testing</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taxonomy; prompt specification v1</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Sprint 4</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Weeks 10–11</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AI classification of actual Q1 2026 data; 20% manual validation</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Coded dataset; validation report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Weeks 12–13</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Quantitative analysis and visualization; competitive benchmarking; 7Ps assessment</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Analysis workbook; benchmark report</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Sprint 6</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Weeks 14–15</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Life Moments product concept design; economic model development</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Product concept specification; economic model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Weeks 16–17</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Implementation roadmap; risk register; presentation build</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Implementation plan; final presentation deck</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Sprint 8</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Weeks 18–19</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Report finalization; sponsor review; faculty submission</w:t>
            </w:r>
          </w:p>
        </w:tc>
        <w:tc>
          <w:tcPr>
            <w:tcW w:type="dxa" w:w="3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Final capstone report; sponsor presentation</w:t>
            </w:r>
          </w:p>
        </w:tc>
      </w:tr>
    </w:tbl>
    <w:p>
      <w:pPr>
        <w:spacing w:after="140" w:before="60"/>
        <w:jc w:val="center"/>
      </w:pPr>
      <w:r>
        <w:rPr>
          <w:rFonts w:ascii="Arial" w:cs="Arial" w:eastAsia="Arial" w:hAnsi="Arial"/>
          <w:i/>
          <w:iCs/>
          <w:color w:val="424242"/>
          <w:sz w:val="19"/>
          <w:szCs w:val="19"/>
        </w:rPr>
        <w:t xml:space="preserve">Table C-1. Capstone Project Timeline</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D. Data Variable Reference</w:t>
      </w:r>
    </w:p>
    <w:p>
      <w:pPr>
        <w:spacing w:after="80" w:before="80" w:line="276" w:lineRule="auto"/>
        <w:jc w:val="both"/>
      </w:pPr>
      <w:r>
        <w:rPr>
          <w:rFonts w:ascii="Arial" w:cs="Arial" w:eastAsia="Arial" w:hAnsi="Arial"/>
          <w:color w:val="000000"/>
          <w:sz w:val="22"/>
          <w:szCs w:val="22"/>
        </w:rPr>
        <w:t xml:space="preserve">The following table documents the key variables available in the Q1 2026 Green Chef subscription dataset. The dataset spans three Excel workbooks covering cancellation data, pause data, and positive review data. All analysis uses this dataset; no supplementary data sources were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500"/>
        <w:gridCol w:w="2860"/>
      </w:tblGrid>
      <w:tr>
        <w:trPr>
          <w:tblHeader/>
        </w:trPr>
        <w:tc>
          <w:tcPr>
            <w:tcW w:type="dxa" w:w="1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1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ID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Identifier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 for each subscriber order event</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Record linkage</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Integer (1–8)</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Q1 2026 week number of the cancellation or pause event</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Trend analysis (Section V.2)</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Level 1 Category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Categorical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Top-level taxonomy classification (e.g., Product, Price/Value, Operations)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Taxonomy analysis (Section V.3)</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Level 2–4 Categories</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Categorical</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Granular subcategory classifications within Level 1</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Taxonomy analysis (Section V.3)</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Comment Text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 text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Verbatim subscriber comment provided at point of cancellation or pause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 classification (Section V.4)</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Menu Preference</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Categorical</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Subscriber's active dietary plan (Mediterranean, Keto, etc.)</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Cross-tabulation analysis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Pause Reason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Categorical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Taxonomy tag for pause event (e.g., Away, Dietary, Gluten Intolerance)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Pause trend analysis (Section V.2)</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Cancellation Rate</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Numeric (%)</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Weekly cancellation rate as a percentage of active subscriber base</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Trend analysis; economic model</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Pause Rate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Numeric (%)</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Weekly pause rate as a percentage of active subscriber base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Trend analysis</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AI Recoverability Class</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Categorical (3 levels)</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Output of AI classification: High-Potential, Low-Potential, or Release</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All retention analyses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Life-Context Category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Categorical (7 levels)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Output of AI classification: Budget Pressure, Schedule Change, Health Event, Work Travel, New Arrival, Relocation, Other/None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analysis (Section V.4)</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Priority Intervention Score</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Integer (0–100)</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Output of AI classification: urgency score reflecting sentiment, life-context, and return intent</w:t>
            </w:r>
          </w:p>
        </w:tc>
        <w:tc>
          <w:tcPr>
            <w:tcW w:type="dxa" w:w="2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Triage routing (Section VII.2)</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Sentiment Orientation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Categorical (3 levels)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Output of AI classification: Positive, Neutral, or Negative brand sentiment in the comment</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Sentiment divergence analysis (Section V.4)</w:t>
            </w:r>
          </w:p>
        </w:tc>
      </w:tr>
    </w:tbl>
    <w:p>
      <w:pPr>
        <w:spacing w:after="140" w:before="60"/>
        <w:jc w:val="center"/>
      </w:pPr>
      <w:r>
        <w:rPr>
          <w:rFonts w:ascii="Arial" w:cs="Arial" w:eastAsia="Arial" w:hAnsi="Arial"/>
          <w:i/>
          <w:iCs/>
          <w:color w:val="424242"/>
          <w:sz w:val="19"/>
          <w:szCs w:val="19"/>
        </w:rPr>
        <w:t xml:space="preserve">Table D-1. Q1 2026 Dataset Variable Reference</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E. Summary Statistics</w:t>
      </w:r>
    </w:p>
    <w:p>
      <w:pPr>
        <w:spacing w:after="80" w:before="80" w:line="276" w:lineRule="auto"/>
        <w:jc w:val="both"/>
      </w:pPr>
      <w:r>
        <w:rPr>
          <w:rFonts w:ascii="Arial" w:cs="Arial" w:eastAsia="Arial" w:hAnsi="Arial"/>
          <w:color w:val="000000"/>
          <w:sz w:val="22"/>
          <w:szCs w:val="22"/>
        </w:rPr>
        <w:t xml:space="preserve">The following table presents key summary statistics from the Q1 2026 Green Chef subscription dataset used in this analysis. These figures represent the full analytical dataset across Weeks 1 through 8 of Q1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cancellations (Q1 2026, Weeks 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14,231</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cancellation events in the analytical period</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Mean weekly cancellations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1,779</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Calculated across 8 weeks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Weekly cancellation range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1,059 – 1,576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and maximum weekly cancellation volume</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Mean cancellation rate (full historical dataset)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7.62%</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As a percentage of active subscriber base</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Mean pause rate (full historical dataset)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55.10%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Percentage of subscriber base with at least one pause</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High-Potential cancellations (Q1 2026)</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3,111</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21.86% of total cancellations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Mean weekly High-Potential cancellations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389</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Averaged across 8 weeks</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Weekly High-Potential range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334 – 404</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Demonstrates structural stability</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Low-Potential cancellations (Q1 2026)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9,680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68.02% of total cancellations</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Urgent-priority cancellations (score 75–100)</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1,848</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13.0% of total; averaging 231 per week</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High-Potential with positive brand sentiment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1,103</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35.5% of all High-Potential cancellations</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High-Potential with both life-context and product-retention signals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1,235</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42.5% of all High-Potential cancellations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Dominant life-context category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Budget Pressure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2,439 subscribers; 78.4% of named life-context exits</w:t>
            </w:r>
          </w:p>
        </w:tc>
      </w:tr>
    </w:tbl>
    <w:p>
      <w:pPr>
        <w:spacing w:after="140" w:before="60"/>
        <w:jc w:val="center"/>
      </w:pPr>
      <w:r>
        <w:rPr>
          <w:rFonts w:ascii="Arial" w:cs="Arial" w:eastAsia="Arial" w:hAnsi="Arial"/>
          <w:i/>
          <w:iCs/>
          <w:color w:val="424242"/>
          <w:sz w:val="19"/>
          <w:szCs w:val="19"/>
        </w:rPr>
        <w:t xml:space="preserve">Table E-1. Q1 2026 Key Summary Statistics</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F. Analytical Figures Reference</w:t>
      </w:r>
    </w:p>
    <w:p>
      <w:pPr>
        <w:spacing w:after="80" w:before="80" w:line="276" w:lineRule="auto"/>
        <w:jc w:val="both"/>
      </w:pPr>
      <w:r>
        <w:rPr>
          <w:rFonts w:ascii="Arial" w:cs="Arial" w:eastAsia="Arial" w:hAnsi="Arial"/>
          <w:color w:val="000000"/>
          <w:sz w:val="22"/>
          <w:szCs w:val="22"/>
        </w:rPr>
        <w:t xml:space="preserve">The following figures are referenced in the main body of this report. The underlying data and visualization code are available in the project analysis workbook submitted to the sponsor and faculty.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300"/>
        <w:gridCol w:w="4060"/>
      </w:tblGrid>
      <w:tr>
        <w:trPr>
          <w:tblHeader/>
        </w:trPr>
        <w:tc>
          <w:tcPr>
            <w:tcW w:type="dxa" w:w="1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Figure Reference</w:t>
            </w:r>
          </w:p>
        </w:tc>
        <w:tc>
          <w:tcPr>
            <w:tcW w:type="dxa" w:w="2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3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Section Referenced</w:t>
            </w:r>
          </w:p>
        </w:tc>
        <w:tc>
          <w:tcPr>
            <w:tcW w:type="dxa" w:w="40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Figure VI-1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Recoverability by Taxonomy Category (Q1 2026)</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Section V.3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Bar chart showing the distribution of High-Potential, Low-Potential, and Release classifications across all 15 Level 1 taxonomy categories. Demonstrates that product-adjacent language does not imply permanent dissatisfaction.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Figure VI-2</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Weekly Cancellations and Recoverability Trends (Q1 2026)</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Section V.4</w:t>
            </w:r>
          </w:p>
        </w:tc>
        <w:tc>
          <w:tcPr>
            <w:tcW w:type="dxa" w:w="4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Line chart showing weekly total cancellations versus High-Potential cancellations across Weeks 1–8. Illustrates the structural stability of the recoverable segment relative to total cancellation volatility.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Figure VI-3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and Sentiment Divergence Across Recoverability Classes (Q1 2026)</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Section V.4</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Stacked bar chart showing brand sentiment distribution (Positive / Neutral / Negative) within each life-context category, separated by recoverability class. The key diagnostic chart demonstrating that sentiment divergence — not exit reason — determines recoverability.</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Figure IX-1</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Jobs-to-Be-Done Positioning Map</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Section VII.4</w:t>
            </w:r>
          </w:p>
        </w:tc>
        <w:tc>
          <w:tcPr>
            <w:tcW w:type="dxa" w:w="4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Conceptual 2×2 positioning map placing Green Chef and three benchmark competitors on axes of Cooking Involvement Required (Low–High) and Health Positioning Specificity (General–Condition-Specific). Illustrates Green Chef's unique position and the white space occupied by Life Moments.</w:t>
            </w:r>
          </w:p>
        </w:tc>
      </w:tr>
    </w:tbl>
    <w:p>
      <w:pPr>
        <w:spacing w:after="140" w:before="60"/>
        <w:jc w:val="center"/>
      </w:pPr>
      <w:r>
        <w:rPr>
          <w:rFonts w:ascii="Arial" w:cs="Arial" w:eastAsia="Arial" w:hAnsi="Arial"/>
          <w:i/>
          <w:iCs/>
          <w:color w:val="424242"/>
          <w:sz w:val="19"/>
          <w:szCs w:val="19"/>
        </w:rPr>
        <w:t xml:space="preserve">Table F-1. Analytical Figures Reference</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G. AI Classification Methodology and Validation</w:t>
      </w:r>
    </w:p>
    <w:p>
      <w:pPr>
        <w:spacing w:after="80" w:before="80" w:line="276" w:lineRule="auto"/>
        <w:jc w:val="both"/>
      </w:pPr>
      <w:r>
        <w:rPr>
          <w:rFonts w:ascii="Arial" w:cs="Arial" w:eastAsia="Arial" w:hAnsi="Arial"/>
          <w:color w:val="000000"/>
          <w:sz w:val="22"/>
          <w:szCs w:val="22"/>
        </w:rPr>
        <w:t xml:space="preserve">This appendix documents the complete AI classification methodology applied to Q1 2026 Green Chef cancellation data, including the classification schema, prompt specification overview, taxonomy definitions, and manual validation results. Full prompt text and code are available in the project technical repository.</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G.1  Classification Schema</w:t>
      </w:r>
    </w:p>
    <w:p>
      <w:pPr>
        <w:spacing w:after="80" w:before="80" w:line="276" w:lineRule="auto"/>
        <w:jc w:val="both"/>
      </w:pPr>
      <w:r>
        <w:rPr>
          <w:rFonts w:ascii="Arial" w:cs="Arial" w:eastAsia="Arial" w:hAnsi="Arial"/>
          <w:color w:val="000000"/>
          <w:sz w:val="22"/>
          <w:szCs w:val="22"/>
        </w:rPr>
        <w:t xml:space="preserve">The AI classification workflow produces three outputs for each cancellation comment record:</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Recoverability Class: High-Potential, Low-Potential, or Release, based on the four-dimensional rubric described below.</w:t>
      </w:r>
    </w:p>
    <w:p>
      <w:pPr>
        <w:pStyle w:val="ListParagraph"/>
        <w:numPr>
          <w:ilvl w:val="0"/>
          <w:numId w:val="2"/>
        </w:numPr>
        <w:spacing w:after="60" w:before="60"/>
      </w:pPr>
      <w:r>
        <w:rPr>
          <w:rFonts w:ascii="Arial" w:cs="Arial" w:eastAsia="Arial" w:hAnsi="Arial"/>
          <w:color w:val="000000"/>
          <w:sz w:val="22"/>
          <w:szCs w:val="22"/>
        </w:rPr>
        <w:t xml:space="preserve">Life-Context Category: One of seven named categories (Budget Pressure, Schedule Change, Health Event, Work Travel, Relocation, New Arrival, Other) or a null value for comments with no detectable life-context signal.</w:t>
      </w:r>
    </w:p>
    <w:p>
      <w:pPr>
        <w:pStyle w:val="ListParagraph"/>
        <w:numPr>
          <w:ilvl w:val="0"/>
          <w:numId w:val="2"/>
        </w:numPr>
        <w:spacing w:after="60" w:before="60"/>
      </w:pPr>
      <w:r>
        <w:rPr>
          <w:rFonts w:ascii="Arial" w:cs="Arial" w:eastAsia="Arial" w:hAnsi="Arial"/>
          <w:color w:val="000000"/>
          <w:sz w:val="22"/>
          <w:szCs w:val="22"/>
        </w:rPr>
        <w:t xml:space="preserve">Priority Intervention Score: An integer from 0 to 100, where higher scores reflect stronger combinations of positive brand sentiment, explicit life-context signal, and expressed return intent.</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four rubric dimensions used to assess recoverability are: (1) Temporariness of departure reason — is the subscriber leaving due to a circumstance likely to resolve within 12 weeks? (2) Externality of reason — is the departure driven by a life circumstance rather than product dissatisfaction? (3) Emotional tone — does the comment convey positive or neutral sentiment toward Green Chef? (4) Relationship quality — does the comment suggest the subscriber valued the product before departing?</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G.2  Validation Results</w:t>
      </w:r>
    </w:p>
    <w:p>
      <w:pPr>
        <w:spacing w:after="80" w:before="80" w:line="276" w:lineRule="auto"/>
        <w:jc w:val="both"/>
      </w:pPr>
      <w:r>
        <w:rPr>
          <w:rFonts w:ascii="Arial" w:cs="Arial" w:eastAsia="Arial" w:hAnsi="Arial"/>
          <w:color w:val="000000"/>
          <w:sz w:val="22"/>
          <w:szCs w:val="22"/>
        </w:rPr>
        <w:t xml:space="preserve">A 20-percent random sample of Q1 2026 classified records (approximately 2,846 records) was subject to manual review by the project team to validate labeling quality. The validation protocol: reviewers were presented with each comment alongside the AI's classification and supporting evidence, without knowledge of prior reviewer decisions.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800"/>
        <w:gridCol w:w="1500"/>
        <w:gridCol w:w="2960"/>
      </w:tblGrid>
      <w:tr>
        <w:trPr>
          <w:tblHeader/>
        </w:trPr>
        <w:tc>
          <w:tcPr>
            <w:tcW w:type="dxa" w:w="1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Recoverability Class</w:t>
            </w:r>
          </w:p>
        </w:tc>
        <w:tc>
          <w:tcPr>
            <w:tcW w:type="dxa" w:w="13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AI Records</w:t>
            </w:r>
          </w:p>
        </w:tc>
        <w:tc>
          <w:tcPr>
            <w:tcW w:type="dxa" w:w="18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Manual Sample (20%)</w:t>
            </w:r>
          </w:p>
        </w:tc>
        <w:tc>
          <w:tcPr>
            <w:tcW w:type="dxa" w:w="1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Agreement Rate</w:t>
            </w:r>
          </w:p>
        </w:tc>
        <w:tc>
          <w:tcPr>
            <w:tcW w:type="dxa" w:w="29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High-Potential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3,111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622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83.1%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Exceeds 80% quality threshold; primary area of disagreement was Other life-context vs. null classification</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Low-Potential</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9,680</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1,936</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89.4%</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 agreement; most disagreements involved borderline Budget Pressure cases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Release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1,440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288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91.2%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Highest agreement rate; short/vague comments are consistently identifiable</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Overall (weighted average)</w:t>
            </w:r>
          </w:p>
        </w:tc>
        <w:tc>
          <w:tcPr>
            <w:tcW w:type="dxa" w:w="1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14,231</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2,846</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88.2%</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Exceeds the 80% agreement threshold required for Phase 1 exit gate</w:t>
            </w:r>
          </w:p>
        </w:tc>
      </w:tr>
    </w:tbl>
    <w:p>
      <w:pPr>
        <w:spacing w:after="140" w:before="60"/>
        <w:jc w:val="center"/>
      </w:pPr>
      <w:r>
        <w:rPr>
          <w:rFonts w:ascii="Arial" w:cs="Arial" w:eastAsia="Arial" w:hAnsi="Arial"/>
          <w:i/>
          <w:iCs/>
          <w:color w:val="424242"/>
          <w:sz w:val="19"/>
          <w:szCs w:val="19"/>
        </w:rPr>
        <w:t xml:space="preserve">Table G-1. Manual Validation Results by Recoverability Class</w:t>
      </w:r>
    </w:p>
    <w:p>
      <w:pPr>
        <w:spacing w:after="80" w:before="80"/>
      </w:pPr>
      <w:r>
        <w:t xml:space="preserve"/>
      </w:r>
    </w:p>
    <w:p>
      <w:pPr>
        <w:spacing w:after="80" w:before="80" w:line="276" w:lineRule="auto"/>
        <w:jc w:val="both"/>
      </w:pPr>
      <w:r>
        <w:rPr>
          <w:rFonts w:ascii="Arial" w:cs="Arial" w:eastAsia="Arial" w:hAnsi="Arial"/>
          <w:color w:val="000000"/>
          <w:sz w:val="22"/>
          <w:szCs w:val="22"/>
        </w:rPr>
        <w:t xml:space="preserve">The overall weighted agreement rate of 88.2 percent confirms that the AI classification methodology meets the quality threshold established in the implementation roadmap (Section IX). The primary source of disagreement — Other life-context versus null — reflects an inherent ambiguity in comments that contain indirect life-context language, which is addressed in the prompt revision process for Phase 1 of deployment.</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H. Statement of Work Summary</w:t>
      </w:r>
    </w:p>
    <w:p>
      <w:pPr>
        <w:spacing w:after="80" w:before="80" w:line="276" w:lineRule="auto"/>
        <w:jc w:val="both"/>
      </w:pPr>
      <w:r>
        <w:rPr>
          <w:rFonts w:ascii="Arial" w:cs="Arial" w:eastAsia="Arial" w:hAnsi="Arial"/>
          <w:color w:val="000000"/>
          <w:sz w:val="22"/>
          <w:szCs w:val="22"/>
        </w:rPr>
        <w:t xml:space="preserve">This appendix summarizes the formal statement of work governing the Green Chef capstone project. The full SOW is filed with the Virginia Tech MSBA-GBA program and the HelloFresh sponsor contact.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SOW Element</w:t>
            </w:r>
          </w:p>
        </w:tc>
        <w:tc>
          <w:tcPr>
            <w:tcW w:type="dxa" w:w="73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 Title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Green Chef Life Moments: AI-Assisted Subscriber Retention for HelloFresh's Premium Organic Brand</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Project Team</w:t>
            </w:r>
          </w:p>
        </w:tc>
        <w:tc>
          <w:tcPr>
            <w:tcW w:type="dxa" w:w="7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Vignesh Anand, Yash Mahadik, Anrunya Patole, Kshama Purohit — MSBA-GBA Candidates, Pamplin College of Business, Virginia Tech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Faculty Advisor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Prof. Sean Raines, Center for Business Analytics, Pamplin College of Business, Virginia Tech</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Sponsor Contact</w:t>
            </w:r>
          </w:p>
        </w:tc>
        <w:tc>
          <w:tcPr>
            <w:tcW w:type="dxa" w:w="7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Kayla Baber, Product Manager, Green Chef / HelloFresh SE — one hour office hours per week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Governance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analyses conducted under executed NDA. Structurally representative dummy datasets used for methodology design, code development, and public-facing materials. Actual HelloFresh-provided client data used exclusively for internal analysis and final reporting.</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Geographic Scope</w:t>
            </w:r>
          </w:p>
        </w:tc>
        <w:tc>
          <w:tcPr>
            <w:tcW w:type="dxa" w:w="7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U.S. Green Chef subscriber base only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Analytical Period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Q1 2026 (Weeks 1–8) as primary analytical period; full historical dataset for trend analysis</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Primary Deliverables</w:t>
            </w:r>
          </w:p>
        </w:tc>
        <w:tc>
          <w:tcPr>
            <w:tcW w:type="dxa" w:w="7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AI-coded cancellation dataset; quantitative analysis workbook; competitive benchmarking report; Life Moments product concept specification; economic impact assessment; capstone report; sponsor presentation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Submission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written report and product concept presentation submitted to Virginia Tech MSBA-GBA faculty via CANVAS and presented formally to the HelloFresh Green Chef team</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Disclaimer</w:t>
            </w:r>
          </w:p>
        </w:tc>
        <w:tc>
          <w:tcPr>
            <w:tcW w:type="dxa" w:w="7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All conclusions and recommendations are those of the student project team and do not represent the official views or positions of HelloFresh SE or Virginia Tech</w:t>
            </w:r>
          </w:p>
        </w:tc>
      </w:tr>
    </w:tbl>
    <w:p>
      <w:pPr>
        <w:spacing w:after="140" w:before="60"/>
        <w:jc w:val="center"/>
      </w:pPr>
      <w:r>
        <w:rPr>
          <w:rFonts w:ascii="Arial" w:cs="Arial" w:eastAsia="Arial" w:hAnsi="Arial"/>
          <w:i/>
          <w:iCs/>
          <w:color w:val="424242"/>
          <w:sz w:val="19"/>
          <w:szCs w:val="19"/>
        </w:rPr>
        <w:t xml:space="preserve">Table H-1. Statement of Work Summary</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I. Full Competitive SWOT Analyses</w:t>
      </w:r>
    </w:p>
    <w:p>
      <w:pPr>
        <w:spacing w:after="40" w:before="40"/>
      </w:pPr>
      <w:r>
        <w:t xml:space="preserve"/>
      </w:r>
    </w:p>
    <w:p>
      <w:pPr>
        <w:pStyle w:val="Heading2"/>
        <w:spacing w:after="120" w:before="240"/>
      </w:pPr>
      <w:r>
        <w:rPr>
          <w:rFonts w:ascii="Arial" w:cs="Arial" w:eastAsia="Arial" w:hAnsi="Arial"/>
          <w:b/>
          <w:bCs/>
          <w:color w:val="2E7D32"/>
          <w:sz w:val="26"/>
          <w:szCs w:val="26"/>
        </w:rPr>
        <w:t xml:space="preserve">I.1  HungryRoot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1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Strength vs. Green Chef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Quiz-driven food profile with rotating grocery items creates stickiness Green Chef's fixed plans cannot replicate. Most recipes are under 10 minutes. No artificial preservatives or refined sugars.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Weakness vs. Green Chef</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Points-based pricing is opaque. No USDA organic certification. Pre-prepped format alienates culinary enthusiasts. Reviewers flag mismatched macro counts and uneven portions.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Opportunity for Green Chef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Green Chef's hands-on kits appeal to cooking enthusiasts versus HungryRoot's chore-elimination framing. USDA organic messaging can capture consumers who distrust unverified clean-label claims.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Threat to Green Chef</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HungryRoot's evolving food profile creates subscriber stickiness that Green Chef's plan-selection model cannot easily match. Customers who replace their grocery shop with HungryRoot have less reason to maintain a second meal kit subscription.</w:t>
            </w:r>
          </w:p>
        </w:tc>
      </w:tr>
    </w:tbl>
    <w:p>
      <w:pPr>
        <w:spacing w:after="140" w:before="60"/>
        <w:jc w:val="center"/>
      </w:pPr>
      <w:r>
        <w:rPr>
          <w:rFonts w:ascii="Arial" w:cs="Arial" w:eastAsia="Arial" w:hAnsi="Arial"/>
          <w:i/>
          <w:iCs/>
          <w:color w:val="424242"/>
          <w:sz w:val="19"/>
          <w:szCs w:val="19"/>
        </w:rPr>
        <w:t xml:space="preserve">Table I-1. HungryRoot SWOT Analysis</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I.2  Home Chef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1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Strength vs. Green Chef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Available in 98% of U.S. via Kroger; physical retail presence. 35+ weekly options with "Customize It" protein swaps; Express (15-min) tier for convenience. At $7.99–$9.99 per serving vs. Green Chef's $11.99+, wins on value perception.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Weakness vs. Green Chef</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Conventional, non-organic ingredients with minimal diet-specific certifications. Thin vegan and allergen-safe options. Recipes skew toward safe, familiar flavors rather than globally inspired, chef-designed meals.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Opportunity for Green Chef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Home Chef's lack of organic focus leaves a clear lane to own the clean-eating-with-structure niche. Culinary creativity and global inspiration of Green Chef's meals are meaningfully differentiated.</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Threat to Green Chef</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In-store availability allows Home Chef to acquire customers who would never subscribe to a direct-to-consumer service. During economic pressure, Green Chef's premium pricing makes it more vulnerable to trading-down.</w:t>
            </w:r>
          </w:p>
        </w:tc>
      </w:tr>
    </w:tbl>
    <w:p>
      <w:pPr>
        <w:spacing w:after="140" w:before="60"/>
        <w:jc w:val="center"/>
      </w:pPr>
      <w:r>
        <w:rPr>
          <w:rFonts w:ascii="Arial" w:cs="Arial" w:eastAsia="Arial" w:hAnsi="Arial"/>
          <w:i/>
          <w:iCs/>
          <w:color w:val="424242"/>
          <w:sz w:val="19"/>
          <w:szCs w:val="19"/>
        </w:rPr>
        <w:t xml:space="preserve">Table I-2. Home Chef SWOT Analysis</w:t>
      </w:r>
    </w:p>
    <w:p>
      <w:pPr>
        <w:spacing w:after="120" w:before="120"/>
      </w:pPr>
      <w:r>
        <w:t xml:space="preserve"/>
      </w:r>
    </w:p>
    <w:p>
      <w:pPr>
        <w:pStyle w:val="Heading2"/>
        <w:spacing w:after="120" w:before="240"/>
      </w:pPr>
      <w:r>
        <w:rPr>
          <w:rFonts w:ascii="Arial" w:cs="Arial" w:eastAsia="Arial" w:hAnsi="Arial"/>
          <w:b/>
          <w:bCs/>
          <w:color w:val="2E7D32"/>
          <w:sz w:val="26"/>
          <w:szCs w:val="26"/>
        </w:rPr>
        <w:t xml:space="preserve">I.3  Blue Apron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1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Strength vs. Green Chef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Significant brand equity and consumer trust among cooking-engaged demographics. Technique-led recipes with chef instruction appeal to customers who want to improve as cooks. Celebrity chef collaborations and WeightWatchers co-branding add authority.</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Weakness vs. Green Chef</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Conventional ingredients without organic certification. Revenue declining year-over-year. Culinary complexity drives away casual cooks. Less structured approach to keto, paleo, or vegan plans.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Opportunity for Green Chef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Green Chef's structured diet plans offer a natural upgrade path for Blue Apron churners seeking health focus over culinary ambition. Pivoting to certified organic supply chains is costly; Green Chef can widen this gap.</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Threat to Green Chef</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Cooking enthusiasts may prefer Blue Apron's technique-led recipes. If Blue Apron launches certified organic lines, its culinary credibility could make it a stronger organic competitor.</w:t>
            </w:r>
          </w:p>
        </w:tc>
      </w:tr>
    </w:tbl>
    <w:p>
      <w:pPr>
        <w:spacing w:after="140" w:before="60"/>
        <w:jc w:val="center"/>
      </w:pPr>
      <w:r>
        <w:rPr>
          <w:rFonts w:ascii="Arial" w:cs="Arial" w:eastAsia="Arial" w:hAnsi="Arial"/>
          <w:i/>
          <w:iCs/>
          <w:color w:val="424242"/>
          <w:sz w:val="19"/>
          <w:szCs w:val="19"/>
        </w:rPr>
        <w:t xml:space="preserve">Table I-3. Blue Apron SWOT Analysis</w:t>
      </w:r>
    </w:p>
    <w:p>
      <w:r>
        <w:br w:type="page"/>
      </w:r>
    </w:p>
    <w:p>
      <w:pPr>
        <w:pStyle w:val="Heading1"/>
        <w:pBdr>
          <w:bottom w:val="single" w:color="2E7D32" w:sz="6" w:space="4"/>
        </w:pBdr>
        <w:spacing w:after="160" w:before="320"/>
      </w:pPr>
      <w:r>
        <w:rPr>
          <w:rFonts w:ascii="Arial" w:cs="Arial" w:eastAsia="Arial" w:hAnsi="Arial"/>
          <w:b/>
          <w:bCs/>
          <w:color w:val="1B5E20"/>
          <w:sz w:val="32"/>
          <w:szCs w:val="32"/>
        </w:rPr>
        <w:t xml:space="preserve">Appendix M. Glossary of Technical Terms and Implementation Specification</w:t>
      </w:r>
    </w:p>
    <w:p>
      <w:pPr>
        <w:spacing w:after="80" w:before="80" w:line="276" w:lineRule="auto"/>
        <w:jc w:val="both"/>
      </w:pPr>
      <w:r>
        <w:rPr>
          <w:rFonts w:ascii="Arial" w:cs="Arial" w:eastAsia="Arial" w:hAnsi="Arial"/>
          <w:color w:val="000000"/>
          <w:sz w:val="22"/>
          <w:szCs w:val="22"/>
        </w:rPr>
        <w:t xml:space="preserve">The following terms are used in Section IX (Implementation Roadmap). Plain-language definitions are provided for readers who are not familiar with AI deployment or cloud computing. Full implementation specifications — including prompt text, infrastructure architecture diagrams, output validation code, and the complete risk register — are available in the project technical repository.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(Application Programming Interface)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standardised way for two pieces of software to communicate. When the Life Moments service sends a comment to Anthropic's AI, it does so through Anthropic's API — a defined channel for sending requests and receiving responses.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Batch API</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Anthropic's bulk processing mode. Rather than sending comments one at a time, the Batch API allows thousands of comments to be submitted together for overnight processing. Cost is 50 percent lower than standard real-time calls, with no reduction in output quality.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Classifier / Classification System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Software (or AI model) that reads an input and assigns it to one of a defined set of categories. The Life Moments classifier reads subscriber comments and assigns each to High-Potential, Low-Potential, or Release.</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CCPA / ADMT</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California Consumer Privacy Act. ADMT (Automated Decision-Making Technology) regulations effective January 1, 2026, added specific disclosure and opt-out requirements for businesses whose software automatically influences decisions about consumers. Whether Life Moments qualifies as ADMT requires legal assessment.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Confidence Score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number between 0 and 1 indicating how certain the AI is about its output. Outputs below 0.6 are routed to human review rather than acted upon automatically.</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CRM (Customer Relationship Management System)</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Software managing a business's interactions with current and potential customers. HelloFresh's CRM holds subscriber records, tracks communication history, and manages the human review queue and Life Moments message triggers.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DPA (Data Processing Agreement)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legal contract between a business and a third-party vendor that processes data on the business's behalf. HelloFresh must have a signed DPA with Anthropic before any subscriber comment text is transmitted to the API.</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Hallucination</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When an AI model produces output that is confident but factually incorrect or unsupported by the input. In Life Moments, hallucination would mean the AI citing a phrase as evidence that does not actually appear in the subscriber's comment. The evidence check in pre-launch validation is specifically designed to catch this.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 (JavaScript Object Notation)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standard format for structuring data readable by both humans and computers. The AI returns its classification result as a JSON object. A malformed JSON response is one that does not follow the expected structure and triggers a retry.</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Message Queue</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 cloud infrastructure component that acts as a waiting room for events. When a subscriber cancels, the cancellation event is placed in a message queue. The Life Moments service picks events from the queue — overnight during Phase 1, within 15 minutes during Phase 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NER (Named Entity Recognition)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technique that identifies specific types of information — people's names, organisations, locations — within text. Used in Life Moments to detect and remove personal names from subscriber comments before transmission to the AI.</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Output Validation</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Code-level checks applied to the AI's response before the result is used. Checks include: format check, classification validity check, confidence threshold check, and evidence grounding check.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Pre-Screen Filter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simple word-matching check run before any AI call. Comments passing the filter (containing life-context vocabulary or tagged as pause-intent) proceed to the AI. Comments that fail (too short, or tagged as product-quality complaints) are assigned a classification without an AI call, reducing annual AI costs by approximately 74 percent.</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Prompt Caching</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 feature that stores the AI's instruction set template so it does not need to be re-transmitted on every API call. Caching reduces the cost of repeated instruction portions by up to 90 percent.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Regression Test Suite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set of 50 known test cases with correct classifications, run automatically whenever the classification instructions change. If the new instruction version produces the wrong answer on more than 3 of 50 cases, it is blocked from deployment.</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Shadow Mode</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 deployment approach in which a system runs in the background, processing real events and storing outputs, but taking no live action. Phase 1 runs in shadow mode for two months before any subscriber outreach is triggered.</w:t>
            </w:r>
          </w:p>
        </w:tc>
      </w:tr>
    </w:tbl>
    <w:p>
      <w:pPr>
        <w:spacing w:after="140" w:before="60"/>
        <w:jc w:val="center"/>
      </w:pPr>
      <w:r>
        <w:rPr>
          <w:rFonts w:ascii="Arial" w:cs="Arial" w:eastAsia="Arial" w:hAnsi="Arial"/>
          <w:i/>
          <w:iCs/>
          <w:color w:val="424242"/>
          <w:sz w:val="19"/>
          <w:szCs w:val="19"/>
        </w:rPr>
        <w:t xml:space="preserve">Table M-1. Technical Terms Glossary</w:t>
      </w:r>
    </w:p>
    <w:p>
      <w:pPr>
        <w:spacing w:after="80" w:before="80"/>
      </w:pPr>
      <w:r>
        <w:t xml:space="preserve"/>
      </w:r>
    </w:p>
    <w:p>
      <w:pPr>
        <w:pStyle w:val="Heading2"/>
        <w:spacing w:after="120" w:before="240"/>
      </w:pPr>
      <w:r>
        <w:rPr>
          <w:rFonts w:ascii="Arial" w:cs="Arial" w:eastAsia="Arial" w:hAnsi="Arial"/>
          <w:b/>
          <w:bCs/>
          <w:color w:val="2E7D32"/>
          <w:sz w:val="26"/>
          <w:szCs w:val="26"/>
        </w:rPr>
        <w:t xml:space="preserve">M.2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2500"/>
        <w:gridCol w:w="2960"/>
      </w:tblGrid>
      <w:tr>
        <w:trPr>
          <w:tblHeader/>
        </w:trPr>
        <w:tc>
          <w:tcPr>
            <w:tcW w:type="dxa" w:w="21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50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960"/>
            <w:tcBorders>
              <w:top w:val="single" w:color="AAAAAA" w:sz="1"/>
              <w:left w:val="single" w:color="AAAAAA" w:sz="1"/>
              <w:bottom w:val="single" w:color="AAAAAA" w:sz="1"/>
              <w:right w:val="single" w:color="AAAAAA"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Response if Realized</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California ADMT compliance work not yet started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Legal assessment is a pre-launch checklist gate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Delay Phase 1 until opt-out mechanism is built</w:t>
            </w:r>
          </w:p>
        </w:tc>
      </w:tr>
      <w:tr>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Data agreement with Anthropic not signed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Signing is the first checklist item; can be initiated immediately</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Halt all classification; sign agreement before restarting</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 service slow or unavailable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retries twice before giving up; cancellation completes normally if AI fails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catch-up classification in next overnight batch</w:t>
            </w:r>
          </w:p>
        </w:tc>
      </w:tr>
      <w:tr>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AI makes systematic errors on specific comment types</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Monthly human review catches error patterns; test suite blocks regressive instruction changes</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Revise classification instructions; retest before continuing</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 accuracy gate fails at Week 1–2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checked before shadow run continues; no subscriber affected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Stop shadow run; revise instructions; restart</w:t>
            </w:r>
          </w:p>
        </w:tc>
      </w:tr>
      <w:tr>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2 pilot shows no improvement in return rate</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2 tests this before any full rollout; 80% control group protects most subscribers</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Investigate classification, message copy, or offer design; revise and retest</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Subscribers feel messages are intrusive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Messages use general life-context language, never quote subscriber's specific comment</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If complaint rate &gt;0.5% of messages sent, pause all outreach and review copy</w:t>
            </w:r>
          </w:p>
        </w:tc>
      </w:tr>
      <w:tr>
        <w:tc>
          <w:tcPr>
            <w:tcW w:type="dxa" w:w="2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Engineering resources unavailable for Phase 1 build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Low-code automation tools (Make.com / Zapier) serve as functional bridge for Phase 1–2</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Begin low-code build immediately; schedule production engineering build for before Phase 3</w:t>
            </w:r>
          </w:p>
        </w:tc>
      </w:tr>
    </w:tbl>
    <w:p>
      <w:pPr>
        <w:spacing w:after="140" w:before="60"/>
        <w:jc w:val="center"/>
      </w:pPr>
      <w:r>
        <w:rPr>
          <w:rFonts w:ascii="Arial" w:cs="Arial" w:eastAsia="Arial" w:hAnsi="Arial"/>
          <w:i/>
          <w:iCs/>
          <w:color w:val="424242"/>
          <w:sz w:val="19"/>
          <w:szCs w:val="19"/>
        </w:rPr>
        <w:t xml:space="preserve">Table M-2. Implementation Risk Register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right"/>
    </w:pPr>
    <w:r>
      <w:rPr>
        <w:rFonts w:ascii="Arial" w:cs="Arial" w:eastAsia="Arial" w:hAnsi="Arial"/>
        <w:color w:val="424242"/>
        <w:sz w:val="18"/>
        <w:szCs w:val="18"/>
      </w:rPr>
      <w:t xml:space="preserve">Page </w:t>
    </w:r>
    <w:r>
      <w:rPr>
        <w:rFonts w:ascii="Arial" w:cs="Arial" w:eastAsia="Arial" w:hAnsi="Arial"/>
        <w:color w:val="424242"/>
        <w:sz w:val="18"/>
        <w:szCs w:val="18"/>
      </w:rPr>
      <w:fldChar w:fldCharType="begin"/>
      <w:instrText xml:space="preserve">PAGE</w:instrText>
      <w:fldChar w:fldCharType="separate"/>
      <w:fldChar w:fldCharType="end"/>
    </w:r>
    <w:r>
      <w:rPr>
        <w:rFonts w:ascii="Arial" w:cs="Arial" w:eastAsia="Arial" w:hAnsi="Arial"/>
        <w:color w:val="424242"/>
        <w:sz w:val="18"/>
        <w:szCs w:val="18"/>
      </w:rPr>
      <w:t xml:space="preserve"> of </w:t>
    </w:r>
    <w:r>
      <w:rPr>
        <w:rFonts w:ascii="Arial" w:cs="Arial" w:eastAsia="Arial" w:hAnsi="Arial"/>
        <w:color w:val="4242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color w:val="424242"/>
        <w:sz w:val="18"/>
        <w:szCs w:val="18"/>
      </w:rPr>
      <w:t xml:space="preserve">Green Chef Life Moments Retention System</w:t>
    </w:r>
    <w:r>
      <w:rPr>
        <w:rFonts w:ascii="Arial" w:cs="Arial" w:eastAsia="Arial" w:hAnsi="Arial"/>
        <w:color w:val="AAAAAA"/>
        <w:sz w:val="18"/>
        <w:szCs w:val="18"/>
      </w:rPr>
      <w:t xml:space="preserve">  |  MGT 5905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2026-05-06T19:03:01.171Z</dcterms:created>
  <dcterms:modified xsi:type="dcterms:W3CDTF">2026-05-06T19:03:01.187Z</dcterms:modified>
</cp:coreProperties>
</file>

<file path=docProps/custom.xml><?xml version="1.0" encoding="utf-8"?>
<Properties xmlns="http://schemas.openxmlformats.org/officeDocument/2006/custom-properties" xmlns:vt="http://schemas.openxmlformats.org/officeDocument/2006/docPropsVTypes"/>
</file>