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77777777"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TEAM MEMBER</w:t>
      </w:r>
    </w:p>
    <w:p w14:paraId="18D59F31" w14:textId="6299252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Pr>
          <w:rFonts w:ascii="Times New Roman" w:hAnsi="Times New Roman" w:cs="Times New Roman"/>
          <w:b/>
          <w:bCs/>
          <w:sz w:val="36"/>
          <w:szCs w:val="36"/>
          <w:lang w:val="en-IN"/>
        </w:rPr>
        <w:t>001</w:t>
      </w:r>
      <w:r w:rsidRPr="00FD0C16">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AANESHT RAJ G</w:t>
      </w:r>
    </w:p>
    <w:p w14:paraId="5648E401" w14:textId="77777777"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Phase 3 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77777777"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3: </w:t>
      </w:r>
      <w:r w:rsidRPr="002475E1">
        <w:rPr>
          <w:rFonts w:ascii="Times New Roman" w:hAnsi="Times New Roman" w:cs="Times New Roman"/>
          <w:sz w:val="36"/>
          <w:szCs w:val="36"/>
          <w:lang w:val="en-IN"/>
        </w:rPr>
        <w:t>Development Part 1</w:t>
      </w:r>
    </w:p>
    <w:p w14:paraId="7BB895C9" w14:textId="4B60EF51" w:rsidR="004F0086" w:rsidRDefault="004F0086" w:rsidP="004F0086">
      <w:pPr>
        <w:rPr>
          <w:rFonts w:ascii="Times New Roman" w:hAnsi="Times New Roman" w:cs="Times New Roman"/>
          <w:b/>
          <w:bCs/>
          <w:sz w:val="36"/>
          <w:szCs w:val="36"/>
          <w:lang w:val="en-IN"/>
        </w:rPr>
      </w:pPr>
      <w:r w:rsidRPr="002475E1">
        <w:rPr>
          <w:rFonts w:ascii="Times New Roman" w:hAnsi="Times New Roman" w:cs="Times New Roman"/>
          <w:b/>
          <w:bCs/>
          <w:sz w:val="36"/>
          <w:szCs w:val="36"/>
          <w:lang w:val="en-IN"/>
        </w:rPr>
        <w:t xml:space="preserve">Topic: </w:t>
      </w:r>
      <w:r w:rsidRPr="002475E1">
        <w:rPr>
          <w:rFonts w:ascii="Times New Roman" w:hAnsi="Times New Roman" w:cs="Times New Roman"/>
          <w:sz w:val="36"/>
          <w:szCs w:val="36"/>
          <w:lang w:val="en-IN"/>
        </w:rPr>
        <w:t>Start build</w:t>
      </w:r>
      <w:r>
        <w:rPr>
          <w:rFonts w:ascii="Times New Roman" w:hAnsi="Times New Roman" w:cs="Times New Roman"/>
          <w:sz w:val="36"/>
          <w:szCs w:val="36"/>
          <w:lang w:val="en-IN"/>
        </w:rPr>
        <w:t xml:space="preserve">ing </w:t>
      </w:r>
      <w:r>
        <w:rPr>
          <w:rFonts w:ascii="Times New Roman" w:hAnsi="Times New Roman" w:cs="Times New Roman"/>
          <w:sz w:val="36"/>
          <w:szCs w:val="36"/>
          <w:lang w:val="en-IN"/>
        </w:rPr>
        <w:t>AI Based Diabetes Prediction System</w:t>
      </w:r>
      <w:r w:rsidRPr="002475E1">
        <w:rPr>
          <w:rFonts w:ascii="Times New Roman" w:hAnsi="Times New Roman" w:cs="Times New Roman"/>
          <w:sz w:val="36"/>
          <w:szCs w:val="36"/>
          <w:lang w:val="en-IN"/>
        </w:rPr>
        <w:t xml:space="preserve"> by loading and </w:t>
      </w:r>
      <w:proofErr w:type="spellStart"/>
      <w:r w:rsidRPr="002475E1">
        <w:rPr>
          <w:rFonts w:ascii="Times New Roman" w:hAnsi="Times New Roman" w:cs="Times New Roman"/>
          <w:sz w:val="36"/>
          <w:szCs w:val="36"/>
          <w:lang w:val="en-IN"/>
        </w:rPr>
        <w:t>preprocessing</w:t>
      </w:r>
      <w:proofErr w:type="spellEnd"/>
      <w:r w:rsidRPr="002475E1">
        <w:rPr>
          <w:rFonts w:ascii="Times New Roman" w:hAnsi="Times New Roman" w:cs="Times New Roman"/>
          <w:sz w:val="36"/>
          <w:szCs w:val="36"/>
          <w:lang w:val="en-IN"/>
        </w:rPr>
        <w:t xml:space="preserve"> the dataset</w:t>
      </w:r>
      <w:r w:rsidRPr="002475E1">
        <w:rPr>
          <w:rFonts w:ascii="Times New Roman" w:hAnsi="Times New Roman" w:cs="Times New Roman"/>
          <w:b/>
          <w:bCs/>
          <w:sz w:val="36"/>
          <w:szCs w:val="36"/>
          <w:lang w:val="en-IN"/>
        </w:rPr>
        <w:t xml:space="preserve"> </w:t>
      </w:r>
    </w:p>
    <w:p w14:paraId="60C9D669" w14:textId="3A33533C" w:rsidR="004F0086" w:rsidRDefault="004F0086" w:rsidP="004F0086">
      <w:pPr>
        <w:rPr>
          <w:rFonts w:ascii="Times New Roman" w:hAnsi="Times New Roman" w:cs="Times New Roman"/>
          <w:b/>
          <w:bCs/>
          <w:sz w:val="36"/>
          <w:szCs w:val="36"/>
          <w:lang w:val="en-IN"/>
        </w:rPr>
      </w:pPr>
    </w:p>
    <w:p w14:paraId="5E0CFD83" w14:textId="77777777" w:rsidR="004F0086" w:rsidRDefault="004F0086" w:rsidP="004F0086">
      <w:pPr>
        <w:rPr>
          <w:rFonts w:ascii="Times New Roman" w:hAnsi="Times New Roman" w:cs="Times New Roman"/>
          <w:b/>
          <w:bCs/>
          <w:sz w:val="36"/>
          <w:szCs w:val="36"/>
          <w:lang w:val="en-IN"/>
        </w:rPr>
      </w:pPr>
    </w:p>
    <w:p w14:paraId="6C2BCC9F" w14:textId="77777777" w:rsidR="004F0086" w:rsidRPr="004F0086" w:rsidRDefault="004F0086" w:rsidP="004F0086">
      <w:pPr>
        <w:shd w:val="clear" w:color="auto" w:fill="FFFFFF"/>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Dataset</w:t>
      </w:r>
    </w:p>
    <w:p w14:paraId="6755D3B7"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The Pima Indian dataset is an open‐source dataset [</w:t>
      </w:r>
      <w:hyperlink r:id="rId4" w:anchor="htl212039-bib-0006" w:history="1">
        <w:r w:rsidRPr="004F0086">
          <w:rPr>
            <w:rFonts w:ascii="Cambria" w:eastAsia="Times New Roman" w:hAnsi="Cambria" w:cs="Times New Roman"/>
            <w:color w:val="376FAA"/>
            <w:sz w:val="30"/>
            <w:szCs w:val="30"/>
            <w:u w:val="single"/>
          </w:rPr>
          <w:t>6</w:t>
        </w:r>
      </w:hyperlink>
      <w:r w:rsidRPr="004F0086">
        <w:rPr>
          <w:rFonts w:ascii="Cambria" w:eastAsia="Times New Roman" w:hAnsi="Cambria" w:cs="Times New Roman"/>
          <w:color w:val="212121"/>
          <w:sz w:val="30"/>
          <w:szCs w:val="30"/>
        </w:rPr>
        <w:t>] that is publicly available for machine learning classification, which has been used in this work along with a private dataset. It contains 768 patients’ data, and 268 of them have developed diabetes.</w:t>
      </w:r>
    </w:p>
    <w:p w14:paraId="62A7F94E"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Figure </w:t>
      </w:r>
      <w:hyperlink r:id="rId5" w:tgtFrame="figur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shows the ratio of people having diabetes in the Pima Indian dataset. Table </w:t>
      </w:r>
      <w:hyperlink r:id="rId6" w:tgtFrame="table" w:history="1">
        <w:r w:rsidRPr="004F0086">
          <w:rPr>
            <w:rFonts w:ascii="Cambria" w:eastAsia="Times New Roman" w:hAnsi="Cambria" w:cs="Times New Roman"/>
            <w:color w:val="376FAA"/>
            <w:sz w:val="30"/>
            <w:szCs w:val="30"/>
            <w:u w:val="single"/>
          </w:rPr>
          <w:t>1</w:t>
        </w:r>
      </w:hyperlink>
      <w:r w:rsidRPr="004F0086">
        <w:rPr>
          <w:rFonts w:ascii="Cambria" w:eastAsia="Times New Roman" w:hAnsi="Cambria" w:cs="Times New Roman"/>
          <w:color w:val="212121"/>
          <w:sz w:val="30"/>
          <w:szCs w:val="30"/>
        </w:rPr>
        <w:t> demonstrates the eight features of the open‐source Piman Indian dataset.</w:t>
      </w:r>
    </w:p>
    <w:p w14:paraId="61141FC4"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"https://www.ncbi.nlm.nih.gov/pmc/articles/PMC10107388/figure/htl212039-fig-0002/" \t "figure" </w:instrText>
      </w:r>
      <w:r w:rsidRPr="004F0086">
        <w:rPr>
          <w:rFonts w:ascii="Cambria" w:eastAsia="Times New Roman" w:hAnsi="Cambria" w:cs="Times New Roman"/>
          <w:color w:val="212121"/>
          <w:sz w:val="30"/>
          <w:szCs w:val="30"/>
        </w:rPr>
        <w:fldChar w:fldCharType="separate"/>
      </w:r>
    </w:p>
    <w:p w14:paraId="5C139AC3" w14:textId="09B1402D"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r w:rsidRPr="004F0086">
        <w:rPr>
          <w:rFonts w:ascii="Cambria" w:eastAsia="Times New Roman" w:hAnsi="Cambria" w:cs="Times New Roman"/>
          <w:noProof/>
          <w:color w:val="376FAA"/>
          <w:sz w:val="30"/>
          <w:szCs w:val="30"/>
        </w:rPr>
        <w:lastRenderedPageBreak/>
        <w:drawing>
          <wp:inline distT="0" distB="0" distL="0" distR="0" wp14:anchorId="059A72A9" wp14:editId="5E915D32">
            <wp:extent cx="3810000" cy="2238375"/>
            <wp:effectExtent l="0" t="0" r="0" b="9525"/>
            <wp:docPr id="3" name="Picture 3">
              <a:hlinkClick xmlns:a="http://schemas.openxmlformats.org/drawingml/2006/main" r:id="rId5"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figur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14:paraId="77250EA4" w14:textId="77777777"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fldChar w:fldCharType="end"/>
      </w:r>
    </w:p>
    <w:p w14:paraId="63AFA7AE" w14:textId="77777777" w:rsidR="004F0086" w:rsidRPr="004F0086" w:rsidRDefault="004F0086" w:rsidP="004F0086">
      <w:pPr>
        <w:shd w:val="clear" w:color="auto" w:fill="FFFCF0"/>
        <w:spacing w:after="0" w:line="240" w:lineRule="auto"/>
        <w:textAlignment w:val="top"/>
        <w:rPr>
          <w:rFonts w:ascii="Cambria" w:eastAsia="Times New Roman" w:hAnsi="Cambria" w:cs="Times New Roman"/>
          <w:color w:val="333333"/>
          <w:sz w:val="24"/>
          <w:szCs w:val="24"/>
        </w:rPr>
      </w:pPr>
      <w:hyperlink r:id="rId8" w:tgtFrame="figure" w:history="1">
        <w:r w:rsidRPr="004F0086">
          <w:rPr>
            <w:rFonts w:ascii="Cambria" w:eastAsia="Times New Roman" w:hAnsi="Cambria" w:cs="Times New Roman"/>
            <w:color w:val="376FAA"/>
            <w:sz w:val="24"/>
            <w:szCs w:val="24"/>
            <w:u w:val="single"/>
          </w:rPr>
          <w:t>FIGURE 2</w:t>
        </w:r>
      </w:hyperlink>
    </w:p>
    <w:p w14:paraId="64C0B306" w14:textId="77777777" w:rsidR="004F0086" w:rsidRPr="004F0086" w:rsidRDefault="004F0086" w:rsidP="004F0086">
      <w:pPr>
        <w:shd w:val="clear" w:color="auto" w:fill="FFFCF0"/>
        <w:spacing w:line="240" w:lineRule="auto"/>
        <w:textAlignment w:val="top"/>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Percentage of people having diabetes in the Pima Indian dataset</w:t>
      </w:r>
    </w:p>
    <w:p w14:paraId="4FA0CDD6" w14:textId="77777777"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TABLE 1</w:t>
      </w:r>
    </w:p>
    <w:p w14:paraId="670570B8"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Features of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39"/>
        <w:gridCol w:w="1666"/>
        <w:gridCol w:w="2926"/>
      </w:tblGrid>
      <w:tr w:rsidR="004F0086" w:rsidRPr="004F0086" w14:paraId="6E1BA944"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56C224D9"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710C8926"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Skin thickness</w:t>
            </w:r>
          </w:p>
        </w:tc>
        <w:tc>
          <w:tcPr>
            <w:tcW w:w="0" w:type="auto"/>
            <w:tcBorders>
              <w:top w:val="nil"/>
              <w:left w:val="nil"/>
              <w:bottom w:val="nil"/>
              <w:right w:val="nil"/>
            </w:tcBorders>
            <w:tcMar>
              <w:top w:w="48" w:type="dxa"/>
              <w:left w:w="96" w:type="dxa"/>
              <w:bottom w:w="48" w:type="dxa"/>
              <w:right w:w="96" w:type="dxa"/>
            </w:tcMar>
            <w:vAlign w:val="center"/>
            <w:hideMark/>
          </w:tcPr>
          <w:p w14:paraId="08F65B5D"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Diabetes pedigree function</w:t>
            </w:r>
          </w:p>
        </w:tc>
      </w:tr>
      <w:tr w:rsidR="004F0086" w:rsidRPr="004F0086" w14:paraId="1CB1ABE7"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6399588"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Glucose</w:t>
            </w:r>
          </w:p>
        </w:tc>
        <w:tc>
          <w:tcPr>
            <w:tcW w:w="0" w:type="auto"/>
            <w:tcBorders>
              <w:top w:val="nil"/>
              <w:left w:val="nil"/>
              <w:bottom w:val="nil"/>
              <w:right w:val="nil"/>
            </w:tcBorders>
            <w:tcMar>
              <w:top w:w="48" w:type="dxa"/>
              <w:left w:w="96" w:type="dxa"/>
              <w:bottom w:w="48" w:type="dxa"/>
              <w:right w:w="96" w:type="dxa"/>
            </w:tcMar>
            <w:vAlign w:val="center"/>
            <w:hideMark/>
          </w:tcPr>
          <w:p w14:paraId="5A2A57C0"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Insulin</w:t>
            </w:r>
          </w:p>
        </w:tc>
        <w:tc>
          <w:tcPr>
            <w:tcW w:w="0" w:type="auto"/>
            <w:tcBorders>
              <w:top w:val="nil"/>
              <w:left w:val="nil"/>
              <w:bottom w:val="nil"/>
              <w:right w:val="nil"/>
            </w:tcBorders>
            <w:tcMar>
              <w:top w:w="48" w:type="dxa"/>
              <w:left w:w="96" w:type="dxa"/>
              <w:bottom w:w="48" w:type="dxa"/>
              <w:right w:w="96" w:type="dxa"/>
            </w:tcMar>
            <w:vAlign w:val="center"/>
            <w:hideMark/>
          </w:tcPr>
          <w:p w14:paraId="25753652"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Age</w:t>
            </w:r>
          </w:p>
        </w:tc>
      </w:tr>
      <w:tr w:rsidR="004F0086" w:rsidRPr="004F0086" w14:paraId="2CC73122"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71C74AA"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Blood pressure</w:t>
            </w:r>
          </w:p>
        </w:tc>
        <w:tc>
          <w:tcPr>
            <w:tcW w:w="0" w:type="auto"/>
            <w:tcBorders>
              <w:top w:val="nil"/>
              <w:left w:val="nil"/>
              <w:bottom w:val="nil"/>
              <w:right w:val="nil"/>
            </w:tcBorders>
            <w:tcMar>
              <w:top w:w="48" w:type="dxa"/>
              <w:left w:w="96" w:type="dxa"/>
              <w:bottom w:w="48" w:type="dxa"/>
              <w:right w:w="96" w:type="dxa"/>
            </w:tcMar>
            <w:vAlign w:val="center"/>
            <w:hideMark/>
          </w:tcPr>
          <w:p w14:paraId="49B47CFE"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BMI</w:t>
            </w:r>
          </w:p>
        </w:tc>
        <w:tc>
          <w:tcPr>
            <w:tcW w:w="0" w:type="auto"/>
            <w:tcBorders>
              <w:top w:val="nil"/>
              <w:left w:val="nil"/>
              <w:bottom w:val="nil"/>
              <w:right w:val="nil"/>
            </w:tcBorders>
            <w:tcMar>
              <w:top w:w="48" w:type="dxa"/>
              <w:left w:w="96" w:type="dxa"/>
              <w:bottom w:w="48" w:type="dxa"/>
              <w:right w:w="96" w:type="dxa"/>
            </w:tcMar>
            <w:vAlign w:val="center"/>
            <w:hideMark/>
          </w:tcPr>
          <w:p w14:paraId="2C2BF0F2" w14:textId="77777777" w:rsidR="004F0086" w:rsidRPr="004F0086" w:rsidRDefault="004F0086" w:rsidP="004F0086">
            <w:pPr>
              <w:spacing w:after="0" w:line="240" w:lineRule="auto"/>
              <w:rPr>
                <w:rFonts w:ascii="Times New Roman" w:eastAsia="Times New Roman" w:hAnsi="Times New Roman" w:cs="Times New Roman"/>
                <w:sz w:val="24"/>
                <w:szCs w:val="24"/>
              </w:rPr>
            </w:pPr>
          </w:p>
        </w:tc>
      </w:tr>
    </w:tbl>
    <w:p w14:paraId="5DA5142D"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 xml:space="preserve">RTML private dataset: A significant contribution of this work is to present a private dataset from Rownak Textile Mills Ltd, Dhaka, Bangladesh, referred to as RTML, to the scientific community. Following a brief explanation of the study to the female volunteers, they voluntarily agreed to participate in the study. This dataset comprises six features, that is, pregnancy, glucose, blood pressure, skin thickness, BMI, age, and outcome of diabetes from 203 female individuals aged between 18 and 77. In this work, blood glucose was measured by the </w:t>
      </w:r>
      <w:proofErr w:type="spellStart"/>
      <w:r w:rsidRPr="004F0086">
        <w:rPr>
          <w:rFonts w:ascii="Cambria" w:eastAsia="Times New Roman" w:hAnsi="Cambria" w:cs="Times New Roman"/>
          <w:color w:val="212121"/>
          <w:sz w:val="30"/>
          <w:szCs w:val="30"/>
        </w:rPr>
        <w:t>GlucoLeader</w:t>
      </w:r>
      <w:proofErr w:type="spellEnd"/>
      <w:r w:rsidRPr="004F0086">
        <w:rPr>
          <w:rFonts w:ascii="Cambria" w:eastAsia="Times New Roman" w:hAnsi="Cambria" w:cs="Times New Roman"/>
          <w:color w:val="212121"/>
          <w:sz w:val="30"/>
          <w:szCs w:val="30"/>
        </w:rPr>
        <w:t xml:space="preserve"> Enhance blood sugar meter. The blood pressure and skin thickness of the participants were obtained by OMRON HEM‐7156T and digital LCD body fat caliper machines, respectively. Table </w:t>
      </w:r>
      <w:hyperlink r:id="rId9" w:tgtFrame="tabl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illustrates distinct features of the private RTML dataset with their minimum, maximum, and average values.</w:t>
      </w:r>
    </w:p>
    <w:p w14:paraId="55D7E203" w14:textId="77777777" w:rsid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p>
    <w:p w14:paraId="2103DAFD" w14:textId="2DAB49AA"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lastRenderedPageBreak/>
        <w:t xml:space="preserve">TABLE </w:t>
      </w:r>
      <w:r w:rsidR="009E34A2">
        <w:rPr>
          <w:rFonts w:ascii="Cambria" w:eastAsia="Times New Roman" w:hAnsi="Cambria" w:cs="Times New Roman"/>
          <w:color w:val="734126"/>
          <w:spacing w:val="-2"/>
          <w:sz w:val="32"/>
          <w:szCs w:val="32"/>
        </w:rPr>
        <w:t>2</w:t>
      </w:r>
    </w:p>
    <w:p w14:paraId="2BF4F12E"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Features of the RTML private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85"/>
        <w:gridCol w:w="1219"/>
        <w:gridCol w:w="1259"/>
        <w:gridCol w:w="1045"/>
      </w:tblGrid>
      <w:tr w:rsidR="004F0086" w:rsidRPr="004F0086" w14:paraId="7BBE8675"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6ED5404F"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Features</w:t>
            </w:r>
          </w:p>
        </w:tc>
        <w:tc>
          <w:tcPr>
            <w:tcW w:w="0" w:type="auto"/>
            <w:tcBorders>
              <w:top w:val="nil"/>
              <w:left w:val="nil"/>
              <w:bottom w:val="nil"/>
              <w:right w:val="nil"/>
            </w:tcBorders>
            <w:tcMar>
              <w:top w:w="48" w:type="dxa"/>
              <w:left w:w="96" w:type="dxa"/>
              <w:bottom w:w="48" w:type="dxa"/>
              <w:right w:w="96" w:type="dxa"/>
            </w:tcMar>
            <w:vAlign w:val="center"/>
            <w:hideMark/>
          </w:tcPr>
          <w:p w14:paraId="0611054C"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Minimum</w:t>
            </w:r>
          </w:p>
        </w:tc>
        <w:tc>
          <w:tcPr>
            <w:tcW w:w="0" w:type="auto"/>
            <w:tcBorders>
              <w:top w:val="nil"/>
              <w:left w:val="nil"/>
              <w:bottom w:val="nil"/>
              <w:right w:val="nil"/>
            </w:tcBorders>
            <w:tcMar>
              <w:top w:w="48" w:type="dxa"/>
              <w:left w:w="96" w:type="dxa"/>
              <w:bottom w:w="48" w:type="dxa"/>
              <w:right w:w="96" w:type="dxa"/>
            </w:tcMar>
            <w:vAlign w:val="center"/>
            <w:hideMark/>
          </w:tcPr>
          <w:p w14:paraId="5604EBFB"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Maximum</w:t>
            </w:r>
          </w:p>
        </w:tc>
        <w:tc>
          <w:tcPr>
            <w:tcW w:w="0" w:type="auto"/>
            <w:tcBorders>
              <w:top w:val="nil"/>
              <w:left w:val="nil"/>
              <w:bottom w:val="nil"/>
              <w:right w:val="nil"/>
            </w:tcBorders>
            <w:tcMar>
              <w:top w:w="48" w:type="dxa"/>
              <w:left w:w="96" w:type="dxa"/>
              <w:bottom w:w="48" w:type="dxa"/>
              <w:right w:w="96" w:type="dxa"/>
            </w:tcMar>
            <w:vAlign w:val="center"/>
            <w:hideMark/>
          </w:tcPr>
          <w:p w14:paraId="15DDDEF1"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Average</w:t>
            </w:r>
          </w:p>
        </w:tc>
      </w:tr>
      <w:tr w:rsidR="004F0086" w:rsidRPr="004F0086" w14:paraId="3C25213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57393E93"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4A2261D9"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w:t>
            </w:r>
          </w:p>
        </w:tc>
        <w:tc>
          <w:tcPr>
            <w:tcW w:w="0" w:type="auto"/>
            <w:tcBorders>
              <w:top w:val="nil"/>
              <w:left w:val="nil"/>
              <w:bottom w:val="nil"/>
              <w:right w:val="nil"/>
            </w:tcBorders>
            <w:tcMar>
              <w:top w:w="48" w:type="dxa"/>
              <w:left w:w="96" w:type="dxa"/>
              <w:bottom w:w="48" w:type="dxa"/>
              <w:right w:w="96" w:type="dxa"/>
            </w:tcMar>
            <w:vAlign w:val="center"/>
            <w:hideMark/>
          </w:tcPr>
          <w:p w14:paraId="24109082"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8</w:t>
            </w:r>
          </w:p>
        </w:tc>
        <w:tc>
          <w:tcPr>
            <w:tcW w:w="0" w:type="auto"/>
            <w:tcBorders>
              <w:top w:val="nil"/>
              <w:left w:val="nil"/>
              <w:bottom w:val="nil"/>
              <w:right w:val="nil"/>
            </w:tcBorders>
            <w:tcMar>
              <w:top w:w="48" w:type="dxa"/>
              <w:left w:w="96" w:type="dxa"/>
              <w:bottom w:w="48" w:type="dxa"/>
              <w:right w:w="96" w:type="dxa"/>
            </w:tcMar>
            <w:vAlign w:val="center"/>
            <w:hideMark/>
          </w:tcPr>
          <w:p w14:paraId="2A849A6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1.61</w:t>
            </w:r>
          </w:p>
        </w:tc>
      </w:tr>
      <w:tr w:rsidR="004F0086" w:rsidRPr="004F0086" w14:paraId="7DC434C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7777F7BF"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Glucose (mg/dL)</w:t>
            </w:r>
          </w:p>
        </w:tc>
        <w:tc>
          <w:tcPr>
            <w:tcW w:w="0" w:type="auto"/>
            <w:tcBorders>
              <w:top w:val="nil"/>
              <w:left w:val="nil"/>
              <w:bottom w:val="nil"/>
              <w:right w:val="nil"/>
            </w:tcBorders>
            <w:tcMar>
              <w:top w:w="48" w:type="dxa"/>
              <w:left w:w="96" w:type="dxa"/>
              <w:bottom w:w="48" w:type="dxa"/>
              <w:right w:w="96" w:type="dxa"/>
            </w:tcMar>
            <w:vAlign w:val="center"/>
            <w:hideMark/>
          </w:tcPr>
          <w:p w14:paraId="5068402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52.2</w:t>
            </w:r>
          </w:p>
        </w:tc>
        <w:tc>
          <w:tcPr>
            <w:tcW w:w="0" w:type="auto"/>
            <w:tcBorders>
              <w:top w:val="nil"/>
              <w:left w:val="nil"/>
              <w:bottom w:val="nil"/>
              <w:right w:val="nil"/>
            </w:tcBorders>
            <w:tcMar>
              <w:top w:w="48" w:type="dxa"/>
              <w:left w:w="96" w:type="dxa"/>
              <w:bottom w:w="48" w:type="dxa"/>
              <w:right w:w="96" w:type="dxa"/>
            </w:tcMar>
            <w:vAlign w:val="center"/>
            <w:hideMark/>
          </w:tcPr>
          <w:p w14:paraId="4A71725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274</w:t>
            </w:r>
          </w:p>
        </w:tc>
        <w:tc>
          <w:tcPr>
            <w:tcW w:w="0" w:type="auto"/>
            <w:tcBorders>
              <w:top w:val="nil"/>
              <w:left w:val="nil"/>
              <w:bottom w:val="nil"/>
              <w:right w:val="nil"/>
            </w:tcBorders>
            <w:tcMar>
              <w:top w:w="48" w:type="dxa"/>
              <w:left w:w="96" w:type="dxa"/>
              <w:bottom w:w="48" w:type="dxa"/>
              <w:right w:w="96" w:type="dxa"/>
            </w:tcMar>
            <w:vAlign w:val="center"/>
            <w:hideMark/>
          </w:tcPr>
          <w:p w14:paraId="7D3BE4C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109.39</w:t>
            </w:r>
          </w:p>
        </w:tc>
      </w:tr>
      <w:tr w:rsidR="004F0086" w:rsidRPr="004F0086" w14:paraId="49D4321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B28AC33"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Blood pressure (mm Hg)</w:t>
            </w:r>
          </w:p>
        </w:tc>
        <w:tc>
          <w:tcPr>
            <w:tcW w:w="0" w:type="auto"/>
            <w:tcBorders>
              <w:top w:val="nil"/>
              <w:left w:val="nil"/>
              <w:bottom w:val="nil"/>
              <w:right w:val="nil"/>
            </w:tcBorders>
            <w:tcMar>
              <w:top w:w="48" w:type="dxa"/>
              <w:left w:w="96" w:type="dxa"/>
              <w:bottom w:w="48" w:type="dxa"/>
              <w:right w:w="96" w:type="dxa"/>
            </w:tcMar>
            <w:vAlign w:val="center"/>
            <w:hideMark/>
          </w:tcPr>
          <w:p w14:paraId="12630383"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5.9</w:t>
            </w:r>
          </w:p>
        </w:tc>
        <w:tc>
          <w:tcPr>
            <w:tcW w:w="0" w:type="auto"/>
            <w:tcBorders>
              <w:top w:val="nil"/>
              <w:left w:val="nil"/>
              <w:bottom w:val="nil"/>
              <w:right w:val="nil"/>
            </w:tcBorders>
            <w:tcMar>
              <w:top w:w="48" w:type="dxa"/>
              <w:left w:w="96" w:type="dxa"/>
              <w:bottom w:w="48" w:type="dxa"/>
              <w:right w:w="96" w:type="dxa"/>
            </w:tcMar>
            <w:vAlign w:val="center"/>
            <w:hideMark/>
          </w:tcPr>
          <w:p w14:paraId="7B8A6A1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115</w:t>
            </w:r>
          </w:p>
        </w:tc>
        <w:tc>
          <w:tcPr>
            <w:tcW w:w="0" w:type="auto"/>
            <w:tcBorders>
              <w:top w:val="nil"/>
              <w:left w:val="nil"/>
              <w:bottom w:val="nil"/>
              <w:right w:val="nil"/>
            </w:tcBorders>
            <w:tcMar>
              <w:top w:w="48" w:type="dxa"/>
              <w:left w:w="96" w:type="dxa"/>
              <w:bottom w:w="48" w:type="dxa"/>
              <w:right w:w="96" w:type="dxa"/>
            </w:tcMar>
            <w:vAlign w:val="center"/>
            <w:hideMark/>
          </w:tcPr>
          <w:p w14:paraId="0815DD37"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71.09</w:t>
            </w:r>
          </w:p>
        </w:tc>
      </w:tr>
      <w:tr w:rsidR="004F0086" w:rsidRPr="004F0086" w14:paraId="43D323B1"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C917AA8"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Skin thickness (mm)</w:t>
            </w:r>
          </w:p>
        </w:tc>
        <w:tc>
          <w:tcPr>
            <w:tcW w:w="0" w:type="auto"/>
            <w:tcBorders>
              <w:top w:val="nil"/>
              <w:left w:val="nil"/>
              <w:bottom w:val="nil"/>
              <w:right w:val="nil"/>
            </w:tcBorders>
            <w:tcMar>
              <w:top w:w="48" w:type="dxa"/>
              <w:left w:w="96" w:type="dxa"/>
              <w:bottom w:w="48" w:type="dxa"/>
              <w:right w:w="96" w:type="dxa"/>
            </w:tcMar>
            <w:vAlign w:val="center"/>
            <w:hideMark/>
          </w:tcPr>
          <w:p w14:paraId="241B7FFC"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2.9</w:t>
            </w:r>
          </w:p>
        </w:tc>
        <w:tc>
          <w:tcPr>
            <w:tcW w:w="0" w:type="auto"/>
            <w:tcBorders>
              <w:top w:val="nil"/>
              <w:left w:val="nil"/>
              <w:bottom w:val="nil"/>
              <w:right w:val="nil"/>
            </w:tcBorders>
            <w:tcMar>
              <w:top w:w="48" w:type="dxa"/>
              <w:left w:w="96" w:type="dxa"/>
              <w:bottom w:w="48" w:type="dxa"/>
              <w:right w:w="96" w:type="dxa"/>
            </w:tcMar>
            <w:vAlign w:val="center"/>
            <w:hideMark/>
          </w:tcPr>
          <w:p w14:paraId="4E09B140"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23.3</w:t>
            </w:r>
          </w:p>
        </w:tc>
        <w:tc>
          <w:tcPr>
            <w:tcW w:w="0" w:type="auto"/>
            <w:tcBorders>
              <w:top w:val="nil"/>
              <w:left w:val="nil"/>
              <w:bottom w:val="nil"/>
              <w:right w:val="nil"/>
            </w:tcBorders>
            <w:tcMar>
              <w:top w:w="48" w:type="dxa"/>
              <w:left w:w="96" w:type="dxa"/>
              <w:bottom w:w="48" w:type="dxa"/>
              <w:right w:w="96" w:type="dxa"/>
            </w:tcMar>
            <w:vAlign w:val="center"/>
            <w:hideMark/>
          </w:tcPr>
          <w:p w14:paraId="64E1C1C2"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10.78</w:t>
            </w:r>
          </w:p>
        </w:tc>
      </w:tr>
      <w:tr w:rsidR="004F0086" w:rsidRPr="004F0086" w14:paraId="153D101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160D0C94"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BMI (kg/m</w:t>
            </w:r>
            <w:r w:rsidRPr="004F0086">
              <w:rPr>
                <w:rFonts w:ascii="Times New Roman" w:eastAsia="Times New Roman" w:hAnsi="Times New Roman" w:cs="Times New Roman"/>
                <w:sz w:val="18"/>
                <w:szCs w:val="18"/>
                <w:vertAlign w:val="superscript"/>
              </w:rPr>
              <w:t>2</w:t>
            </w:r>
            <w:r w:rsidRPr="004F0086">
              <w:rPr>
                <w:rFonts w:ascii="Times New Roman" w:eastAsia="Times New Roman" w:hAnsi="Times New Roman" w:cs="Times New Roman"/>
                <w:sz w:val="24"/>
                <w:szCs w:val="24"/>
              </w:rPr>
              <w:t>)</w:t>
            </w:r>
          </w:p>
        </w:tc>
        <w:tc>
          <w:tcPr>
            <w:tcW w:w="0" w:type="auto"/>
            <w:tcBorders>
              <w:top w:val="nil"/>
              <w:left w:val="nil"/>
              <w:bottom w:val="nil"/>
              <w:right w:val="nil"/>
            </w:tcBorders>
            <w:tcMar>
              <w:top w:w="48" w:type="dxa"/>
              <w:left w:w="96" w:type="dxa"/>
              <w:bottom w:w="48" w:type="dxa"/>
              <w:right w:w="96" w:type="dxa"/>
            </w:tcMar>
            <w:vAlign w:val="center"/>
            <w:hideMark/>
          </w:tcPr>
          <w:p w14:paraId="0DA843F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2.61</w:t>
            </w:r>
          </w:p>
        </w:tc>
        <w:tc>
          <w:tcPr>
            <w:tcW w:w="0" w:type="auto"/>
            <w:tcBorders>
              <w:top w:val="nil"/>
              <w:left w:val="nil"/>
              <w:bottom w:val="nil"/>
              <w:right w:val="nil"/>
            </w:tcBorders>
            <w:tcMar>
              <w:top w:w="48" w:type="dxa"/>
              <w:left w:w="96" w:type="dxa"/>
              <w:bottom w:w="48" w:type="dxa"/>
              <w:right w:w="96" w:type="dxa"/>
            </w:tcMar>
            <w:vAlign w:val="center"/>
            <w:hideMark/>
          </w:tcPr>
          <w:p w14:paraId="0B44F98F"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41.62</w:t>
            </w:r>
          </w:p>
        </w:tc>
        <w:tc>
          <w:tcPr>
            <w:tcW w:w="0" w:type="auto"/>
            <w:tcBorders>
              <w:top w:val="nil"/>
              <w:left w:val="nil"/>
              <w:bottom w:val="nil"/>
              <w:right w:val="nil"/>
            </w:tcBorders>
            <w:tcMar>
              <w:top w:w="48" w:type="dxa"/>
              <w:left w:w="96" w:type="dxa"/>
              <w:bottom w:w="48" w:type="dxa"/>
              <w:right w:w="96" w:type="dxa"/>
            </w:tcMar>
            <w:vAlign w:val="center"/>
            <w:hideMark/>
          </w:tcPr>
          <w:p w14:paraId="7026A2B6"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22.69</w:t>
            </w:r>
          </w:p>
        </w:tc>
      </w:tr>
      <w:tr w:rsidR="004F0086" w:rsidRPr="004F0086" w14:paraId="62FE10F5"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29DF7AC"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Age (years)</w:t>
            </w:r>
          </w:p>
        </w:tc>
        <w:tc>
          <w:tcPr>
            <w:tcW w:w="0" w:type="auto"/>
            <w:tcBorders>
              <w:top w:val="nil"/>
              <w:left w:val="nil"/>
              <w:bottom w:val="nil"/>
              <w:right w:val="nil"/>
            </w:tcBorders>
            <w:tcMar>
              <w:top w:w="48" w:type="dxa"/>
              <w:left w:w="96" w:type="dxa"/>
              <w:bottom w:w="48" w:type="dxa"/>
              <w:right w:w="96" w:type="dxa"/>
            </w:tcMar>
            <w:vAlign w:val="center"/>
            <w:hideMark/>
          </w:tcPr>
          <w:p w14:paraId="613374B9"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17</w:t>
            </w:r>
          </w:p>
        </w:tc>
        <w:tc>
          <w:tcPr>
            <w:tcW w:w="0" w:type="auto"/>
            <w:tcBorders>
              <w:top w:val="nil"/>
              <w:left w:val="nil"/>
              <w:bottom w:val="nil"/>
              <w:right w:val="nil"/>
            </w:tcBorders>
            <w:tcMar>
              <w:top w:w="48" w:type="dxa"/>
              <w:left w:w="96" w:type="dxa"/>
              <w:bottom w:w="48" w:type="dxa"/>
              <w:right w:w="96" w:type="dxa"/>
            </w:tcMar>
            <w:vAlign w:val="center"/>
            <w:hideMark/>
          </w:tcPr>
          <w:p w14:paraId="0E11C4FC"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77</w:t>
            </w:r>
          </w:p>
        </w:tc>
        <w:tc>
          <w:tcPr>
            <w:tcW w:w="0" w:type="auto"/>
            <w:tcBorders>
              <w:top w:val="nil"/>
              <w:left w:val="nil"/>
              <w:bottom w:val="nil"/>
              <w:right w:val="nil"/>
            </w:tcBorders>
            <w:tcMar>
              <w:top w:w="48" w:type="dxa"/>
              <w:left w:w="96" w:type="dxa"/>
              <w:bottom w:w="48" w:type="dxa"/>
              <w:right w:w="96" w:type="dxa"/>
            </w:tcMar>
            <w:vAlign w:val="center"/>
            <w:hideMark/>
          </w:tcPr>
          <w:p w14:paraId="5ABEC0FA"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27.02</w:t>
            </w:r>
          </w:p>
        </w:tc>
      </w:tr>
    </w:tbl>
    <w:p w14:paraId="15CD0E21" w14:textId="77777777" w:rsidR="004F0086" w:rsidRPr="004F0086" w:rsidRDefault="004F0086" w:rsidP="004F0086">
      <w:pPr>
        <w:shd w:val="clear" w:color="auto" w:fill="FFFFFF"/>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2.2. Dataset preprocessing</w:t>
      </w:r>
    </w:p>
    <w:p w14:paraId="76A3D7B5"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In the merged dataset, we discovered a few exceptional zero values. 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14:paraId="06974526"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Mutual Information: Mutual information attempts to measure the interdependence of variables. It produces information gain, and its higher values indicate greater dependency [</w:t>
      </w:r>
      <w:hyperlink r:id="rId10" w:anchor="htl212039-bib-0008" w:history="1">
        <w:r w:rsidRPr="004F0086">
          <w:rPr>
            <w:rFonts w:ascii="Cambria" w:eastAsia="Times New Roman" w:hAnsi="Cambria" w:cs="Times New Roman"/>
            <w:color w:val="376FAA"/>
            <w:sz w:val="30"/>
            <w:szCs w:val="30"/>
            <w:u w:val="single"/>
          </w:rPr>
          <w:t>8</w:t>
        </w:r>
      </w:hyperlink>
      <w:r w:rsidRPr="004F0086">
        <w:rPr>
          <w:rFonts w:ascii="Cambria" w:eastAsia="Times New Roman" w:hAnsi="Cambria" w:cs="Times New Roman"/>
          <w:color w:val="212121"/>
          <w:sz w:val="30"/>
          <w:szCs w:val="30"/>
        </w:rPr>
        <w:t>].</w:t>
      </w:r>
    </w:p>
    <w:p w14:paraId="74448929"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Figure </w:t>
      </w:r>
      <w:hyperlink r:id="rId11" w:tgtFrame="figure" w:history="1">
        <w:r w:rsidRPr="004F0086">
          <w:rPr>
            <w:rFonts w:ascii="Cambria" w:eastAsia="Times New Roman" w:hAnsi="Cambria" w:cs="Times New Roman"/>
            <w:color w:val="376FAA"/>
            <w:sz w:val="30"/>
            <w:szCs w:val="30"/>
            <w:u w:val="single"/>
          </w:rPr>
          <w:t>3</w:t>
        </w:r>
      </w:hyperlink>
      <w:r w:rsidRPr="004F0086">
        <w:rPr>
          <w:rFonts w:ascii="Cambria" w:eastAsia="Times New Roman" w:hAnsi="Cambria" w:cs="Times New Roman"/>
          <w:color w:val="212121"/>
          <w:sz w:val="30"/>
          <w:szCs w:val="30"/>
        </w:rPr>
        <w:t> shows the mutual information of various features, that is, the importance of each attribute of this dataset. For example, according to this figure, the diabetes pedigree function seems less important according to this mutual information technique.</w:t>
      </w:r>
    </w:p>
    <w:p w14:paraId="044ED93E"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"https://www.ncbi.nlm.nih.gov/pmc/articles/PMC10107388/figure/htl212039-fig-0003/" \t "figure" </w:instrText>
      </w:r>
      <w:r w:rsidRPr="004F0086">
        <w:rPr>
          <w:rFonts w:ascii="Cambria" w:eastAsia="Times New Roman" w:hAnsi="Cambria" w:cs="Times New Roman"/>
          <w:color w:val="212121"/>
          <w:sz w:val="30"/>
          <w:szCs w:val="30"/>
        </w:rPr>
        <w:fldChar w:fldCharType="separate"/>
      </w:r>
    </w:p>
    <w:p w14:paraId="5FF0D000" w14:textId="32F2D874"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r w:rsidRPr="004F0086">
        <w:rPr>
          <w:rFonts w:ascii="Cambria" w:eastAsia="Times New Roman" w:hAnsi="Cambria" w:cs="Times New Roman"/>
          <w:noProof/>
          <w:color w:val="376FAA"/>
          <w:sz w:val="30"/>
          <w:szCs w:val="30"/>
        </w:rPr>
        <w:lastRenderedPageBreak/>
        <w:drawing>
          <wp:inline distT="0" distB="0" distL="0" distR="0" wp14:anchorId="112D7538" wp14:editId="464A7EE4">
            <wp:extent cx="3810000" cy="1914525"/>
            <wp:effectExtent l="0" t="0" r="0" b="9525"/>
            <wp:docPr id="2" name="Picture 2">
              <a:hlinkClick xmlns:a="http://schemas.openxmlformats.org/drawingml/2006/main" r:id="rId1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gtFrame="&quot;figur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34687DD9" w14:textId="77777777"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fldChar w:fldCharType="end"/>
      </w:r>
    </w:p>
    <w:p w14:paraId="27B0AC40" w14:textId="77777777" w:rsidR="004F0086" w:rsidRPr="004F0086" w:rsidRDefault="004F0086" w:rsidP="004F0086">
      <w:pPr>
        <w:shd w:val="clear" w:color="auto" w:fill="FFFCF0"/>
        <w:spacing w:after="0" w:line="240" w:lineRule="auto"/>
        <w:textAlignment w:val="top"/>
        <w:rPr>
          <w:rFonts w:ascii="Cambria" w:eastAsia="Times New Roman" w:hAnsi="Cambria" w:cs="Times New Roman"/>
          <w:color w:val="333333"/>
          <w:sz w:val="24"/>
          <w:szCs w:val="24"/>
        </w:rPr>
      </w:pPr>
      <w:hyperlink r:id="rId13" w:tgtFrame="figure" w:history="1">
        <w:r w:rsidRPr="004F0086">
          <w:rPr>
            <w:rFonts w:ascii="Cambria" w:eastAsia="Times New Roman" w:hAnsi="Cambria" w:cs="Times New Roman"/>
            <w:color w:val="376FAA"/>
            <w:sz w:val="24"/>
            <w:szCs w:val="24"/>
            <w:u w:val="single"/>
          </w:rPr>
          <w:t>FIGURE 3</w:t>
        </w:r>
      </w:hyperlink>
    </w:p>
    <w:p w14:paraId="3FCCD27D" w14:textId="77777777" w:rsidR="004F0086" w:rsidRPr="004F0086" w:rsidRDefault="004F0086" w:rsidP="004F0086">
      <w:pPr>
        <w:shd w:val="clear" w:color="auto" w:fill="FFFCF0"/>
        <w:spacing w:line="240" w:lineRule="auto"/>
        <w:textAlignment w:val="top"/>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 importance hierarchy</w:t>
      </w:r>
    </w:p>
    <w:p w14:paraId="2FB3EAF0"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Semi‐supervised learning: A combined dataset has been used in this work by incorporating the open‐source Pima Indian and private RTML datasets. According to Table </w:t>
      </w:r>
      <w:hyperlink r:id="rId14" w:tgtFrame="tabl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the RTML dataset does not contain the insulin feature, which is predicted using a semi‐supervised approach. Before merging the collected dataset with the Pima Indian dataset, a model was created using the extreme gradient boosting technique (XGB regressor). Various regression and ensemble learning techniques have been successfully used in many works to predict missing values [</w:t>
      </w:r>
      <w:hyperlink r:id="rId15" w:anchor="htl212039-bib-0025" w:history="1">
        <w:r w:rsidRPr="004F0086">
          <w:rPr>
            <w:rFonts w:ascii="Cambria" w:eastAsia="Times New Roman" w:hAnsi="Cambria" w:cs="Times New Roman"/>
            <w:color w:val="376FAA"/>
            <w:sz w:val="30"/>
            <w:szCs w:val="30"/>
            <w:u w:val="single"/>
          </w:rPr>
          <w:t>25</w:t>
        </w:r>
      </w:hyperlink>
      <w:r w:rsidRPr="004F0086">
        <w:rPr>
          <w:rFonts w:ascii="Cambria" w:eastAsia="Times New Roman" w:hAnsi="Cambria" w:cs="Times New Roman"/>
          <w:color w:val="212121"/>
          <w:sz w:val="30"/>
          <w:szCs w:val="30"/>
        </w:rPr>
        <w:t>, </w:t>
      </w:r>
      <w:hyperlink r:id="rId16" w:anchor="htl212039-bib-0026" w:history="1">
        <w:r w:rsidRPr="004F0086">
          <w:rPr>
            <w:rFonts w:ascii="Cambria" w:eastAsia="Times New Roman" w:hAnsi="Cambria" w:cs="Times New Roman"/>
            <w:color w:val="376FAA"/>
            <w:sz w:val="30"/>
            <w:szCs w:val="30"/>
            <w:u w:val="single"/>
          </w:rPr>
          <w:t>26</w:t>
        </w:r>
      </w:hyperlink>
      <w:r w:rsidRPr="004F0086">
        <w:rPr>
          <w:rFonts w:ascii="Cambria" w:eastAsia="Times New Roman" w:hAnsi="Cambria" w:cs="Times New Roman"/>
          <w:color w:val="212121"/>
          <w:sz w:val="30"/>
          <w:szCs w:val="30"/>
        </w:rPr>
        <w:t>]. An extensive investigation has been performed while choosing the best‐performed regressor technique to predict the insulin feature of the RTML dataset from the Pima Indian dataset. As the actual value of the insulin was not available in the RTML dataset, the Pima Indian dataset was initially used to select the best regression model. First, the Pima Indian dataset was divided into an 8:2 ratio and three supervised regression models, extreme gradient boosting technique (XGB), support vector regression (SVR), and Gaussian process regression (GPR), have been employed to predict the selected outcome, that is, insulin of the validation samples of the Pima Indian dataset. Next, we computed the root mean square error (RMSE) of various regression frameworks as</w:t>
      </w:r>
    </w:p>
    <w:p w14:paraId="2448D7C0" w14:textId="77777777" w:rsidR="004F0086" w:rsidRPr="004F0086" w:rsidRDefault="004F0086" w:rsidP="004F0086">
      <w:pPr>
        <w:shd w:val="clear" w:color="auto" w:fill="FFFFFF"/>
        <w:spacing w:line="240" w:lineRule="auto"/>
        <w:jc w:val="center"/>
        <w:textAlignment w:val="center"/>
        <w:rPr>
          <w:rFonts w:ascii="Cambria" w:eastAsia="Times New Roman" w:hAnsi="Cambria" w:cs="Times New Roman"/>
          <w:color w:val="212121"/>
          <w:sz w:val="30"/>
          <w:szCs w:val="30"/>
        </w:rPr>
      </w:pPr>
      <w:r w:rsidRPr="004F0086">
        <w:rPr>
          <w:rFonts w:ascii="MathJax_Math-italic" w:eastAsia="Times New Roman" w:hAnsi="MathJax_Math-italic" w:cs="Times New Roman"/>
          <w:color w:val="212121"/>
          <w:sz w:val="39"/>
          <w:szCs w:val="39"/>
          <w:bdr w:val="none" w:sz="0" w:space="0" w:color="auto" w:frame="1"/>
        </w:rPr>
        <w:t>RMSE</w:t>
      </w:r>
      <w:r w:rsidRPr="004F0086">
        <w:rPr>
          <w:rFonts w:ascii="MathJax_Main" w:eastAsia="Times New Roman" w:hAnsi="MathJax_Main" w:cs="Times New Roman"/>
          <w:color w:val="212121"/>
          <w:sz w:val="39"/>
          <w:szCs w:val="39"/>
          <w:bdr w:val="none" w:sz="0" w:space="0" w:color="auto" w:frame="1"/>
        </w:rPr>
        <w:t>=</w:t>
      </w:r>
      <w:r w:rsidRPr="004F0086">
        <w:rPr>
          <w:rFonts w:ascii="MathJax_Size1" w:eastAsia="Times New Roman" w:hAnsi="MathJax_Size1" w:cs="Times New Roman"/>
          <w:color w:val="212121"/>
          <w:sz w:val="39"/>
          <w:szCs w:val="39"/>
          <w:bdr w:val="none" w:sz="0" w:space="0" w:color="auto" w:frame="1"/>
        </w:rPr>
        <w:t>∑</w:t>
      </w:r>
      <w:r w:rsidRPr="004F0086">
        <w:rPr>
          <w:rFonts w:ascii="MathJax_Math-italic" w:eastAsia="Times New Roman" w:hAnsi="MathJax_Math-italic" w:cs="Times New Roman"/>
          <w:color w:val="212121"/>
          <w:sz w:val="28"/>
          <w:szCs w:val="28"/>
          <w:bdr w:val="none" w:sz="0" w:space="0" w:color="auto" w:frame="1"/>
        </w:rPr>
        <w:t>Ni</w:t>
      </w:r>
      <w:r w:rsidRPr="004F0086">
        <w:rPr>
          <w:rFonts w:ascii="MathJax_Main" w:eastAsia="Times New Roman" w:hAnsi="MathJax_Main" w:cs="Times New Roman"/>
          <w:color w:val="212121"/>
          <w:sz w:val="28"/>
          <w:szCs w:val="28"/>
          <w:bdr w:val="none" w:sz="0" w:space="0" w:color="auto" w:frame="1"/>
        </w:rPr>
        <w:t>=1</w:t>
      </w:r>
      <w:r w:rsidRPr="004F0086">
        <w:rPr>
          <w:rFonts w:ascii="MathJax_Main" w:eastAsia="Times New Roman" w:hAnsi="MathJax_Main" w:cs="Times New Roman"/>
          <w:color w:val="212121"/>
          <w:sz w:val="39"/>
          <w:szCs w:val="39"/>
          <w:bdr w:val="none" w:sz="0" w:space="0" w:color="auto" w:frame="1"/>
        </w:rPr>
        <w:t>(</w:t>
      </w:r>
      <w:proofErr w:type="spellStart"/>
      <w:r w:rsidRPr="004F0086">
        <w:rPr>
          <w:rFonts w:ascii="MathJax_Math-italic" w:eastAsia="Times New Roman" w:hAnsi="MathJax_Math-italic" w:cs="Times New Roman"/>
          <w:color w:val="212121"/>
          <w:sz w:val="39"/>
          <w:szCs w:val="39"/>
          <w:bdr w:val="none" w:sz="0" w:space="0" w:color="auto" w:frame="1"/>
        </w:rPr>
        <w:t>Predicted</w:t>
      </w:r>
      <w:r w:rsidRPr="004F0086">
        <w:rPr>
          <w:rFonts w:ascii="MathJax_Math-italic" w:eastAsia="Times New Roman" w:hAnsi="MathJax_Math-italic" w:cs="Times New Roman"/>
          <w:color w:val="212121"/>
          <w:sz w:val="28"/>
          <w:szCs w:val="28"/>
          <w:bdr w:val="none" w:sz="0" w:space="0" w:color="auto" w:frame="1"/>
        </w:rPr>
        <w:t>i</w:t>
      </w:r>
      <w:r w:rsidRPr="004F0086">
        <w:rPr>
          <w:rFonts w:ascii="MathJax_Main" w:eastAsia="Times New Roman" w:hAnsi="MathJax_Main" w:cs="Times New Roman"/>
          <w:color w:val="212121"/>
          <w:sz w:val="39"/>
          <w:szCs w:val="39"/>
          <w:bdr w:val="none" w:sz="0" w:space="0" w:color="auto" w:frame="1"/>
        </w:rPr>
        <w:t>−</w:t>
      </w:r>
      <w:r w:rsidRPr="004F0086">
        <w:rPr>
          <w:rFonts w:ascii="MathJax_Math-italic" w:eastAsia="Times New Roman" w:hAnsi="MathJax_Math-italic" w:cs="Times New Roman"/>
          <w:color w:val="212121"/>
          <w:sz w:val="39"/>
          <w:szCs w:val="39"/>
          <w:bdr w:val="none" w:sz="0" w:space="0" w:color="auto" w:frame="1"/>
        </w:rPr>
        <w:t>Actual</w:t>
      </w:r>
      <w:r w:rsidRPr="004F0086">
        <w:rPr>
          <w:rFonts w:ascii="MathJax_Math-italic" w:eastAsia="Times New Roman" w:hAnsi="MathJax_Math-italic" w:cs="Times New Roman"/>
          <w:color w:val="212121"/>
          <w:sz w:val="28"/>
          <w:szCs w:val="28"/>
          <w:bdr w:val="none" w:sz="0" w:space="0" w:color="auto" w:frame="1"/>
        </w:rPr>
        <w:t>i</w:t>
      </w:r>
      <w:proofErr w:type="spellEnd"/>
      <w:r w:rsidRPr="004F0086">
        <w:rPr>
          <w:rFonts w:ascii="MathJax_Main" w:eastAsia="Times New Roman" w:hAnsi="MathJax_Main" w:cs="Times New Roman"/>
          <w:color w:val="212121"/>
          <w:sz w:val="39"/>
          <w:szCs w:val="39"/>
          <w:bdr w:val="none" w:sz="0" w:space="0" w:color="auto" w:frame="1"/>
        </w:rPr>
        <w:t>)</w:t>
      </w:r>
      <w:r w:rsidRPr="004F0086">
        <w:rPr>
          <w:rFonts w:ascii="MathJax_Main" w:eastAsia="Times New Roman" w:hAnsi="MathJax_Main" w:cs="Times New Roman"/>
          <w:color w:val="212121"/>
          <w:sz w:val="28"/>
          <w:szCs w:val="28"/>
          <w:bdr w:val="none" w:sz="0" w:space="0" w:color="auto" w:frame="1"/>
        </w:rPr>
        <w:t>2</w:t>
      </w:r>
      <w:r w:rsidRPr="004F0086">
        <w:rPr>
          <w:rFonts w:ascii="MathJax_Math-italic" w:eastAsia="Times New Roman" w:hAnsi="MathJax_Math-italic" w:cs="Times New Roman"/>
          <w:color w:val="212121"/>
          <w:sz w:val="39"/>
          <w:szCs w:val="39"/>
          <w:bdr w:val="none" w:sz="0" w:space="0" w:color="auto" w:frame="1"/>
        </w:rPr>
        <w:t>N</w:t>
      </w:r>
      <w:r w:rsidRPr="004F0086">
        <w:rPr>
          <w:rFonts w:ascii="MathJax_Main" w:eastAsia="Times New Roman" w:hAnsi="MathJax_Main" w:cs="Times New Roman"/>
          <w:color w:val="212121"/>
          <w:sz w:val="39"/>
          <w:szCs w:val="39"/>
          <w:bdr w:val="none" w:sz="0" w:space="0" w:color="auto" w:frame="1"/>
        </w:rPr>
        <w:t>−−−−−−−−−−−−−−−−−−−−−−−−</w:t>
      </w:r>
      <w:r w:rsidRPr="004F0086">
        <w:rPr>
          <w:rFonts w:ascii="MathJax_Size4" w:eastAsia="Times New Roman" w:hAnsi="MathJax_Size4" w:cs="Times New Roman"/>
          <w:color w:val="212121"/>
          <w:sz w:val="39"/>
          <w:szCs w:val="39"/>
          <w:bdr w:val="none" w:sz="0" w:space="0" w:color="auto" w:frame="1"/>
        </w:rPr>
        <w:t>√</w:t>
      </w:r>
    </w:p>
    <w:p w14:paraId="19899D12" w14:textId="098D0CD5" w:rsidR="004F0086" w:rsidRPr="004F0086" w:rsidRDefault="004F0086" w:rsidP="009E34A2">
      <w:pPr>
        <w:shd w:val="clear" w:color="auto" w:fill="FFFFFF"/>
        <w:spacing w:line="240" w:lineRule="auto"/>
        <w:textAlignment w:val="center"/>
        <w:rPr>
          <w:rFonts w:ascii="Cambria" w:eastAsia="Times New Roman" w:hAnsi="Cambria" w:cs="Times New Roman"/>
          <w:color w:val="212121"/>
          <w:sz w:val="30"/>
          <w:szCs w:val="30"/>
        </w:rPr>
      </w:pPr>
    </w:p>
    <w:p w14:paraId="4F5B777B"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lastRenderedPageBreak/>
        <w:t>where </w:t>
      </w:r>
      <w:r w:rsidRPr="004F0086">
        <w:rPr>
          <w:rFonts w:ascii="Cambria" w:eastAsia="Times New Roman" w:hAnsi="Cambria" w:cs="Times New Roman"/>
          <w:i/>
          <w:iCs/>
          <w:color w:val="212121"/>
          <w:sz w:val="30"/>
          <w:szCs w:val="30"/>
        </w:rPr>
        <w:t>N</w:t>
      </w:r>
      <w:r w:rsidRPr="004F0086">
        <w:rPr>
          <w:rFonts w:ascii="Cambria" w:eastAsia="Times New Roman" w:hAnsi="Cambria" w:cs="Times New Roman"/>
          <w:color w:val="212121"/>
          <w:sz w:val="30"/>
          <w:szCs w:val="30"/>
        </w:rPr>
        <w:t> denotes the total number of validation samples of the Pima Indian dataset.</w:t>
      </w:r>
    </w:p>
    <w:p w14:paraId="03038F84"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According to Table </w:t>
      </w:r>
      <w:hyperlink r:id="rId17" w:tgtFrame="table" w:history="1">
        <w:r w:rsidRPr="004F0086">
          <w:rPr>
            <w:rFonts w:ascii="Cambria" w:eastAsia="Times New Roman" w:hAnsi="Cambria" w:cs="Times New Roman"/>
            <w:color w:val="376FAA"/>
            <w:sz w:val="30"/>
            <w:szCs w:val="30"/>
            <w:u w:val="single"/>
          </w:rPr>
          <w:t>3</w:t>
        </w:r>
      </w:hyperlink>
      <w:r w:rsidRPr="004F0086">
        <w:rPr>
          <w:rFonts w:ascii="Cambria" w:eastAsia="Times New Roman" w:hAnsi="Cambria" w:cs="Times New Roman"/>
          <w:color w:val="212121"/>
          <w:sz w:val="30"/>
          <w:szCs w:val="30"/>
        </w:rPr>
        <w:t>, the XGB technique exhibits the lowest RMSE of insulin on the Pima Indian dataset. Therefore, this model has been used to predict the missing insulin column of the collected RTML dataset from the Pima Indian dataset. The working steps of predicting insulin in the RTML dataset have been illustrated in Figure </w:t>
      </w:r>
      <w:hyperlink r:id="rId18" w:tgtFrame="figure" w:history="1">
        <w:r w:rsidRPr="004F0086">
          <w:rPr>
            <w:rFonts w:ascii="Cambria" w:eastAsia="Times New Roman" w:hAnsi="Cambria" w:cs="Times New Roman"/>
            <w:color w:val="376FAA"/>
            <w:sz w:val="30"/>
            <w:szCs w:val="30"/>
            <w:u w:val="single"/>
          </w:rPr>
          <w:t>4</w:t>
        </w:r>
      </w:hyperlink>
      <w:r w:rsidRPr="004F0086">
        <w:rPr>
          <w:rFonts w:ascii="Cambria" w:eastAsia="Times New Roman" w:hAnsi="Cambria" w:cs="Times New Roman"/>
          <w:color w:val="212121"/>
          <w:sz w:val="30"/>
          <w:szCs w:val="30"/>
        </w:rPr>
        <w:t>.</w:t>
      </w:r>
    </w:p>
    <w:p w14:paraId="3AA568A9" w14:textId="1F35D71A"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 xml:space="preserve">TABLE </w:t>
      </w:r>
      <w:r w:rsidR="009E34A2">
        <w:rPr>
          <w:rFonts w:ascii="Cambria" w:eastAsia="Times New Roman" w:hAnsi="Cambria" w:cs="Times New Roman"/>
          <w:color w:val="734126"/>
          <w:spacing w:val="-2"/>
          <w:sz w:val="32"/>
          <w:szCs w:val="32"/>
        </w:rPr>
        <w:t>3</w:t>
      </w:r>
    </w:p>
    <w:p w14:paraId="76ACED97"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RMSE of various regression models on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99"/>
        <w:gridCol w:w="886"/>
      </w:tblGrid>
      <w:tr w:rsidR="004F0086" w:rsidRPr="004F0086" w14:paraId="25A4CD65"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6323B4A9"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Regression model</w:t>
            </w:r>
          </w:p>
        </w:tc>
        <w:tc>
          <w:tcPr>
            <w:tcW w:w="0" w:type="auto"/>
            <w:tcBorders>
              <w:top w:val="nil"/>
              <w:left w:val="nil"/>
              <w:bottom w:val="nil"/>
              <w:right w:val="nil"/>
            </w:tcBorders>
            <w:tcMar>
              <w:top w:w="48" w:type="dxa"/>
              <w:left w:w="96" w:type="dxa"/>
              <w:bottom w:w="48" w:type="dxa"/>
              <w:right w:w="96" w:type="dxa"/>
            </w:tcMar>
            <w:vAlign w:val="center"/>
            <w:hideMark/>
          </w:tcPr>
          <w:p w14:paraId="6BD6AC81"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RMSE</w:t>
            </w:r>
          </w:p>
        </w:tc>
      </w:tr>
      <w:tr w:rsidR="004F0086" w:rsidRPr="004F0086" w14:paraId="2DAF12C8"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E687156"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XGB</w:t>
            </w:r>
          </w:p>
        </w:tc>
        <w:tc>
          <w:tcPr>
            <w:tcW w:w="0" w:type="auto"/>
            <w:tcBorders>
              <w:top w:val="nil"/>
              <w:left w:val="nil"/>
              <w:bottom w:val="nil"/>
              <w:right w:val="nil"/>
            </w:tcBorders>
            <w:tcMar>
              <w:top w:w="48" w:type="dxa"/>
              <w:left w:w="96" w:type="dxa"/>
              <w:bottom w:w="48" w:type="dxa"/>
              <w:right w:w="96" w:type="dxa"/>
            </w:tcMar>
            <w:vAlign w:val="center"/>
            <w:hideMark/>
          </w:tcPr>
          <w:p w14:paraId="47D0BB52"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0.36</w:t>
            </w:r>
          </w:p>
        </w:tc>
      </w:tr>
      <w:tr w:rsidR="004F0086" w:rsidRPr="004F0086" w14:paraId="6E72012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0703BE7"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SVR</w:t>
            </w:r>
          </w:p>
        </w:tc>
        <w:tc>
          <w:tcPr>
            <w:tcW w:w="0" w:type="auto"/>
            <w:tcBorders>
              <w:top w:val="nil"/>
              <w:left w:val="nil"/>
              <w:bottom w:val="nil"/>
              <w:right w:val="nil"/>
            </w:tcBorders>
            <w:tcMar>
              <w:top w:w="48" w:type="dxa"/>
              <w:left w:w="96" w:type="dxa"/>
              <w:bottom w:w="48" w:type="dxa"/>
              <w:right w:w="96" w:type="dxa"/>
            </w:tcMar>
            <w:vAlign w:val="center"/>
            <w:hideMark/>
          </w:tcPr>
          <w:p w14:paraId="5CB6DE10"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0.45</w:t>
            </w:r>
          </w:p>
        </w:tc>
      </w:tr>
      <w:tr w:rsidR="004F0086" w:rsidRPr="004F0086" w14:paraId="50E00A2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26A2F9E1"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GPR</w:t>
            </w:r>
          </w:p>
        </w:tc>
        <w:tc>
          <w:tcPr>
            <w:tcW w:w="0" w:type="auto"/>
            <w:tcBorders>
              <w:top w:val="nil"/>
              <w:left w:val="nil"/>
              <w:bottom w:val="nil"/>
              <w:right w:val="nil"/>
            </w:tcBorders>
            <w:tcMar>
              <w:top w:w="48" w:type="dxa"/>
              <w:left w:w="96" w:type="dxa"/>
              <w:bottom w:w="48" w:type="dxa"/>
              <w:right w:w="96" w:type="dxa"/>
            </w:tcMar>
            <w:vAlign w:val="center"/>
            <w:hideMark/>
          </w:tcPr>
          <w:p w14:paraId="5558F5F1"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0.43</w:t>
            </w:r>
          </w:p>
        </w:tc>
      </w:tr>
    </w:tbl>
    <w:p w14:paraId="0DDC6F7B" w14:textId="3893E6C5"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30"/>
          <w:szCs w:val="30"/>
          <w:u w:val="single"/>
        </w:rPr>
      </w:pPr>
      <w:r w:rsidRPr="0096297A">
        <w:drawing>
          <wp:inline distT="0" distB="0" distL="0" distR="0" wp14:anchorId="1D08EF0E" wp14:editId="7AC7BD9B">
            <wp:extent cx="3810000" cy="4419600"/>
            <wp:effectExtent l="0" t="0" r="0" b="0"/>
            <wp:docPr id="1" name="Picture 1">
              <a:hlinkClick xmlns:a="http://schemas.openxmlformats.org/drawingml/2006/main" r:id="rId1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tgtFrame="&quot;figur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"https://www.ncbi.nlm.nih.gov/pmc/articles/PMC10107388/figure/htl212039-fig-0004/" \t "figure" </w:instrText>
      </w:r>
      <w:r w:rsidRPr="004F0086">
        <w:rPr>
          <w:rFonts w:ascii="Cambria" w:eastAsia="Times New Roman" w:hAnsi="Cambria" w:cs="Times New Roman"/>
          <w:color w:val="212121"/>
          <w:sz w:val="30"/>
          <w:szCs w:val="30"/>
        </w:rPr>
        <w:fldChar w:fldCharType="separate"/>
      </w:r>
    </w:p>
    <w:p w14:paraId="5CAD759C" w14:textId="4105174F"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p>
    <w:p w14:paraId="1BF5D0CD" w14:textId="14D036C1" w:rsidR="009E34A2" w:rsidRPr="009E34A2" w:rsidRDefault="004F0086" w:rsidP="009E34A2">
      <w:pPr>
        <w:pStyle w:val="NormalWeb"/>
        <w:shd w:val="clear" w:color="auto" w:fill="FFFFFF"/>
        <w:spacing w:before="400" w:beforeAutospacing="0" w:after="400" w:afterAutospacing="0"/>
        <w:rPr>
          <w:rFonts w:ascii="Cambria" w:hAnsi="Cambria"/>
          <w:color w:val="212121"/>
          <w:sz w:val="30"/>
          <w:szCs w:val="30"/>
        </w:rPr>
      </w:pPr>
      <w:r w:rsidRPr="004F0086">
        <w:rPr>
          <w:rFonts w:ascii="Cambria" w:hAnsi="Cambria"/>
          <w:color w:val="212121"/>
          <w:sz w:val="30"/>
          <w:szCs w:val="30"/>
        </w:rPr>
        <w:fldChar w:fldCharType="end"/>
      </w:r>
      <w:r w:rsidR="009E34A2" w:rsidRPr="009E34A2">
        <w:rPr>
          <w:rFonts w:ascii="Cambria" w:hAnsi="Cambria"/>
          <w:color w:val="212121"/>
          <w:sz w:val="30"/>
          <w:szCs w:val="30"/>
        </w:rPr>
        <w:t xml:space="preserve"> </w:t>
      </w:r>
      <w:r w:rsidR="009E34A2" w:rsidRPr="009E34A2">
        <w:rPr>
          <w:rFonts w:ascii="Cambria" w:hAnsi="Cambria"/>
          <w:color w:val="212121"/>
          <w:sz w:val="30"/>
          <w:szCs w:val="30"/>
        </w:rPr>
        <w:t>Merged dataset: After the semi‐supervised approach, we predicted the insulin feature and merged the RTML dataset with the Pima Indian dataset. The merged dataset contained 877 data with all the features, excluding the diabetes pedigree function, as it was the least important feature according to mutual information.</w:t>
      </w:r>
    </w:p>
    <w:p w14:paraId="4057F9DA"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SMOTE and ADASYN for class imbalance: The merged dataset used in this work comprises the imbalance problem with 302 and 669 diabetes and non‐diabetes samples, respectively. To take care of this problem, the SMOTE and ADASYN techniques have been applied to the training dataset, leaving the testing data unaffected. Adaptive Synthetic Sampling, known as ADASYN, is a synthetic data generation technique with the characteristics of not duplicating minority samples and generating more data for ‘harder to learn’ examples [</w:t>
      </w:r>
      <w:hyperlink r:id="rId20" w:anchor="htl212039-bib-0013" w:history="1">
        <w:r w:rsidRPr="009E34A2">
          <w:rPr>
            <w:rFonts w:ascii="Cambria" w:eastAsia="Times New Roman" w:hAnsi="Cambria" w:cs="Times New Roman"/>
            <w:color w:val="376FAA"/>
            <w:sz w:val="30"/>
            <w:szCs w:val="30"/>
            <w:u w:val="single"/>
          </w:rPr>
          <w:t>13</w:t>
        </w:r>
      </w:hyperlink>
      <w:r w:rsidRPr="009E34A2">
        <w:rPr>
          <w:rFonts w:ascii="Cambria" w:eastAsia="Times New Roman" w:hAnsi="Cambria" w:cs="Times New Roman"/>
          <w:color w:val="212121"/>
          <w:sz w:val="30"/>
          <w:szCs w:val="30"/>
        </w:rPr>
        <w:t>]. As a result, the minority class will be sampled to the same extent as the majority class.</w:t>
      </w:r>
    </w:p>
    <w:p w14:paraId="0A18EE93"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Min–Max normalization: In this research, we used the min–max normalization technique. The data has been scaled to the same range using the following equation:</w:t>
      </w:r>
    </w:p>
    <w:p w14:paraId="798530BA" w14:textId="77777777"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scaled</w:t>
      </w:r>
      <w:proofErr w:type="spellEnd"/>
      <w:r w:rsidRPr="009E34A2">
        <w:rPr>
          <w:rFonts w:ascii="MathJax_Main" w:eastAsia="Times New Roman" w:hAnsi="MathJax_Main" w:cs="Times New Roman"/>
          <w:color w:val="212121"/>
          <w:sz w:val="39"/>
          <w:szCs w:val="39"/>
          <w:bdr w:val="none" w:sz="0" w:space="0" w:color="auto" w:frame="1"/>
        </w:rPr>
        <w:t>=</w:t>
      </w:r>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min</w:t>
      </w:r>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max</w:t>
      </w:r>
      <w:proofErr w:type="spellEnd"/>
      <w:r w:rsidRPr="009E34A2">
        <w:rPr>
          <w:rFonts w:ascii="MathJax_Main" w:eastAsia="Times New Roman" w:hAnsi="MathJax_Main"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min</w:t>
      </w:r>
      <w:proofErr w:type="spellEnd"/>
    </w:p>
    <w:p w14:paraId="0A0A3432" w14:textId="77777777" w:rsidR="009E34A2" w:rsidRPr="009E34A2" w:rsidRDefault="009E34A2" w:rsidP="009E34A2">
      <w:pPr>
        <w:shd w:val="clear" w:color="auto" w:fill="FFFFFF"/>
        <w:spacing w:before="400" w:after="200" w:line="450" w:lineRule="atLeast"/>
        <w:outlineLvl w:val="2"/>
        <w:rPr>
          <w:rFonts w:ascii="Cambria" w:eastAsia="Times New Roman" w:hAnsi="Cambria" w:cs="Times New Roman"/>
          <w:color w:val="734126"/>
          <w:spacing w:val="-2"/>
          <w:sz w:val="32"/>
          <w:szCs w:val="32"/>
        </w:rPr>
      </w:pPr>
      <w:r w:rsidRPr="009E34A2">
        <w:rPr>
          <w:rFonts w:ascii="Cambria" w:eastAsia="Times New Roman" w:hAnsi="Cambria" w:cs="Times New Roman"/>
          <w:color w:val="734126"/>
          <w:spacing w:val="-2"/>
          <w:sz w:val="32"/>
          <w:szCs w:val="32"/>
        </w:rPr>
        <w:t> Machine learning classifiers</w:t>
      </w:r>
    </w:p>
    <w:p w14:paraId="44811BBF"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 xml:space="preserve">In this work, various machine learning and ensemble techniques have been employed to implement the automatic diabetes prediction system, briefly discussed below. </w:t>
      </w:r>
      <w:proofErr w:type="spellStart"/>
      <w:r w:rsidRPr="009E34A2">
        <w:rPr>
          <w:rFonts w:ascii="Cambria" w:eastAsia="Times New Roman" w:hAnsi="Cambria" w:cs="Times New Roman"/>
          <w:color w:val="212121"/>
          <w:sz w:val="30"/>
          <w:szCs w:val="30"/>
        </w:rPr>
        <w:t>GridSearchCV</w:t>
      </w:r>
      <w:proofErr w:type="spellEnd"/>
      <w:r w:rsidRPr="009E34A2">
        <w:rPr>
          <w:rFonts w:ascii="Cambria" w:eastAsia="Times New Roman" w:hAnsi="Cambria" w:cs="Times New Roman"/>
          <w:color w:val="212121"/>
          <w:sz w:val="30"/>
          <w:szCs w:val="30"/>
        </w:rPr>
        <w:t xml:space="preserve"> framework has been employed in this research to find the optimal values of different hyperparameters for all the machine learning models to prevent overfitting.</w:t>
      </w:r>
    </w:p>
    <w:p w14:paraId="28124BB6"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Decision tree: A decision tree represents the learning function provided by a set of rules. The decision tree learning technique performs a method for approximating discrete‐valued target functions. Gini or entropy [</w:t>
      </w:r>
      <w:hyperlink r:id="rId21" w:anchor="htl212039-bib-0007" w:history="1">
        <w:r w:rsidRPr="009E34A2">
          <w:rPr>
            <w:rFonts w:ascii="Cambria" w:eastAsia="Times New Roman" w:hAnsi="Cambria" w:cs="Times New Roman"/>
            <w:color w:val="376FAA"/>
            <w:sz w:val="30"/>
            <w:szCs w:val="30"/>
            <w:u w:val="single"/>
          </w:rPr>
          <w:t>7</w:t>
        </w:r>
      </w:hyperlink>
      <w:r w:rsidRPr="009E34A2">
        <w:rPr>
          <w:rFonts w:ascii="Cambria" w:eastAsia="Times New Roman" w:hAnsi="Cambria" w:cs="Times New Roman"/>
          <w:color w:val="212121"/>
          <w:sz w:val="30"/>
          <w:szCs w:val="30"/>
        </w:rPr>
        <w:t xml:space="preserve">] </w:t>
      </w:r>
      <w:r w:rsidRPr="009E34A2">
        <w:rPr>
          <w:rFonts w:ascii="Cambria" w:eastAsia="Times New Roman" w:hAnsi="Cambria" w:cs="Times New Roman"/>
          <w:color w:val="212121"/>
          <w:sz w:val="30"/>
          <w:szCs w:val="30"/>
        </w:rPr>
        <w:lastRenderedPageBreak/>
        <w:t>are used to determine information gain, and each node is chosen based on these coefficients, which are expressed as</w:t>
      </w:r>
    </w:p>
    <w:p w14:paraId="60EF54B0" w14:textId="73C079B9"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proofErr w:type="spellStart"/>
      <w:r w:rsidRPr="009E34A2">
        <w:rPr>
          <w:rFonts w:ascii="MathJax_Main" w:eastAsia="Times New Roman" w:hAnsi="MathJax_Main" w:cs="Times New Roman"/>
          <w:color w:val="212121"/>
          <w:sz w:val="39"/>
          <w:szCs w:val="39"/>
          <w:bdr w:val="none" w:sz="0" w:space="0" w:color="auto" w:frame="1"/>
        </w:rPr>
        <w:t>Gini</w:t>
      </w:r>
      <w:r w:rsidRPr="009E34A2">
        <w:rPr>
          <w:rFonts w:ascii="MathJax_Main" w:eastAsia="Times New Roman" w:hAnsi="MathJax_Main" w:cs="Times New Roman"/>
          <w:color w:val="212121"/>
          <w:sz w:val="28"/>
          <w:szCs w:val="28"/>
          <w:bdr w:val="none" w:sz="0" w:space="0" w:color="auto" w:frame="1"/>
        </w:rPr>
        <w:t>i</w:t>
      </w:r>
      <w:proofErr w:type="spellEnd"/>
      <w:r w:rsidRPr="009E34A2">
        <w:rPr>
          <w:rFonts w:ascii="MathJax_Main" w:eastAsia="Times New Roman" w:hAnsi="MathJax_Main" w:cs="Times New Roman"/>
          <w:color w:val="212121"/>
          <w:sz w:val="39"/>
          <w:szCs w:val="39"/>
          <w:bdr w:val="none" w:sz="0" w:space="0" w:color="auto" w:frame="1"/>
        </w:rPr>
        <w:t>=1−</w:t>
      </w:r>
      <w:r w:rsidRPr="009E34A2">
        <w:rPr>
          <w:rFonts w:ascii="MathJax_Size2" w:eastAsia="Times New Roman" w:hAnsi="MathJax_Size2" w:cs="Times New Roman"/>
          <w:color w:val="212121"/>
          <w:sz w:val="39"/>
          <w:szCs w:val="39"/>
          <w:bdr w:val="none" w:sz="0" w:space="0" w:color="auto" w:frame="1"/>
        </w:rPr>
        <w:t>∑</w:t>
      </w:r>
      <w:r w:rsidRPr="009E34A2">
        <w:rPr>
          <w:rFonts w:ascii="MathJax_Main" w:eastAsia="Times New Roman" w:hAnsi="MathJax_Main" w:cs="Times New Roman"/>
          <w:color w:val="212121"/>
          <w:sz w:val="28"/>
          <w:szCs w:val="28"/>
          <w:bdr w:val="none" w:sz="0" w:space="0" w:color="auto" w:frame="1"/>
        </w:rPr>
        <w:t>k=1n</w:t>
      </w:r>
      <w:r w:rsidRPr="009E34A2">
        <w:rPr>
          <w:rFonts w:ascii="MathJax_Main" w:eastAsia="Times New Roman" w:hAnsi="MathJax_Main" w:cs="Times New Roman"/>
          <w:color w:val="212121"/>
          <w:sz w:val="39"/>
          <w:szCs w:val="39"/>
          <w:bdr w:val="none" w:sz="0" w:space="0" w:color="auto" w:frame="1"/>
        </w:rPr>
        <w:t>(</w:t>
      </w:r>
      <w:proofErr w:type="spellStart"/>
      <w:proofErr w:type="gramStart"/>
      <w:r w:rsidRPr="009E34A2">
        <w:rPr>
          <w:rFonts w:ascii="MathJax_Main" w:eastAsia="Times New Roman" w:hAnsi="MathJax_Main" w:cs="Times New Roman"/>
          <w:color w:val="212121"/>
          <w:sz w:val="39"/>
          <w:szCs w:val="39"/>
          <w:bdr w:val="none" w:sz="0" w:space="0" w:color="auto" w:frame="1"/>
        </w:rPr>
        <w:t>p</w:t>
      </w:r>
      <w:r w:rsidRPr="009E34A2">
        <w:rPr>
          <w:rFonts w:ascii="MathJax_Main" w:eastAsia="Times New Roman" w:hAnsi="MathJax_Main" w:cs="Times New Roman"/>
          <w:color w:val="212121"/>
          <w:sz w:val="28"/>
          <w:szCs w:val="28"/>
          <w:bdr w:val="none" w:sz="0" w:space="0" w:color="auto" w:frame="1"/>
        </w:rPr>
        <w:t>i,k</w:t>
      </w:r>
      <w:proofErr w:type="spellEnd"/>
      <w:proofErr w:type="gramEnd"/>
      <w:r w:rsidRPr="009E34A2">
        <w:rPr>
          <w:rFonts w:ascii="MathJax_Main" w:eastAsia="Times New Roman" w:hAnsi="MathJax_Main" w:cs="Times New Roman"/>
          <w:color w:val="212121"/>
          <w:sz w:val="39"/>
          <w:szCs w:val="39"/>
          <w:bdr w:val="none" w:sz="0" w:space="0" w:color="auto" w:frame="1"/>
        </w:rPr>
        <w:t>)</w:t>
      </w:r>
      <w:r>
        <w:rPr>
          <w:rFonts w:ascii="MathJax_Main" w:eastAsia="Times New Roman" w:hAnsi="MathJax_Main" w:cs="Times New Roman"/>
          <w:color w:val="212121"/>
          <w:sz w:val="28"/>
          <w:szCs w:val="28"/>
          <w:bdr w:val="none" w:sz="0" w:space="0" w:color="auto" w:frame="1"/>
        </w:rPr>
        <w:t>2</w:t>
      </w:r>
    </w:p>
    <w:p w14:paraId="5890E064" w14:textId="64F58218" w:rsidR="009E34A2" w:rsidRPr="009E34A2" w:rsidRDefault="009E34A2" w:rsidP="009E34A2">
      <w:pPr>
        <w:shd w:val="clear" w:color="auto" w:fill="FFFFFF"/>
        <w:spacing w:line="240" w:lineRule="auto"/>
        <w:textAlignment w:val="center"/>
        <w:rPr>
          <w:rFonts w:ascii="Cambria" w:eastAsia="Times New Roman" w:hAnsi="Cambria" w:cs="Times New Roman"/>
          <w:color w:val="212121"/>
          <w:sz w:val="30"/>
          <w:szCs w:val="30"/>
        </w:rPr>
      </w:pPr>
    </w:p>
    <w:p w14:paraId="48FD5137" w14:textId="77777777"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r w:rsidRPr="009E34A2">
        <w:rPr>
          <w:rFonts w:ascii="MathJax_Math-italic" w:eastAsia="Times New Roman" w:hAnsi="MathJax_Math-italic" w:cs="Times New Roman"/>
          <w:color w:val="212121"/>
          <w:sz w:val="39"/>
          <w:szCs w:val="39"/>
          <w:bdr w:val="none" w:sz="0" w:space="0" w:color="auto" w:frame="1"/>
        </w:rPr>
        <w:t>Entropy</w:t>
      </w:r>
      <w:r w:rsidRPr="009E34A2">
        <w:rPr>
          <w:rFonts w:ascii="MathJax_Main" w:eastAsia="Times New Roman" w:hAnsi="MathJax_Main" w:cs="Times New Roman"/>
          <w:color w:val="212121"/>
          <w:sz w:val="39"/>
          <w:szCs w:val="39"/>
          <w:bdr w:val="none" w:sz="0" w:space="0" w:color="auto" w:frame="1"/>
        </w:rPr>
        <w:t>=</w:t>
      </w:r>
      <w:r w:rsidRPr="009E34A2">
        <w:rPr>
          <w:rFonts w:ascii="MathJax_Size2" w:eastAsia="Times New Roman" w:hAnsi="MathJax_Size2"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28"/>
          <w:szCs w:val="28"/>
          <w:bdr w:val="none" w:sz="0" w:space="0" w:color="auto" w:frame="1"/>
        </w:rPr>
        <w:t>i</w:t>
      </w:r>
      <w:proofErr w:type="spellEnd"/>
      <w:r w:rsidRPr="009E34A2">
        <w:rPr>
          <w:rFonts w:ascii="MathJax_Main" w:eastAsia="Times New Roman" w:hAnsi="MathJax_Main" w:cs="Times New Roman"/>
          <w:color w:val="212121"/>
          <w:sz w:val="28"/>
          <w:szCs w:val="28"/>
          <w:bdr w:val="none" w:sz="0" w:space="0" w:color="auto" w:frame="1"/>
        </w:rPr>
        <w:t>=1</w:t>
      </w:r>
      <w:r w:rsidRPr="009E34A2">
        <w:rPr>
          <w:rFonts w:ascii="MathJax_Math-italic" w:eastAsia="Times New Roman" w:hAnsi="MathJax_Math-italic" w:cs="Times New Roman"/>
          <w:color w:val="212121"/>
          <w:sz w:val="28"/>
          <w:szCs w:val="28"/>
          <w:bdr w:val="none" w:sz="0" w:space="0" w:color="auto" w:frame="1"/>
        </w:rPr>
        <w:t>n</w:t>
      </w:r>
      <w:r w:rsidRPr="009E34A2">
        <w:rPr>
          <w:rFonts w:ascii="MathJax_Main" w:eastAsia="Times New Roman" w:hAnsi="MathJax_Main" w:cs="Times New Roman"/>
          <w:color w:val="212121"/>
          <w:sz w:val="39"/>
          <w:szCs w:val="39"/>
          <w:bdr w:val="none" w:sz="0" w:space="0" w:color="auto" w:frame="1"/>
        </w:rPr>
        <w:t>−</w:t>
      </w:r>
      <w:r w:rsidRPr="009E34A2">
        <w:rPr>
          <w:rFonts w:ascii="MathJax_Math-italic" w:eastAsia="Times New Roman" w:hAnsi="MathJax_Math-italic" w:cs="Times New Roman"/>
          <w:color w:val="212121"/>
          <w:sz w:val="39"/>
          <w:szCs w:val="39"/>
          <w:bdr w:val="none" w:sz="0" w:space="0" w:color="auto" w:frame="1"/>
        </w:rPr>
        <w:t>p</w:t>
      </w:r>
      <w:r w:rsidRPr="009E34A2">
        <w:rPr>
          <w:rFonts w:ascii="MathJax_Math-italic" w:eastAsia="Times New Roman" w:hAnsi="MathJax_Math-italic" w:cs="Times New Roman"/>
          <w:color w:val="212121"/>
          <w:sz w:val="28"/>
          <w:szCs w:val="28"/>
          <w:bdr w:val="none" w:sz="0" w:space="0" w:color="auto" w:frame="1"/>
        </w:rPr>
        <w:t>i</w:t>
      </w:r>
      <w:r w:rsidRPr="009E34A2">
        <w:rPr>
          <w:rFonts w:ascii="MathJax_Main" w:eastAsia="Times New Roman" w:hAnsi="MathJax_Main" w:cs="Times New Roman"/>
          <w:color w:val="212121"/>
          <w:sz w:val="39"/>
          <w:szCs w:val="39"/>
          <w:bdr w:val="none" w:sz="0" w:space="0" w:color="auto" w:frame="1"/>
        </w:rPr>
        <w:t>log</w:t>
      </w:r>
      <w:r w:rsidRPr="009E34A2">
        <w:rPr>
          <w:rFonts w:ascii="MathJax_Main" w:eastAsia="Times New Roman" w:hAnsi="MathJax_Main" w:cs="Times New Roman"/>
          <w:color w:val="212121"/>
          <w:sz w:val="28"/>
          <w:szCs w:val="28"/>
          <w:bdr w:val="none" w:sz="0" w:space="0" w:color="auto" w:frame="1"/>
        </w:rPr>
        <w:t>2</w:t>
      </w:r>
      <w:r w:rsidRPr="009E34A2">
        <w:rPr>
          <w:rFonts w:ascii="MathJax_Math-italic" w:eastAsia="Times New Roman" w:hAnsi="MathJax_Math-italic" w:cs="Times New Roman"/>
          <w:color w:val="212121"/>
          <w:sz w:val="39"/>
          <w:szCs w:val="39"/>
          <w:bdr w:val="none" w:sz="0" w:space="0" w:color="auto" w:frame="1"/>
        </w:rPr>
        <w:t>p</w:t>
      </w:r>
      <w:r w:rsidRPr="009E34A2">
        <w:rPr>
          <w:rFonts w:ascii="MathJax_Math-italic" w:eastAsia="Times New Roman" w:hAnsi="MathJax_Math-italic" w:cs="Times New Roman"/>
          <w:color w:val="212121"/>
          <w:sz w:val="28"/>
          <w:szCs w:val="28"/>
          <w:bdr w:val="none" w:sz="0" w:space="0" w:color="auto" w:frame="1"/>
        </w:rPr>
        <w:t>i</w:t>
      </w:r>
    </w:p>
    <w:p w14:paraId="235454A4" w14:textId="77777777" w:rsidR="009E34A2" w:rsidRPr="009E34A2" w:rsidRDefault="009E34A2" w:rsidP="009E34A2">
      <w:pPr>
        <w:shd w:val="clear" w:color="auto" w:fill="FFFFFF"/>
        <w:spacing w:before="400" w:after="200" w:line="450" w:lineRule="atLeast"/>
        <w:outlineLvl w:val="2"/>
        <w:rPr>
          <w:rFonts w:ascii="Cambria" w:eastAsia="Times New Roman" w:hAnsi="Cambria" w:cs="Times New Roman"/>
          <w:color w:val="734126"/>
          <w:spacing w:val="-2"/>
          <w:sz w:val="32"/>
          <w:szCs w:val="32"/>
        </w:rPr>
      </w:pPr>
      <w:r w:rsidRPr="009E34A2">
        <w:rPr>
          <w:rFonts w:ascii="Cambria" w:eastAsia="Times New Roman" w:hAnsi="Cambria" w:cs="Times New Roman"/>
          <w:color w:val="734126"/>
          <w:spacing w:val="-2"/>
          <w:sz w:val="32"/>
          <w:szCs w:val="32"/>
        </w:rPr>
        <w:t>Deployment of the prediction system</w:t>
      </w:r>
    </w:p>
    <w:p w14:paraId="753FDCBC"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The proposed machine learning‐based diabetes prediction system has been deployed into a website and smartphone application framework to work instantaneously on real data.</w:t>
      </w:r>
    </w:p>
    <w:p w14:paraId="2E040B3D"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 xml:space="preserve">Web application: We have used HTML and CSS for the frontend part of the proposed website. After that, we finalized the machine learning model </w:t>
      </w:r>
      <w:proofErr w:type="spellStart"/>
      <w:r w:rsidRPr="009E34A2">
        <w:rPr>
          <w:rFonts w:ascii="Cambria" w:eastAsia="Times New Roman" w:hAnsi="Cambria" w:cs="Times New Roman"/>
          <w:color w:val="212121"/>
          <w:sz w:val="30"/>
          <w:szCs w:val="30"/>
        </w:rPr>
        <w:t>XGBoost</w:t>
      </w:r>
      <w:proofErr w:type="spellEnd"/>
      <w:r w:rsidRPr="009E34A2">
        <w:rPr>
          <w:rFonts w:ascii="Cambria" w:eastAsia="Times New Roman" w:hAnsi="Cambria" w:cs="Times New Roman"/>
          <w:color w:val="212121"/>
          <w:sz w:val="30"/>
          <w:szCs w:val="30"/>
        </w:rPr>
        <w:t xml:space="preserve"> with ADASYN, as it provided the best performance. The model deployment has been done with Spyder, a Python environment platform that works with Anaconda. Figure </w:t>
      </w:r>
      <w:hyperlink r:id="rId22" w:tgtFrame="figure" w:history="1">
        <w:r w:rsidRPr="009E34A2">
          <w:rPr>
            <w:rFonts w:ascii="Cambria" w:eastAsia="Times New Roman" w:hAnsi="Cambria" w:cs="Times New Roman"/>
            <w:color w:val="376FAA"/>
            <w:sz w:val="30"/>
            <w:szCs w:val="30"/>
            <w:u w:val="single"/>
          </w:rPr>
          <w:t>5</w:t>
        </w:r>
      </w:hyperlink>
      <w:r w:rsidRPr="009E34A2">
        <w:rPr>
          <w:rFonts w:ascii="Cambria" w:eastAsia="Times New Roman" w:hAnsi="Cambria" w:cs="Times New Roman"/>
          <w:color w:val="212121"/>
          <w:sz w:val="30"/>
          <w:szCs w:val="30"/>
        </w:rPr>
        <w:t> shows the illustration of the website application development process.</w:t>
      </w:r>
    </w:p>
    <w:p w14:paraId="6C2FEF36" w14:textId="77777777" w:rsidR="009E34A2" w:rsidRPr="009E34A2" w:rsidRDefault="009E34A2" w:rsidP="009E34A2">
      <w:pPr>
        <w:shd w:val="clear" w:color="auto" w:fill="FFFCF0"/>
        <w:spacing w:after="0" w:line="240" w:lineRule="auto"/>
        <w:rPr>
          <w:rFonts w:ascii="Times New Roman" w:eastAsia="Times New Roman" w:hAnsi="Times New Roman" w:cs="Times New Roman"/>
          <w:color w:val="376FAA"/>
          <w:sz w:val="24"/>
          <w:szCs w:val="24"/>
          <w:u w:val="single"/>
        </w:rPr>
      </w:pPr>
      <w:r w:rsidRPr="009E34A2">
        <w:rPr>
          <w:rFonts w:ascii="Cambria" w:eastAsia="Times New Roman" w:hAnsi="Cambria" w:cs="Times New Roman"/>
          <w:color w:val="212121"/>
          <w:sz w:val="30"/>
          <w:szCs w:val="30"/>
        </w:rPr>
        <w:fldChar w:fldCharType="begin"/>
      </w:r>
      <w:r w:rsidRPr="009E34A2">
        <w:rPr>
          <w:rFonts w:ascii="Cambria" w:eastAsia="Times New Roman" w:hAnsi="Cambria" w:cs="Times New Roman"/>
          <w:color w:val="212121"/>
          <w:sz w:val="30"/>
          <w:szCs w:val="30"/>
        </w:rPr>
        <w:instrText xml:space="preserve"> HYPERLINK "https://www.ncbi.nlm.nih.gov/pmc/articles/PMC10107388/figure/htl212039-fig-0005/" \t "figure" </w:instrText>
      </w:r>
      <w:r w:rsidRPr="009E34A2">
        <w:rPr>
          <w:rFonts w:ascii="Cambria" w:eastAsia="Times New Roman" w:hAnsi="Cambria" w:cs="Times New Roman"/>
          <w:color w:val="212121"/>
          <w:sz w:val="30"/>
          <w:szCs w:val="30"/>
        </w:rPr>
        <w:fldChar w:fldCharType="separate"/>
      </w:r>
    </w:p>
    <w:p w14:paraId="05F8D279" w14:textId="267B2A5F" w:rsidR="009E34A2" w:rsidRPr="009E34A2" w:rsidRDefault="009E34A2" w:rsidP="009E34A2">
      <w:pPr>
        <w:shd w:val="clear" w:color="auto" w:fill="FFFCF0"/>
        <w:spacing w:after="0" w:line="240" w:lineRule="auto"/>
        <w:jc w:val="center"/>
        <w:rPr>
          <w:rFonts w:ascii="Times New Roman" w:eastAsia="Times New Roman" w:hAnsi="Times New Roman" w:cs="Times New Roman"/>
          <w:sz w:val="24"/>
          <w:szCs w:val="24"/>
        </w:rPr>
      </w:pPr>
      <w:r w:rsidRPr="009E34A2">
        <w:rPr>
          <w:rFonts w:ascii="Cambria" w:eastAsia="Times New Roman" w:hAnsi="Cambria" w:cs="Times New Roman"/>
          <w:noProof/>
          <w:color w:val="376FAA"/>
          <w:sz w:val="30"/>
          <w:szCs w:val="30"/>
        </w:rPr>
        <w:drawing>
          <wp:inline distT="0" distB="0" distL="0" distR="0" wp14:anchorId="7312625C" wp14:editId="416A4F90">
            <wp:extent cx="2286000" cy="1790700"/>
            <wp:effectExtent l="0" t="0" r="0" b="0"/>
            <wp:docPr id="4" name="Picture 4">
              <a:hlinkClick xmlns:a="http://schemas.openxmlformats.org/drawingml/2006/main" r:id="rId22"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2" tgtFrame="&quot;figur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790700"/>
                    </a:xfrm>
                    <a:prstGeom prst="rect">
                      <a:avLst/>
                    </a:prstGeom>
                    <a:noFill/>
                    <a:ln>
                      <a:noFill/>
                    </a:ln>
                  </pic:spPr>
                </pic:pic>
              </a:graphicData>
            </a:graphic>
          </wp:inline>
        </w:drawing>
      </w:r>
    </w:p>
    <w:p w14:paraId="35AF1625" w14:textId="77777777" w:rsidR="009E34A2" w:rsidRPr="009E34A2" w:rsidRDefault="009E34A2" w:rsidP="009E34A2">
      <w:pPr>
        <w:shd w:val="clear" w:color="auto" w:fill="FFFCF0"/>
        <w:spacing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fldChar w:fldCharType="end"/>
      </w:r>
    </w:p>
    <w:p w14:paraId="5E7F2ACF" w14:textId="77777777" w:rsidR="009E34A2" w:rsidRDefault="009E34A2" w:rsidP="009E34A2">
      <w:pPr>
        <w:pStyle w:val="Heading2"/>
        <w:pBdr>
          <w:bottom w:val="single" w:sz="6" w:space="0" w:color="97B0C8"/>
        </w:pBdr>
        <w:shd w:val="clear" w:color="auto" w:fill="FFFFFF"/>
        <w:spacing w:before="400" w:after="200" w:line="450" w:lineRule="atLeast"/>
        <w:rPr>
          <w:rFonts w:ascii="Cambria" w:hAnsi="Cambria" w:cs="Times New Roman"/>
          <w:color w:val="995733"/>
          <w:spacing w:val="-2"/>
          <w:sz w:val="34"/>
          <w:szCs w:val="34"/>
        </w:rPr>
      </w:pPr>
      <w:r>
        <w:rPr>
          <w:rFonts w:ascii="Cambria" w:hAnsi="Cambria"/>
          <w:b/>
          <w:bCs/>
          <w:color w:val="995733"/>
          <w:spacing w:val="-2"/>
          <w:sz w:val="34"/>
          <w:szCs w:val="34"/>
        </w:rPr>
        <w:lastRenderedPageBreak/>
        <w:t>RESULTS AND DISCUSSION</w:t>
      </w:r>
    </w:p>
    <w:p w14:paraId="4F9A2575" w14:textId="77777777" w:rsidR="009E34A2" w:rsidRDefault="009E34A2" w:rsidP="009E34A2">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This section presents the results and discussion of the proposed automatic diabetes prediction system. First, the performance of various machine learning techniques is discussed. Next, the implemented website framework and Android smartphone application are demonstrated. We used precision, recall, F1 score, AUC, and classification accuracy to evaluate various ML models. Equations of these metrics are expressed as</w:t>
      </w:r>
    </w:p>
    <w:p w14:paraId="679BE6AC"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Precision</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62ED4746" w14:textId="6CC8828D" w:rsidR="009E34A2" w:rsidRDefault="009E34A2" w:rsidP="009E34A2">
      <w:pPr>
        <w:shd w:val="clear" w:color="auto" w:fill="FFFFFF"/>
        <w:textAlignment w:val="center"/>
        <w:rPr>
          <w:rFonts w:ascii="Cambria" w:hAnsi="Cambria"/>
          <w:color w:val="212121"/>
          <w:sz w:val="30"/>
          <w:szCs w:val="30"/>
        </w:rPr>
      </w:pPr>
    </w:p>
    <w:p w14:paraId="43D42CC2"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3DC5F0A2" w14:textId="2FC69B4C" w:rsidR="009E34A2" w:rsidRDefault="009E34A2" w:rsidP="009E34A2">
      <w:pPr>
        <w:shd w:val="clear" w:color="auto" w:fill="FFFFFF"/>
        <w:textAlignment w:val="center"/>
        <w:rPr>
          <w:rFonts w:ascii="Cambria" w:hAnsi="Cambria"/>
          <w:color w:val="212121"/>
          <w:sz w:val="30"/>
          <w:szCs w:val="30"/>
        </w:rPr>
      </w:pPr>
    </w:p>
    <w:p w14:paraId="6DAD4EBD"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i"/>
          <w:rFonts w:ascii="MathJax_Math-italic" w:hAnsi="MathJax_Math-italic"/>
          <w:color w:val="212121"/>
          <w:sz w:val="39"/>
          <w:szCs w:val="39"/>
          <w:bdr w:val="none" w:sz="0" w:space="0" w:color="auto" w:frame="1"/>
        </w:rPr>
        <w:t>score</w:t>
      </w:r>
      <w:r>
        <w:rPr>
          <w:rStyle w:val="mo"/>
          <w:rFonts w:ascii="MathJax_Main" w:hAnsi="MathJax_Main"/>
          <w:color w:val="212121"/>
          <w:sz w:val="39"/>
          <w:szCs w:val="39"/>
          <w:bdr w:val="none" w:sz="0" w:space="0" w:color="auto" w:frame="1"/>
        </w:rPr>
        <w:t>=</w:t>
      </w:r>
      <w:r>
        <w:rPr>
          <w:rStyle w:val="mn"/>
          <w:rFonts w:ascii="MathJax_Main" w:hAnsi="MathJax_Main"/>
          <w:color w:val="212121"/>
          <w:sz w:val="39"/>
          <w:szCs w:val="39"/>
          <w:bdr w:val="none" w:sz="0" w:space="0" w:color="auto" w:frame="1"/>
        </w:rPr>
        <w:t>2</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PrecisionRecall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Precision</w:t>
      </w:r>
    </w:p>
    <w:p w14:paraId="2CB2AB56" w14:textId="67EAA977" w:rsidR="009E34A2" w:rsidRDefault="009E34A2" w:rsidP="009E34A2">
      <w:pPr>
        <w:shd w:val="clear" w:color="auto" w:fill="FFFFFF"/>
        <w:textAlignment w:val="center"/>
        <w:rPr>
          <w:rFonts w:ascii="Cambria" w:hAnsi="Cambria"/>
          <w:color w:val="212121"/>
          <w:sz w:val="30"/>
          <w:szCs w:val="30"/>
        </w:rPr>
      </w:pPr>
    </w:p>
    <w:p w14:paraId="5D63D3B0" w14:textId="77777777" w:rsidR="009E34A2" w:rsidRDefault="009E34A2" w:rsidP="009E34A2">
      <w:pPr>
        <w:pStyle w:val="NormalWeb"/>
        <w:shd w:val="clear" w:color="auto" w:fill="FFFFFF"/>
        <w:spacing w:before="0" w:beforeAutospacing="0" w:after="0" w:afterAutospacing="0"/>
        <w:rPr>
          <w:rFonts w:ascii="Cambria" w:hAnsi="Cambria"/>
          <w:color w:val="212121"/>
          <w:sz w:val="30"/>
          <w:szCs w:val="30"/>
        </w:rPr>
      </w:pPr>
      <w:r>
        <w:rPr>
          <w:rFonts w:ascii="Cambria" w:hAnsi="Cambria"/>
          <w:color w:val="212121"/>
          <w:sz w:val="30"/>
          <w:szCs w:val="30"/>
        </w:rPr>
        <w:t>where </w:t>
      </w:r>
      <w:r>
        <w:rPr>
          <w:rStyle w:val="mi"/>
          <w:rFonts w:ascii="MathJax_Math-italic" w:hAnsi="MathJax_Math-italic"/>
          <w:color w:val="212121"/>
          <w:sz w:val="30"/>
          <w:szCs w:val="30"/>
          <w:bdr w:val="none" w:sz="0" w:space="0" w:color="auto" w:frame="1"/>
        </w:rPr>
        <w:t>TP</w:t>
      </w:r>
      <w:r>
        <w:rPr>
          <w:rFonts w:ascii="Cambria" w:hAnsi="Cambria"/>
          <w:color w:val="212121"/>
          <w:sz w:val="30"/>
          <w:szCs w:val="30"/>
        </w:rPr>
        <w:t> denotes the model is predicting positive, and the result is also positive. </w:t>
      </w:r>
      <w:r>
        <w:rPr>
          <w:rStyle w:val="mi"/>
          <w:rFonts w:ascii="MathJax_Math-italic" w:hAnsi="MathJax_Math-italic"/>
          <w:color w:val="212121"/>
          <w:sz w:val="30"/>
          <w:szCs w:val="30"/>
          <w:bdr w:val="none" w:sz="0" w:space="0" w:color="auto" w:frame="1"/>
        </w:rPr>
        <w:t>FP</w:t>
      </w:r>
      <w:r>
        <w:rPr>
          <w:rFonts w:ascii="Cambria" w:hAnsi="Cambria"/>
          <w:color w:val="212121"/>
          <w:sz w:val="30"/>
          <w:szCs w:val="30"/>
        </w:rPr>
        <w:t> indicates the positive prediction of the model, but the result is negative. </w:t>
      </w:r>
      <w:r>
        <w:rPr>
          <w:rStyle w:val="mi"/>
          <w:rFonts w:ascii="MathJax_Math-italic" w:hAnsi="MathJax_Math-italic"/>
          <w:color w:val="212121"/>
          <w:sz w:val="30"/>
          <w:szCs w:val="30"/>
          <w:bdr w:val="none" w:sz="0" w:space="0" w:color="auto" w:frame="1"/>
        </w:rPr>
        <w:t>TN</w:t>
      </w:r>
      <w:r>
        <w:rPr>
          <w:rFonts w:ascii="Cambria" w:hAnsi="Cambria"/>
          <w:color w:val="212121"/>
          <w:sz w:val="30"/>
          <w:szCs w:val="30"/>
        </w:rPr>
        <w:t> expresses the model is predicting negative, and the result is also negative. </w:t>
      </w:r>
      <w:r>
        <w:rPr>
          <w:rStyle w:val="mi"/>
          <w:rFonts w:ascii="MathJax_Math-italic" w:hAnsi="MathJax_Math-italic"/>
          <w:color w:val="212121"/>
          <w:sz w:val="30"/>
          <w:szCs w:val="30"/>
          <w:bdr w:val="none" w:sz="0" w:space="0" w:color="auto" w:frame="1"/>
        </w:rPr>
        <w:t>FN</w:t>
      </w:r>
      <w:r>
        <w:rPr>
          <w:rFonts w:ascii="Cambria" w:hAnsi="Cambria"/>
          <w:color w:val="212121"/>
          <w:sz w:val="30"/>
          <w:szCs w:val="30"/>
        </w:rPr>
        <w:t> indicates the model predicts negative, but the result is positive. In this work, the holdout validation approach with a stratified 8:2 train‐test split has been used for all the machine learning models.</w:t>
      </w:r>
    </w:p>
    <w:p w14:paraId="59BCF1C9" w14:textId="77777777" w:rsidR="009E34A2" w:rsidRDefault="009E34A2" w:rsidP="009E34A2">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Table </w:t>
      </w:r>
      <w:hyperlink r:id="rId24" w:tgtFrame="table" w:history="1">
        <w:r>
          <w:rPr>
            <w:rStyle w:val="Hyperlink"/>
            <w:rFonts w:ascii="Cambria" w:hAnsi="Cambria"/>
            <w:color w:val="376FAA"/>
            <w:sz w:val="30"/>
            <w:szCs w:val="30"/>
          </w:rPr>
          <w:t>4</w:t>
        </w:r>
      </w:hyperlink>
      <w:r>
        <w:rPr>
          <w:rFonts w:ascii="Cambria" w:hAnsi="Cambria"/>
          <w:color w:val="212121"/>
          <w:sz w:val="30"/>
          <w:szCs w:val="30"/>
        </w:rPr>
        <w:t> compares different performance metrics of various classifiers for the merged dataset with SMOTE synthetic oversampling technique. According to this table, the bagging classifier achieved the best overall performance with 79% accuracy and 0.79 and 0.87 F1 score and AUC, respectively.</w:t>
      </w:r>
    </w:p>
    <w:p w14:paraId="7A26BF83" w14:textId="77777777" w:rsidR="009E34A2" w:rsidRDefault="009E34A2" w:rsidP="009E34A2">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p>
    <w:p w14:paraId="4094869C" w14:textId="6F89D0D7" w:rsidR="009E34A2" w:rsidRDefault="009E34A2" w:rsidP="009E34A2">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lastRenderedPageBreak/>
        <w:t xml:space="preserve">TABLE </w:t>
      </w:r>
      <w:r>
        <w:rPr>
          <w:rFonts w:ascii="Cambria" w:hAnsi="Cambria"/>
          <w:b w:val="0"/>
          <w:bCs w:val="0"/>
          <w:color w:val="734126"/>
          <w:spacing w:val="-2"/>
          <w:sz w:val="32"/>
          <w:szCs w:val="32"/>
        </w:rPr>
        <w:t>4</w:t>
      </w:r>
    </w:p>
    <w:p w14:paraId="1CFCD94E" w14:textId="77777777" w:rsidR="009E34A2" w:rsidRDefault="009E34A2" w:rsidP="009E34A2">
      <w:pPr>
        <w:pStyle w:val="NormalWeb"/>
        <w:shd w:val="clear" w:color="auto" w:fill="FFFCF0"/>
        <w:spacing w:before="0" w:beforeAutospacing="0" w:after="0" w:afterAutospacing="0"/>
        <w:rPr>
          <w:rFonts w:ascii="Cambria" w:hAnsi="Cambria"/>
          <w:color w:val="333333"/>
        </w:rPr>
      </w:pPr>
      <w:r>
        <w:rPr>
          <w:rFonts w:ascii="Cambria" w:hAnsi="Cambria"/>
          <w:color w:val="333333"/>
        </w:rPr>
        <w:t>Performance metrics of various classifiers with SMOTE technique in the merged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838"/>
        <w:gridCol w:w="1023"/>
        <w:gridCol w:w="736"/>
        <w:gridCol w:w="958"/>
        <w:gridCol w:w="1011"/>
        <w:gridCol w:w="586"/>
      </w:tblGrid>
      <w:tr w:rsidR="009E34A2" w14:paraId="7D818DC2" w14:textId="77777777" w:rsidTr="009E34A2">
        <w:trPr>
          <w:tblHeader/>
        </w:trPr>
        <w:tc>
          <w:tcPr>
            <w:tcW w:w="0" w:type="auto"/>
            <w:tcBorders>
              <w:top w:val="nil"/>
              <w:left w:val="nil"/>
              <w:bottom w:val="nil"/>
              <w:right w:val="nil"/>
            </w:tcBorders>
            <w:tcMar>
              <w:top w:w="48" w:type="dxa"/>
              <w:left w:w="96" w:type="dxa"/>
              <w:bottom w:w="48" w:type="dxa"/>
              <w:right w:w="96" w:type="dxa"/>
            </w:tcMar>
            <w:vAlign w:val="center"/>
            <w:hideMark/>
          </w:tcPr>
          <w:p w14:paraId="2B293584" w14:textId="77777777" w:rsidR="009E34A2" w:rsidRDefault="009E34A2">
            <w:pPr>
              <w:rPr>
                <w:rFonts w:ascii="Times New Roman" w:hAnsi="Times New Roman"/>
                <w:b/>
                <w:bCs/>
              </w:rPr>
            </w:pPr>
            <w:r>
              <w:rPr>
                <w:rStyle w:val="Strong"/>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66F6DAEC" w14:textId="77777777" w:rsidR="009E34A2" w:rsidRDefault="009E34A2">
            <w:pPr>
              <w:rPr>
                <w:b/>
                <w:bCs/>
              </w:rPr>
            </w:pPr>
            <w:r>
              <w:rPr>
                <w:rStyle w:val="Strong"/>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27398500" w14:textId="77777777" w:rsidR="009E34A2" w:rsidRDefault="009E34A2">
            <w:pPr>
              <w:rPr>
                <w:b/>
                <w:bCs/>
              </w:rPr>
            </w:pPr>
            <w:r>
              <w:rPr>
                <w:rStyle w:val="Strong"/>
              </w:rPr>
              <w:t>Recall</w:t>
            </w:r>
          </w:p>
        </w:tc>
        <w:tc>
          <w:tcPr>
            <w:tcW w:w="0" w:type="auto"/>
            <w:tcBorders>
              <w:top w:val="nil"/>
              <w:left w:val="nil"/>
              <w:bottom w:val="nil"/>
              <w:right w:val="nil"/>
            </w:tcBorders>
            <w:tcMar>
              <w:top w:w="48" w:type="dxa"/>
              <w:left w:w="96" w:type="dxa"/>
              <w:bottom w:w="48" w:type="dxa"/>
              <w:right w:w="96" w:type="dxa"/>
            </w:tcMar>
            <w:vAlign w:val="center"/>
            <w:hideMark/>
          </w:tcPr>
          <w:p w14:paraId="64B00EBD" w14:textId="77777777" w:rsidR="009E34A2" w:rsidRDefault="009E34A2">
            <w:pPr>
              <w:rPr>
                <w:b/>
                <w:bCs/>
              </w:rPr>
            </w:pPr>
            <w:r>
              <w:rPr>
                <w:rStyle w:val="Strong"/>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51325C46" w14:textId="77777777" w:rsidR="009E34A2" w:rsidRDefault="009E34A2">
            <w:pPr>
              <w:rPr>
                <w:b/>
                <w:bCs/>
              </w:rPr>
            </w:pPr>
            <w:r>
              <w:rPr>
                <w:rStyle w:val="Strong"/>
              </w:rPr>
              <w:t>Accuracy</w:t>
            </w:r>
          </w:p>
        </w:tc>
        <w:tc>
          <w:tcPr>
            <w:tcW w:w="0" w:type="auto"/>
            <w:tcBorders>
              <w:top w:val="nil"/>
              <w:left w:val="nil"/>
              <w:bottom w:val="nil"/>
              <w:right w:val="nil"/>
            </w:tcBorders>
            <w:tcMar>
              <w:top w:w="48" w:type="dxa"/>
              <w:left w:w="96" w:type="dxa"/>
              <w:bottom w:w="48" w:type="dxa"/>
              <w:right w:w="96" w:type="dxa"/>
            </w:tcMar>
            <w:vAlign w:val="center"/>
            <w:hideMark/>
          </w:tcPr>
          <w:p w14:paraId="140ACDB0" w14:textId="77777777" w:rsidR="009E34A2" w:rsidRDefault="009E34A2">
            <w:pPr>
              <w:rPr>
                <w:b/>
                <w:bCs/>
              </w:rPr>
            </w:pPr>
            <w:r>
              <w:rPr>
                <w:rStyle w:val="Strong"/>
              </w:rPr>
              <w:t>AUC</w:t>
            </w:r>
          </w:p>
        </w:tc>
      </w:tr>
      <w:tr w:rsidR="009E34A2" w14:paraId="792D3BDD"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6E284DD9" w14:textId="77777777" w:rsidR="009E34A2" w:rsidRDefault="009E34A2">
            <w: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1B3F8023"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E236D65" w14:textId="77777777" w:rsidR="009E34A2" w:rsidRDefault="009E34A2">
            <w:r>
              <w:t>0.77</w:t>
            </w:r>
          </w:p>
        </w:tc>
        <w:tc>
          <w:tcPr>
            <w:tcW w:w="0" w:type="auto"/>
            <w:tcBorders>
              <w:top w:val="nil"/>
              <w:left w:val="nil"/>
              <w:bottom w:val="nil"/>
              <w:right w:val="nil"/>
            </w:tcBorders>
            <w:tcMar>
              <w:top w:w="48" w:type="dxa"/>
              <w:left w:w="96" w:type="dxa"/>
              <w:bottom w:w="48" w:type="dxa"/>
              <w:right w:w="96" w:type="dxa"/>
            </w:tcMar>
            <w:vAlign w:val="center"/>
            <w:hideMark/>
          </w:tcPr>
          <w:p w14:paraId="60289BBF" w14:textId="77777777" w:rsidR="009E34A2" w:rsidRDefault="009E34A2">
            <w:r>
              <w:t>0.77</w:t>
            </w:r>
          </w:p>
        </w:tc>
        <w:tc>
          <w:tcPr>
            <w:tcW w:w="0" w:type="auto"/>
            <w:tcBorders>
              <w:top w:val="nil"/>
              <w:left w:val="nil"/>
              <w:bottom w:val="nil"/>
              <w:right w:val="nil"/>
            </w:tcBorders>
            <w:tcMar>
              <w:top w:w="48" w:type="dxa"/>
              <w:left w:w="96" w:type="dxa"/>
              <w:bottom w:w="48" w:type="dxa"/>
              <w:right w:w="96" w:type="dxa"/>
            </w:tcMar>
            <w:vAlign w:val="center"/>
            <w:hideMark/>
          </w:tcPr>
          <w:p w14:paraId="10EBE97F" w14:textId="77777777" w:rsidR="009E34A2" w:rsidRDefault="009E34A2">
            <w:r>
              <w:t>77%</w:t>
            </w:r>
          </w:p>
        </w:tc>
        <w:tc>
          <w:tcPr>
            <w:tcW w:w="0" w:type="auto"/>
            <w:tcBorders>
              <w:top w:val="nil"/>
              <w:left w:val="nil"/>
              <w:bottom w:val="nil"/>
              <w:right w:val="nil"/>
            </w:tcBorders>
            <w:tcMar>
              <w:top w:w="48" w:type="dxa"/>
              <w:left w:w="96" w:type="dxa"/>
              <w:bottom w:w="48" w:type="dxa"/>
              <w:right w:w="96" w:type="dxa"/>
            </w:tcMar>
            <w:vAlign w:val="center"/>
            <w:hideMark/>
          </w:tcPr>
          <w:p w14:paraId="45697152" w14:textId="77777777" w:rsidR="009E34A2" w:rsidRDefault="009E34A2">
            <w:r>
              <w:t>0.88</w:t>
            </w:r>
          </w:p>
        </w:tc>
      </w:tr>
      <w:tr w:rsidR="009E34A2" w14:paraId="51562C14"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575E8EC3" w14:textId="77777777" w:rsidR="009E34A2" w:rsidRDefault="009E34A2">
            <w:r>
              <w:t>KNN</w:t>
            </w:r>
          </w:p>
        </w:tc>
        <w:tc>
          <w:tcPr>
            <w:tcW w:w="0" w:type="auto"/>
            <w:tcBorders>
              <w:top w:val="nil"/>
              <w:left w:val="nil"/>
              <w:bottom w:val="nil"/>
              <w:right w:val="nil"/>
            </w:tcBorders>
            <w:tcMar>
              <w:top w:w="48" w:type="dxa"/>
              <w:left w:w="96" w:type="dxa"/>
              <w:bottom w:w="48" w:type="dxa"/>
              <w:right w:w="96" w:type="dxa"/>
            </w:tcMar>
            <w:vAlign w:val="center"/>
            <w:hideMark/>
          </w:tcPr>
          <w:p w14:paraId="6197A3E2"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1176F52A"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BA7FA7E"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6416A06" w14:textId="77777777" w:rsidR="009E34A2" w:rsidRDefault="009E34A2">
            <w:r>
              <w:t>76%</w:t>
            </w:r>
          </w:p>
        </w:tc>
        <w:tc>
          <w:tcPr>
            <w:tcW w:w="0" w:type="auto"/>
            <w:tcBorders>
              <w:top w:val="nil"/>
              <w:left w:val="nil"/>
              <w:bottom w:val="nil"/>
              <w:right w:val="nil"/>
            </w:tcBorders>
            <w:tcMar>
              <w:top w:w="48" w:type="dxa"/>
              <w:left w:w="96" w:type="dxa"/>
              <w:bottom w:w="48" w:type="dxa"/>
              <w:right w:w="96" w:type="dxa"/>
            </w:tcMar>
            <w:vAlign w:val="center"/>
            <w:hideMark/>
          </w:tcPr>
          <w:p w14:paraId="668D2F22" w14:textId="77777777" w:rsidR="009E34A2" w:rsidRDefault="009E34A2">
            <w:r>
              <w:t>0.85</w:t>
            </w:r>
          </w:p>
        </w:tc>
      </w:tr>
      <w:tr w:rsidR="009E34A2" w14:paraId="2FE04C84"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71E5D75A" w14:textId="77777777" w:rsidR="009E34A2" w:rsidRDefault="009E34A2">
            <w: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19837A9A"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40336CB"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A59E335"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156E63D0"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46F7EA32" w14:textId="77777777" w:rsidR="009E34A2" w:rsidRDefault="009E34A2">
            <w:r>
              <w:t>0.87</w:t>
            </w:r>
          </w:p>
        </w:tc>
      </w:tr>
      <w:tr w:rsidR="009E34A2" w14:paraId="53DEB25E"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4AE44150" w14:textId="77777777" w:rsidR="009E34A2" w:rsidRDefault="009E34A2">
            <w:r>
              <w:t>Decision tree</w:t>
            </w:r>
          </w:p>
        </w:tc>
        <w:tc>
          <w:tcPr>
            <w:tcW w:w="0" w:type="auto"/>
            <w:tcBorders>
              <w:top w:val="nil"/>
              <w:left w:val="nil"/>
              <w:bottom w:val="nil"/>
              <w:right w:val="nil"/>
            </w:tcBorders>
            <w:tcMar>
              <w:top w:w="48" w:type="dxa"/>
              <w:left w:w="96" w:type="dxa"/>
              <w:bottom w:w="48" w:type="dxa"/>
              <w:right w:w="96" w:type="dxa"/>
            </w:tcMar>
            <w:vAlign w:val="center"/>
            <w:hideMark/>
          </w:tcPr>
          <w:p w14:paraId="31AA8057" w14:textId="77777777" w:rsidR="009E34A2" w:rsidRDefault="009E34A2">
            <w:r>
              <w:t>0.75</w:t>
            </w:r>
          </w:p>
        </w:tc>
        <w:tc>
          <w:tcPr>
            <w:tcW w:w="0" w:type="auto"/>
            <w:tcBorders>
              <w:top w:val="nil"/>
              <w:left w:val="nil"/>
              <w:bottom w:val="nil"/>
              <w:right w:val="nil"/>
            </w:tcBorders>
            <w:tcMar>
              <w:top w:w="48" w:type="dxa"/>
              <w:left w:w="96" w:type="dxa"/>
              <w:bottom w:w="48" w:type="dxa"/>
              <w:right w:w="96" w:type="dxa"/>
            </w:tcMar>
            <w:vAlign w:val="center"/>
            <w:hideMark/>
          </w:tcPr>
          <w:p w14:paraId="750A611E" w14:textId="77777777" w:rsidR="009E34A2" w:rsidRDefault="009E34A2">
            <w:r>
              <w:t>0.73</w:t>
            </w:r>
          </w:p>
        </w:tc>
        <w:tc>
          <w:tcPr>
            <w:tcW w:w="0" w:type="auto"/>
            <w:tcBorders>
              <w:top w:val="nil"/>
              <w:left w:val="nil"/>
              <w:bottom w:val="nil"/>
              <w:right w:val="nil"/>
            </w:tcBorders>
            <w:tcMar>
              <w:top w:w="48" w:type="dxa"/>
              <w:left w:w="96" w:type="dxa"/>
              <w:bottom w:w="48" w:type="dxa"/>
              <w:right w:w="96" w:type="dxa"/>
            </w:tcMar>
            <w:vAlign w:val="center"/>
            <w:hideMark/>
          </w:tcPr>
          <w:p w14:paraId="2A3CC219" w14:textId="77777777" w:rsidR="009E34A2" w:rsidRDefault="009E34A2">
            <w:r>
              <w:t>0.73</w:t>
            </w:r>
          </w:p>
        </w:tc>
        <w:tc>
          <w:tcPr>
            <w:tcW w:w="0" w:type="auto"/>
            <w:tcBorders>
              <w:top w:val="nil"/>
              <w:left w:val="nil"/>
              <w:bottom w:val="nil"/>
              <w:right w:val="nil"/>
            </w:tcBorders>
            <w:tcMar>
              <w:top w:w="48" w:type="dxa"/>
              <w:left w:w="96" w:type="dxa"/>
              <w:bottom w:w="48" w:type="dxa"/>
              <w:right w:w="96" w:type="dxa"/>
            </w:tcMar>
            <w:vAlign w:val="center"/>
            <w:hideMark/>
          </w:tcPr>
          <w:p w14:paraId="77EEF8D8" w14:textId="77777777" w:rsidR="009E34A2" w:rsidRDefault="009E34A2">
            <w:r>
              <w:t>73%</w:t>
            </w:r>
          </w:p>
        </w:tc>
        <w:tc>
          <w:tcPr>
            <w:tcW w:w="0" w:type="auto"/>
            <w:tcBorders>
              <w:top w:val="nil"/>
              <w:left w:val="nil"/>
              <w:bottom w:val="nil"/>
              <w:right w:val="nil"/>
            </w:tcBorders>
            <w:tcMar>
              <w:top w:w="48" w:type="dxa"/>
              <w:left w:w="96" w:type="dxa"/>
              <w:bottom w:w="48" w:type="dxa"/>
              <w:right w:w="96" w:type="dxa"/>
            </w:tcMar>
            <w:vAlign w:val="center"/>
            <w:hideMark/>
          </w:tcPr>
          <w:p w14:paraId="25CD666A" w14:textId="77777777" w:rsidR="009E34A2" w:rsidRDefault="009E34A2">
            <w:r>
              <w:t>0.75</w:t>
            </w:r>
          </w:p>
        </w:tc>
      </w:tr>
      <w:tr w:rsidR="009E34A2" w14:paraId="15901651"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216DB364" w14:textId="77777777" w:rsidR="009E34A2" w:rsidRDefault="009E34A2">
            <w:r>
              <w:rPr>
                <w:rStyle w:val="Strong"/>
              </w:rPr>
              <w:t>Bagging</w:t>
            </w:r>
          </w:p>
        </w:tc>
        <w:tc>
          <w:tcPr>
            <w:tcW w:w="0" w:type="auto"/>
            <w:tcBorders>
              <w:top w:val="nil"/>
              <w:left w:val="nil"/>
              <w:bottom w:val="nil"/>
              <w:right w:val="nil"/>
            </w:tcBorders>
            <w:tcMar>
              <w:top w:w="48" w:type="dxa"/>
              <w:left w:w="96" w:type="dxa"/>
              <w:bottom w:w="48" w:type="dxa"/>
              <w:right w:w="96" w:type="dxa"/>
            </w:tcMar>
            <w:vAlign w:val="center"/>
            <w:hideMark/>
          </w:tcPr>
          <w:p w14:paraId="0887C4BF" w14:textId="77777777" w:rsidR="009E34A2" w:rsidRDefault="009E34A2">
            <w:r>
              <w:rPr>
                <w:rStyle w:val="Strong"/>
              </w:rPr>
              <w:t>0.80</w:t>
            </w:r>
          </w:p>
        </w:tc>
        <w:tc>
          <w:tcPr>
            <w:tcW w:w="0" w:type="auto"/>
            <w:tcBorders>
              <w:top w:val="nil"/>
              <w:left w:val="nil"/>
              <w:bottom w:val="nil"/>
              <w:right w:val="nil"/>
            </w:tcBorders>
            <w:tcMar>
              <w:top w:w="48" w:type="dxa"/>
              <w:left w:w="96" w:type="dxa"/>
              <w:bottom w:w="48" w:type="dxa"/>
              <w:right w:w="96" w:type="dxa"/>
            </w:tcMar>
            <w:vAlign w:val="center"/>
            <w:hideMark/>
          </w:tcPr>
          <w:p w14:paraId="5B937674" w14:textId="77777777" w:rsidR="009E34A2" w:rsidRDefault="009E34A2">
            <w:r>
              <w:rPr>
                <w:rStyle w:val="Strong"/>
              </w:rPr>
              <w:t>0.79</w:t>
            </w:r>
          </w:p>
        </w:tc>
        <w:tc>
          <w:tcPr>
            <w:tcW w:w="0" w:type="auto"/>
            <w:tcBorders>
              <w:top w:val="nil"/>
              <w:left w:val="nil"/>
              <w:bottom w:val="nil"/>
              <w:right w:val="nil"/>
            </w:tcBorders>
            <w:tcMar>
              <w:top w:w="48" w:type="dxa"/>
              <w:left w:w="96" w:type="dxa"/>
              <w:bottom w:w="48" w:type="dxa"/>
              <w:right w:w="96" w:type="dxa"/>
            </w:tcMar>
            <w:vAlign w:val="center"/>
            <w:hideMark/>
          </w:tcPr>
          <w:p w14:paraId="43341A48" w14:textId="77777777" w:rsidR="009E34A2" w:rsidRDefault="009E34A2">
            <w:r>
              <w:rPr>
                <w:rStyle w:val="Strong"/>
              </w:rPr>
              <w:t>0.79</w:t>
            </w:r>
          </w:p>
        </w:tc>
        <w:tc>
          <w:tcPr>
            <w:tcW w:w="0" w:type="auto"/>
            <w:tcBorders>
              <w:top w:val="nil"/>
              <w:left w:val="nil"/>
              <w:bottom w:val="nil"/>
              <w:right w:val="nil"/>
            </w:tcBorders>
            <w:tcMar>
              <w:top w:w="48" w:type="dxa"/>
              <w:left w:w="96" w:type="dxa"/>
              <w:bottom w:w="48" w:type="dxa"/>
              <w:right w:w="96" w:type="dxa"/>
            </w:tcMar>
            <w:vAlign w:val="center"/>
            <w:hideMark/>
          </w:tcPr>
          <w:p w14:paraId="40E10357" w14:textId="77777777" w:rsidR="009E34A2" w:rsidRDefault="009E34A2">
            <w:r>
              <w:rPr>
                <w:rStyle w:val="Strong"/>
              </w:rPr>
              <w:t>79%</w:t>
            </w:r>
          </w:p>
        </w:tc>
        <w:tc>
          <w:tcPr>
            <w:tcW w:w="0" w:type="auto"/>
            <w:tcBorders>
              <w:top w:val="nil"/>
              <w:left w:val="nil"/>
              <w:bottom w:val="nil"/>
              <w:right w:val="nil"/>
            </w:tcBorders>
            <w:tcMar>
              <w:top w:w="48" w:type="dxa"/>
              <w:left w:w="96" w:type="dxa"/>
              <w:bottom w:w="48" w:type="dxa"/>
              <w:right w:w="96" w:type="dxa"/>
            </w:tcMar>
            <w:vAlign w:val="center"/>
            <w:hideMark/>
          </w:tcPr>
          <w:p w14:paraId="1349E984" w14:textId="77777777" w:rsidR="009E34A2" w:rsidRDefault="009E34A2">
            <w:r>
              <w:rPr>
                <w:rStyle w:val="Strong"/>
              </w:rPr>
              <w:t>0.87</w:t>
            </w:r>
          </w:p>
        </w:tc>
      </w:tr>
      <w:tr w:rsidR="009E34A2" w14:paraId="5A386419"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53B4DF17" w14:textId="77777777" w:rsidR="009E34A2" w:rsidRDefault="009E34A2">
            <w:proofErr w:type="spellStart"/>
            <w:r>
              <w:t>Adaboost</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5CDF6200"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00BF8261"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4DF977B0"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76717A78"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7A744999" w14:textId="77777777" w:rsidR="009E34A2" w:rsidRDefault="009E34A2">
            <w:r>
              <w:t>0.85</w:t>
            </w:r>
          </w:p>
        </w:tc>
      </w:tr>
      <w:tr w:rsidR="009E34A2" w14:paraId="47DE4A66"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4064F41D" w14:textId="77777777" w:rsidR="009E34A2" w:rsidRDefault="009E34A2">
            <w:proofErr w:type="spellStart"/>
            <w:r>
              <w:t>XGboost</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BF5DEFD"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227883AD"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04604FC1"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7DE052A9"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21D01C66" w14:textId="77777777" w:rsidR="009E34A2" w:rsidRDefault="009E34A2">
            <w:r>
              <w:t>0.84</w:t>
            </w:r>
          </w:p>
        </w:tc>
      </w:tr>
      <w:tr w:rsidR="009E34A2" w14:paraId="615E899F"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35D900A0" w14:textId="77777777" w:rsidR="009E34A2" w:rsidRDefault="009E34A2">
            <w:r>
              <w:t>Voting</w:t>
            </w:r>
          </w:p>
        </w:tc>
        <w:tc>
          <w:tcPr>
            <w:tcW w:w="0" w:type="auto"/>
            <w:tcBorders>
              <w:top w:val="nil"/>
              <w:left w:val="nil"/>
              <w:bottom w:val="nil"/>
              <w:right w:val="nil"/>
            </w:tcBorders>
            <w:tcMar>
              <w:top w:w="48" w:type="dxa"/>
              <w:left w:w="96" w:type="dxa"/>
              <w:bottom w:w="48" w:type="dxa"/>
              <w:right w:w="96" w:type="dxa"/>
            </w:tcMar>
            <w:vAlign w:val="center"/>
            <w:hideMark/>
          </w:tcPr>
          <w:p w14:paraId="60F9BE3C"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6803E1E8"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77FE6083"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74C97C9F" w14:textId="77777777" w:rsidR="009E34A2" w:rsidRDefault="009E34A2">
            <w:r>
              <w:t>79%</w:t>
            </w:r>
          </w:p>
        </w:tc>
        <w:tc>
          <w:tcPr>
            <w:tcW w:w="0" w:type="auto"/>
            <w:tcBorders>
              <w:top w:val="nil"/>
              <w:left w:val="nil"/>
              <w:bottom w:val="nil"/>
              <w:right w:val="nil"/>
            </w:tcBorders>
            <w:tcMar>
              <w:top w:w="48" w:type="dxa"/>
              <w:left w:w="96" w:type="dxa"/>
              <w:bottom w:w="48" w:type="dxa"/>
              <w:right w:w="96" w:type="dxa"/>
            </w:tcMar>
            <w:vAlign w:val="center"/>
            <w:hideMark/>
          </w:tcPr>
          <w:p w14:paraId="70BEC37D" w14:textId="77777777" w:rsidR="009E34A2" w:rsidRDefault="009E34A2">
            <w:r>
              <w:t>0.86</w:t>
            </w:r>
          </w:p>
        </w:tc>
      </w:tr>
      <w:tr w:rsidR="009E34A2" w14:paraId="39B646A8"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02D2724E" w14:textId="77777777" w:rsidR="009E34A2" w:rsidRDefault="009E34A2">
            <w:r>
              <w:t>SVM</w:t>
            </w:r>
          </w:p>
        </w:tc>
        <w:tc>
          <w:tcPr>
            <w:tcW w:w="0" w:type="auto"/>
            <w:tcBorders>
              <w:top w:val="nil"/>
              <w:left w:val="nil"/>
              <w:bottom w:val="nil"/>
              <w:right w:val="nil"/>
            </w:tcBorders>
            <w:tcMar>
              <w:top w:w="48" w:type="dxa"/>
              <w:left w:w="96" w:type="dxa"/>
              <w:bottom w:w="48" w:type="dxa"/>
              <w:right w:w="96" w:type="dxa"/>
            </w:tcMar>
            <w:vAlign w:val="center"/>
            <w:hideMark/>
          </w:tcPr>
          <w:p w14:paraId="5E77D022"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3578923B" w14:textId="77777777" w:rsidR="009E34A2" w:rsidRDefault="009E34A2">
            <w:r>
              <w:t>0.75</w:t>
            </w:r>
          </w:p>
        </w:tc>
        <w:tc>
          <w:tcPr>
            <w:tcW w:w="0" w:type="auto"/>
            <w:tcBorders>
              <w:top w:val="nil"/>
              <w:left w:val="nil"/>
              <w:bottom w:val="nil"/>
              <w:right w:val="nil"/>
            </w:tcBorders>
            <w:tcMar>
              <w:top w:w="48" w:type="dxa"/>
              <w:left w:w="96" w:type="dxa"/>
              <w:bottom w:w="48" w:type="dxa"/>
              <w:right w:w="96" w:type="dxa"/>
            </w:tcMar>
            <w:vAlign w:val="center"/>
            <w:hideMark/>
          </w:tcPr>
          <w:p w14:paraId="6D8E9ECC"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36EEF40" w14:textId="77777777" w:rsidR="009E34A2" w:rsidRDefault="009E34A2">
            <w:r>
              <w:t>75%</w:t>
            </w:r>
          </w:p>
        </w:tc>
        <w:tc>
          <w:tcPr>
            <w:tcW w:w="0" w:type="auto"/>
            <w:tcBorders>
              <w:top w:val="nil"/>
              <w:left w:val="nil"/>
              <w:bottom w:val="nil"/>
              <w:right w:val="nil"/>
            </w:tcBorders>
            <w:tcMar>
              <w:top w:w="48" w:type="dxa"/>
              <w:left w:w="96" w:type="dxa"/>
              <w:bottom w:w="48" w:type="dxa"/>
              <w:right w:w="96" w:type="dxa"/>
            </w:tcMar>
            <w:vAlign w:val="center"/>
            <w:hideMark/>
          </w:tcPr>
          <w:p w14:paraId="21DD1689" w14:textId="77777777" w:rsidR="009E34A2" w:rsidRDefault="009E34A2">
            <w:r>
              <w:t>0.87</w:t>
            </w:r>
          </w:p>
        </w:tc>
      </w:tr>
    </w:tbl>
    <w:p w14:paraId="0585B6CB" w14:textId="05AB39AC"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p>
    <w:sectPr w:rsidR="004F0086" w:rsidRPr="004F0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4F0086"/>
    <w:rsid w:val="009E34A2"/>
    <w:rsid w:val="00E97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107388/figure/htl212039-fig-0002/" TargetMode="External"/><Relationship Id="rId13" Type="http://schemas.openxmlformats.org/officeDocument/2006/relationships/hyperlink" Target="https://www.ncbi.nlm.nih.gov/pmc/articles/PMC10107388/figure/htl212039-fig-0003/" TargetMode="External"/><Relationship Id="rId18" Type="http://schemas.openxmlformats.org/officeDocument/2006/relationships/hyperlink" Target="https://www.ncbi.nlm.nih.gov/pmc/articles/PMC10107388/figure/htl212039-fig-000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ncbi.nlm.nih.gov/pmc/articles/PMC10107388/"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ncbi.nlm.nih.gov/pmc/articles/PMC10107388/table/htl212039-tbl-000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bi.nlm.nih.gov/pmc/articles/PMC10107388/" TargetMode="External"/><Relationship Id="rId20" Type="http://schemas.openxmlformats.org/officeDocument/2006/relationships/hyperlink" Target="https://www.ncbi.nlm.nih.gov/pmc/articles/PMC10107388/" TargetMode="External"/><Relationship Id="rId1" Type="http://schemas.openxmlformats.org/officeDocument/2006/relationships/styles" Target="styles.xml"/><Relationship Id="rId6" Type="http://schemas.openxmlformats.org/officeDocument/2006/relationships/hyperlink" Target="https://www.ncbi.nlm.nih.gov/pmc/articles/PMC10107388/table/htl212039-tbl-0001/" TargetMode="External"/><Relationship Id="rId11" Type="http://schemas.openxmlformats.org/officeDocument/2006/relationships/hyperlink" Target="https://www.ncbi.nlm.nih.gov/pmc/articles/PMC10107388/figure/htl212039-fig-0003/" TargetMode="External"/><Relationship Id="rId24" Type="http://schemas.openxmlformats.org/officeDocument/2006/relationships/hyperlink" Target="https://www.ncbi.nlm.nih.gov/pmc/articles/PMC10107388/table/htl212039-tbl-0004/" TargetMode="External"/><Relationship Id="rId5" Type="http://schemas.openxmlformats.org/officeDocument/2006/relationships/hyperlink" Target="https://www.ncbi.nlm.nih.gov/pmc/articles/PMC10107388/figure/htl212039-fig-0002/" TargetMode="External"/><Relationship Id="rId15" Type="http://schemas.openxmlformats.org/officeDocument/2006/relationships/hyperlink" Target="https://www.ncbi.nlm.nih.gov/pmc/articles/PMC10107388/" TargetMode="External"/><Relationship Id="rId23" Type="http://schemas.openxmlformats.org/officeDocument/2006/relationships/image" Target="media/image4.jpeg"/><Relationship Id="rId10" Type="http://schemas.openxmlformats.org/officeDocument/2006/relationships/hyperlink" Target="https://www.ncbi.nlm.nih.gov/pmc/articles/PMC10107388/" TargetMode="External"/><Relationship Id="rId19" Type="http://schemas.openxmlformats.org/officeDocument/2006/relationships/image" Target="media/image3.jpeg"/><Relationship Id="rId4" Type="http://schemas.openxmlformats.org/officeDocument/2006/relationships/hyperlink" Target="https://www.ncbi.nlm.nih.gov/pmc/articles/PMC10107388/" TargetMode="External"/><Relationship Id="rId9" Type="http://schemas.openxmlformats.org/officeDocument/2006/relationships/hyperlink" Target="https://www.ncbi.nlm.nih.gov/pmc/articles/PMC10107388/table/htl212039-tbl-0002/" TargetMode="External"/><Relationship Id="rId14" Type="http://schemas.openxmlformats.org/officeDocument/2006/relationships/hyperlink" Target="https://www.ncbi.nlm.nih.gov/pmc/articles/PMC10107388/table/htl212039-tbl-0002/" TargetMode="External"/><Relationship Id="rId22" Type="http://schemas.openxmlformats.org/officeDocument/2006/relationships/hyperlink" Target="https://www.ncbi.nlm.nih.gov/pmc/articles/PMC10107388/figure/htl212039-fig-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1</cp:revision>
  <dcterms:created xsi:type="dcterms:W3CDTF">2023-10-26T11:00:00Z</dcterms:created>
  <dcterms:modified xsi:type="dcterms:W3CDTF">2023-10-26T11:17:00Z</dcterms:modified>
</cp:coreProperties>
</file>