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Panduan Konversi Sintetis</w:t>
      </w:r>
    </w:p>
    <w:p>
      <w:r>
        <w:t>Contoh Unicode: jaringan, pemulihan, cafés, 日本語.</w:t>
      </w:r>
    </w:p>
    <w:p>
      <w:pPr>
        <w:pStyle w:val="Heading1"/>
      </w:pPr>
      <w:r>
        <w:t>Langkah aman</w:t>
      </w:r>
    </w:p>
    <w:p>
      <w:pPr>
        <w:pStyle w:val="ListNumber"/>
      </w:pPr>
      <w:r>
        <w:t>Verifikasi koneksi.</w:t>
      </w:r>
    </w:p>
    <w:p>
      <w:pPr>
        <w:pStyle w:val="ListNumber"/>
      </w:pPr>
      <w:r>
        <w:t>Cadangkan konfigurasi.</w:t>
      </w:r>
    </w:p>
    <w:p>
      <w:pPr>
        <w:pStyle w:val="ListNumber"/>
      </w:pPr>
      <w:r>
        <w:t>Uji pemulihan dan catat hasil.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Layanan</w:t>
            </w:r>
          </w:p>
        </w:tc>
        <w:tc>
          <w:tcPr>
            <w:tcW w:type="dxa" w:w="2880"/>
          </w:tcPr>
          <w:p>
            <w:r>
              <w:t>SLA</w:t>
            </w:r>
          </w:p>
        </w:tc>
        <w:tc>
          <w:tcPr>
            <w:tcW w:type="dxa" w:w="2880"/>
          </w:tcPr>
          <w:p>
            <w:r>
              <w:t>Respons</w:t>
            </w:r>
          </w:p>
        </w:tc>
      </w:tr>
      <w:tr>
        <w:tc>
          <w:tcPr>
            <w:tcW w:type="dxa" w:w="2880"/>
          </w:tcPr>
          <w:p>
            <w:r>
              <w:t>VPN demo</w:t>
            </w:r>
          </w:p>
        </w:tc>
        <w:tc>
          <w:tcPr>
            <w:tcW w:type="dxa" w:w="2880"/>
          </w:tcPr>
          <w:p>
            <w:r>
              <w:t>99,90%</w:t>
            </w:r>
          </w:p>
        </w:tc>
        <w:tc>
          <w:tcPr>
            <w:tcW w:type="dxa" w:w="2880"/>
          </w:tcPr>
          <w:p>
            <w:r>
              <w:t>15 menit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