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TruthGuard System Specification</w:t>
      </w:r>
    </w:p>
    <w:p>
      <w:r>
        <w:t>This document outlines the architecture for adversarial verification and document ingestion.</w:t>
      </w:r>
    </w:p>
    <w:p>
      <w:r>
        <w:t>Rule A: Older assertions cannot automatically override newer executive declarations.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DocumentIngestion</w:t>
            </w:r>
          </w:p>
        </w:tc>
        <w:tc>
          <w:tcPr>
            <w:tcW w:type="dxa" w:w="4320"/>
          </w:tcPr>
          <w:p>
            <w:r>
              <w:t>Safe storage, hash derivation, text extraction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