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768CD60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section </w:t>
      </w:r>
      <w:r w:rsidR="001F00A3" w:rsidRPr="00B229C0">
        <w:t>for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release all Grant funded Digital Outputs under our default licence,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Assets already in the public domain cannot be included in our required licence,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be the rightsholder for any original Grant funded materials you produce. Where other people contribute materials to the Project, or the Project makes use of pre-existing materials, it will be your responsibility to get permission from the rightsholder to apply our default licence.</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w:t>
      </w:r>
      <w:proofErr w:type="gramStart"/>
      <w:r w:rsidRPr="00B229C0">
        <w:t>change</w:t>
      </w:r>
      <w:proofErr w:type="gramEnd"/>
      <w:r w:rsidRPr="00B229C0">
        <w:t xml:space="preserve"> in your organisational structure;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6588F844" w14:textId="4FFAF5AF" w:rsidR="10CB82B9" w:rsidRPr="00576103"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744FFD03" w14:textId="36E34913" w:rsidR="0D68CCAF" w:rsidRPr="00576103"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3DD46859" w14:textId="01D70026" w:rsidR="0ECAC652" w:rsidRPr="00576103" w:rsidRDefault="00A931C7" w:rsidP="0097300E">
      <w:pPr>
        <w:pStyle w:val="ListParagraph"/>
        <w:numPr>
          <w:ilvl w:val="0"/>
          <w:numId w:val="41"/>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16F4D708" w14:textId="1BFE793E" w:rsidR="0D68CCAF"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6FA5AA72" w14:textId="47F83964" w:rsidR="15EDF859" w:rsidRPr="00576103" w:rsidRDefault="0ECAC652" w:rsidP="2A2E08F8">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1536AC0D" w14:textId="7E006BD7" w:rsidR="00576103" w:rsidRPr="00576103" w:rsidRDefault="00576103" w:rsidP="2A2E08F8">
      <w:pPr>
        <w:pStyle w:val="ListParagraph"/>
        <w:numPr>
          <w:ilvl w:val="0"/>
          <w:numId w:val="32"/>
        </w:numPr>
      </w:pPr>
      <w:r w:rsidRPr="00715EC1">
        <w:t>I take full responsibility for ensuring that the bank details provided by my organisation are correct. I also confirm that the bank account details provided by our organisation have been checked by more than 1 individual to ensure accuracy.</w:t>
      </w:r>
    </w:p>
    <w:sectPr w:rsidR="00576103" w:rsidRPr="00576103">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D98D" w14:textId="77777777" w:rsidR="00D62719" w:rsidRDefault="00D62719" w:rsidP="0097300E">
      <w:r>
        <w:separator/>
      </w:r>
    </w:p>
  </w:endnote>
  <w:endnote w:type="continuationSeparator" w:id="0">
    <w:p w14:paraId="239C9184" w14:textId="77777777" w:rsidR="00D62719" w:rsidRDefault="00D62719" w:rsidP="0097300E">
      <w:r>
        <w:continuationSeparator/>
      </w:r>
    </w:p>
  </w:endnote>
  <w:endnote w:type="continuationNotice" w:id="1">
    <w:p w14:paraId="0953FA04" w14:textId="77777777" w:rsidR="00D62719" w:rsidRDefault="00D62719"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4BF6" w14:textId="77777777" w:rsidR="00D62719" w:rsidRDefault="00D62719" w:rsidP="0097300E">
      <w:r>
        <w:separator/>
      </w:r>
    </w:p>
  </w:footnote>
  <w:footnote w:type="continuationSeparator" w:id="0">
    <w:p w14:paraId="0706A587" w14:textId="77777777" w:rsidR="00D62719" w:rsidRDefault="00D62719" w:rsidP="0097300E">
      <w:r>
        <w:continuationSeparator/>
      </w:r>
    </w:p>
  </w:footnote>
  <w:footnote w:type="continuationNotice" w:id="1">
    <w:p w14:paraId="62AFC940" w14:textId="77777777" w:rsidR="00D62719" w:rsidRDefault="00D62719"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8"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0"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2"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3"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4"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5"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6"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8"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9"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0"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3"/>
  </w:num>
  <w:num w:numId="4">
    <w:abstractNumId w:val="2"/>
  </w:num>
  <w:num w:numId="5">
    <w:abstractNumId w:val="34"/>
  </w:num>
  <w:num w:numId="6">
    <w:abstractNumId w:val="0"/>
  </w:num>
  <w:num w:numId="7">
    <w:abstractNumId w:val="21"/>
  </w:num>
  <w:num w:numId="8">
    <w:abstractNumId w:val="6"/>
  </w:num>
  <w:num w:numId="9">
    <w:abstractNumId w:val="27"/>
  </w:num>
  <w:num w:numId="10">
    <w:abstractNumId w:val="16"/>
  </w:num>
  <w:num w:numId="11">
    <w:abstractNumId w:val="9"/>
  </w:num>
  <w:num w:numId="12">
    <w:abstractNumId w:val="31"/>
  </w:num>
  <w:num w:numId="13">
    <w:abstractNumId w:val="14"/>
  </w:num>
  <w:num w:numId="14">
    <w:abstractNumId w:val="10"/>
  </w:num>
  <w:num w:numId="15">
    <w:abstractNumId w:val="19"/>
  </w:num>
  <w:num w:numId="16">
    <w:abstractNumId w:val="20"/>
  </w:num>
  <w:num w:numId="17">
    <w:abstractNumId w:val="29"/>
  </w:num>
  <w:num w:numId="18">
    <w:abstractNumId w:val="40"/>
  </w:num>
  <w:num w:numId="19">
    <w:abstractNumId w:val="25"/>
  </w:num>
  <w:num w:numId="20">
    <w:abstractNumId w:val="39"/>
  </w:num>
  <w:num w:numId="21">
    <w:abstractNumId w:val="32"/>
  </w:num>
  <w:num w:numId="22">
    <w:abstractNumId w:val="30"/>
  </w:num>
  <w:num w:numId="23">
    <w:abstractNumId w:val="22"/>
  </w:num>
  <w:num w:numId="24">
    <w:abstractNumId w:val="24"/>
  </w:num>
  <w:num w:numId="25">
    <w:abstractNumId w:val="13"/>
  </w:num>
  <w:num w:numId="26">
    <w:abstractNumId w:val="3"/>
  </w:num>
  <w:num w:numId="27">
    <w:abstractNumId w:val="38"/>
  </w:num>
  <w:num w:numId="28">
    <w:abstractNumId w:val="37"/>
  </w:num>
  <w:num w:numId="29">
    <w:abstractNumId w:val="11"/>
  </w:num>
  <w:num w:numId="30">
    <w:abstractNumId w:val="35"/>
  </w:num>
  <w:num w:numId="31">
    <w:abstractNumId w:val="17"/>
  </w:num>
  <w:num w:numId="32">
    <w:abstractNumId w:val="12"/>
  </w:num>
  <w:num w:numId="33">
    <w:abstractNumId w:val="8"/>
  </w:num>
  <w:num w:numId="34">
    <w:abstractNumId w:val="23"/>
  </w:num>
  <w:num w:numId="35">
    <w:abstractNumId w:val="28"/>
  </w:num>
  <w:num w:numId="36">
    <w:abstractNumId w:val="1"/>
  </w:num>
  <w:num w:numId="37">
    <w:abstractNumId w:val="15"/>
  </w:num>
  <w:num w:numId="38">
    <w:abstractNumId w:val="18"/>
  </w:num>
  <w:num w:numId="39">
    <w:abstractNumId w:val="5"/>
  </w:num>
  <w:num w:numId="40">
    <w:abstractNumId w:val="26"/>
  </w:num>
  <w:num w:numId="41">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76314"/>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6103"/>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2A46"/>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D1A2F"/>
    <w:rsid w:val="007E407B"/>
    <w:rsid w:val="007E68C4"/>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8766B"/>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666B"/>
    <w:rsid w:val="00A16AED"/>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31C7"/>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1B6D"/>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6F73"/>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2719"/>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8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3" ma:contentTypeDescription="Create a new document." ma:contentTypeScope="" ma:versionID="be67c730e4d5b68f524040378d89da2a">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efaa5c560c171d61aaae25842e3c7617"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19518-93F7-4E86-A391-16AFAF063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3.xml><?xml version="1.0" encoding="utf-8"?>
<ds:datastoreItem xmlns:ds="http://schemas.openxmlformats.org/officeDocument/2006/customXml" ds:itemID="{A3BACA42-86DF-42EA-BDCD-1334A107E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3100</Words>
  <Characters>17676</Characters>
  <Application>Microsoft Office Word</Application>
  <DocSecurity>0</DocSecurity>
  <Lines>147</Lines>
  <Paragraphs>41</Paragraphs>
  <ScaleCrop>false</ScaleCrop>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Microsoft Office User</cp:lastModifiedBy>
  <cp:revision>11</cp:revision>
  <dcterms:created xsi:type="dcterms:W3CDTF">2021-06-07T15:20:00Z</dcterms:created>
  <dcterms:modified xsi:type="dcterms:W3CDTF">2021-09-27T08:21:00Z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