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ALERT INTELLIGENCE ENGINE</w:t>
      </w:r>
    </w:p>
    <w:p>
      <w:pPr>
        <w:jc w:val="center"/>
      </w:pPr>
      <w:r>
        <w:rPr>
          <w:b/>
          <w:sz w:val="32"/>
        </w:rPr>
        <w:t>AI AGENT DEVELOPMENT MASTER PLAN</w:t>
      </w:r>
    </w:p>
    <w:p>
      <w:pPr>
        <w:jc w:val="center"/>
      </w:pPr>
      <w:r>
        <w:rPr>
          <w:sz w:val="20"/>
        </w:rPr>
        <w:t>Unsupervised / Self-Supervised ML PoC → API → Client Demonstration → Production-Ready Foundation</w:t>
      </w:r>
    </w:p>
    <w:p>
      <w:pPr>
        <w:jc w:val="center"/>
      </w:pPr>
      <w:r>
        <w:rPr>
          <w:sz w:val="18"/>
        </w:rPr>
        <w:t>Based on the client-provided Alerts_Samples.xlsx and the completed data-science feasibility audit</w:t>
      </w:r>
    </w:p>
    <w:p>
      <w:r>
        <w:br w:type="page"/>
      </w:r>
    </w:p>
    <w:p>
      <w:pPr>
        <w:pStyle w:val="Heading1"/>
      </w:pPr>
      <w:r>
        <w:t>0. HOW TO USE THIS DOCUMENT</w:t>
      </w:r>
    </w:p>
    <w:p>
      <w:r>
        <w:t>This document is the master instruction/specification for the AI coding agent that will implement the Alert Intelligence Engine PoC. The agent must execute the project sequentially, provide evidence at every phase, and stop at defined gates for human evaluation. The agent must not skip phases, silently change the ML formulation, invent labels, or move to production deployment before the preceding gate is approved.</w:t>
      </w:r>
    </w:p>
    <w:p>
      <w:r>
        <w:t>The agent must treat the client's current workbook as the authoritative PoC dataset. The current sample contains: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Dataset</w:t>
            </w:r>
          </w:p>
        </w:tc>
        <w:tc>
          <w:tcPr>
            <w:tcW w:type="dxa" w:w="3408"/>
            <w:vAlign w:val="center"/>
            <w:shd w:fill="D9EAF7"/>
          </w:tcPr>
          <w:p>
            <w:r/>
            <w:r>
              <w:rPr>
                <w:b/>
                <w:sz w:val="17"/>
              </w:rPr>
              <w:t>Records</w:t>
            </w:r>
          </w:p>
        </w:tc>
        <w:tc>
          <w:tcPr>
            <w:tcW w:type="dxa" w:w="3408"/>
            <w:vAlign w:val="center"/>
            <w:shd w:fill="D9EAF7"/>
          </w:tcPr>
          <w:p>
            <w:r/>
            <w:r>
              <w:rPr>
                <w:b/>
                <w:sz w:val="17"/>
              </w:rPr>
              <w:t>Role</w:t>
            </w:r>
          </w:p>
        </w:tc>
      </w:tr>
      <w:tr>
        <w:tc>
          <w:tcPr>
            <w:tcW w:type="dxa" w:w="3408"/>
            <w:vAlign w:val="center"/>
          </w:tcPr>
          <w:p>
            <w:r/>
            <w:r>
              <w:rPr>
                <w:b w:val="0"/>
                <w:sz w:val="17"/>
              </w:rPr>
              <w:t>CustomerViolation</w:t>
            </w:r>
          </w:p>
        </w:tc>
        <w:tc>
          <w:tcPr>
            <w:tcW w:type="dxa" w:w="3408"/>
            <w:vAlign w:val="center"/>
          </w:tcPr>
          <w:p>
            <w:r/>
            <w:r>
              <w:rPr>
                <w:b w:val="0"/>
                <w:sz w:val="17"/>
              </w:rPr>
              <w:t>2,397</w:t>
            </w:r>
          </w:p>
        </w:tc>
        <w:tc>
          <w:tcPr>
            <w:tcW w:type="dxa" w:w="3408"/>
            <w:vAlign w:val="center"/>
          </w:tcPr>
          <w:p>
            <w:r/>
            <w:r>
              <w:rPr>
                <w:b w:val="0"/>
                <w:sz w:val="17"/>
              </w:rPr>
              <w:t>Customer name / entity alerts</w:t>
            </w:r>
          </w:p>
        </w:tc>
      </w:tr>
      <w:tr>
        <w:tc>
          <w:tcPr>
            <w:tcW w:type="dxa" w:w="3408"/>
            <w:vAlign w:val="center"/>
          </w:tcPr>
          <w:p>
            <w:r/>
            <w:r>
              <w:rPr>
                <w:b w:val="0"/>
                <w:sz w:val="17"/>
              </w:rPr>
              <w:t>TransactionNameViolation</w:t>
            </w:r>
          </w:p>
        </w:tc>
        <w:tc>
          <w:tcPr>
            <w:tcW w:type="dxa" w:w="3408"/>
            <w:vAlign w:val="center"/>
          </w:tcPr>
          <w:p>
            <w:r/>
            <w:r>
              <w:rPr>
                <w:b w:val="0"/>
                <w:sz w:val="17"/>
              </w:rPr>
              <w:t>2,000</w:t>
            </w:r>
          </w:p>
        </w:tc>
        <w:tc>
          <w:tcPr>
            <w:tcW w:type="dxa" w:w="3408"/>
            <w:vAlign w:val="center"/>
          </w:tcPr>
          <w:p>
            <w:r/>
            <w:r>
              <w:rPr>
                <w:b w:val="0"/>
                <w:sz w:val="17"/>
              </w:rPr>
              <w:t>Transaction-party name alerts</w:t>
            </w:r>
          </w:p>
        </w:tc>
      </w:tr>
      <w:tr>
        <w:tc>
          <w:tcPr>
            <w:tcW w:type="dxa" w:w="3408"/>
            <w:vAlign w:val="center"/>
          </w:tcPr>
          <w:p>
            <w:r/>
            <w:r>
              <w:rPr>
                <w:b w:val="0"/>
                <w:sz w:val="17"/>
              </w:rPr>
              <w:t>Rule</w:t>
            </w:r>
          </w:p>
        </w:tc>
        <w:tc>
          <w:tcPr>
            <w:tcW w:type="dxa" w:w="3408"/>
            <w:vAlign w:val="center"/>
          </w:tcPr>
          <w:p>
            <w:r/>
            <w:r>
              <w:rPr>
                <w:b w:val="0"/>
                <w:sz w:val="17"/>
              </w:rPr>
              <w:t>2,244</w:t>
            </w:r>
          </w:p>
        </w:tc>
        <w:tc>
          <w:tcPr>
            <w:tcW w:type="dxa" w:w="3408"/>
            <w:vAlign w:val="center"/>
          </w:tcPr>
          <w:p>
            <w:r/>
            <w:r>
              <w:rPr>
                <w:b w:val="0"/>
                <w:sz w:val="17"/>
              </w:rPr>
              <w:t>Transaction rule alerts</w:t>
            </w:r>
          </w:p>
        </w:tc>
      </w:tr>
      <w:tr>
        <w:tc>
          <w:tcPr>
            <w:tcW w:type="dxa" w:w="3408"/>
            <w:vAlign w:val="center"/>
          </w:tcPr>
          <w:p>
            <w:r/>
            <w:r>
              <w:rPr>
                <w:b w:val="0"/>
                <w:sz w:val="17"/>
              </w:rPr>
              <w:t>Total</w:t>
            </w:r>
          </w:p>
        </w:tc>
        <w:tc>
          <w:tcPr>
            <w:tcW w:type="dxa" w:w="3408"/>
            <w:vAlign w:val="center"/>
          </w:tcPr>
          <w:p>
            <w:r/>
            <w:r>
              <w:rPr>
                <w:b w:val="0"/>
                <w:sz w:val="17"/>
              </w:rPr>
              <w:t>6,641</w:t>
            </w:r>
          </w:p>
        </w:tc>
        <w:tc>
          <w:tcPr>
            <w:tcW w:type="dxa" w:w="3408"/>
            <w:vAlign w:val="center"/>
          </w:tcPr>
          <w:p>
            <w:r/>
            <w:r>
              <w:rPr>
                <w:b w:val="0"/>
                <w:sz w:val="17"/>
              </w:rPr>
              <w:t>Current PoC sample</w:t>
            </w:r>
          </w:p>
        </w:tc>
      </w:tr>
    </w:tbl>
    <w:p>
      <w:r>
        <w:t>The client requirement is explicitly:</w:t>
      </w:r>
    </w:p>
    <w:p>
      <w:pPr>
        <w:pStyle w:val="ListBullet"/>
      </w:pPr>
      <w:r>
        <w:t>No LLM.</w:t>
      </w:r>
    </w:p>
    <w:p>
      <w:pPr>
        <w:pStyle w:val="ListBullet"/>
      </w:pPr>
      <w:r>
        <w:t>No OpenAI/Claude/Gemini or other paid AI inference API.</w:t>
      </w:r>
    </w:p>
    <w:p>
      <w:pPr>
        <w:pStyle w:val="ListBullet"/>
      </w:pPr>
      <w:r>
        <w:t>No per-alert third-party model API dependency.</w:t>
      </w:r>
    </w:p>
    <w:p>
      <w:pPr>
        <w:pStyle w:val="ListBullet"/>
      </w:pPr>
      <w:r>
        <w:t>No heuristic decision engine based on manually assigned name/DOB/nationality weights.</w:t>
      </w:r>
    </w:p>
    <w:p>
      <w:pPr>
        <w:pStyle w:val="ListBullet"/>
      </w:pPr>
      <w:r>
        <w:t>The system must be ML-based and capable of improving as additional client data arrives.</w:t>
      </w:r>
    </w:p>
    <w:p>
      <w:pPr>
        <w:pStyle w:val="ListBullet"/>
      </w:pPr>
      <w:r>
        <w:t>The initial data may remain weakly labelled or largely unlabeled in production.</w:t>
      </w:r>
    </w:p>
    <w:p>
      <w:pPr>
        <w:pStyle w:val="Heading1"/>
      </w:pPr>
      <w:r>
        <w:t>1. NON-NEGOTIABLE AGENT RULES</w:t>
      </w:r>
    </w:p>
    <w:p>
      <w:pPr>
        <w:pStyle w:val="ListBullet"/>
      </w:pPr>
      <w:r>
        <w:t>Do not guess. If a business meaning, field definition, status meaning, timestamp meaning, or data source behaviour is uncertain, explicitly report the uncertainty.</w:t>
      </w:r>
    </w:p>
    <w:p>
      <w:pPr>
        <w:pStyle w:val="ListBullet"/>
      </w:pPr>
      <w:r>
        <w:t>Do not manufacture ground-truth labels. Released, UPS, Followup, comments, or other operational fields must not be converted to TRUE/FALSE without evidence.</w:t>
      </w:r>
    </w:p>
    <w:p>
      <w:pPr>
        <w:pStyle w:val="ListBullet"/>
      </w:pPr>
      <w:r>
        <w:t>Do not use post-review information as live model input. Maker/Compliance comments, closure information, action taken, or equivalent fields must be treated as leakage unless proven to exist before inference.</w:t>
      </w:r>
    </w:p>
    <w:p>
      <w:pPr>
        <w:pStyle w:val="ListBullet"/>
      </w:pPr>
      <w:r>
        <w:t>Do not use random row-level train/test splitting where the same customer, UIN, transaction reference, or entity can appear across splits.</w:t>
      </w:r>
    </w:p>
    <w:p>
      <w:pPr>
        <w:pStyle w:val="ListBullet"/>
      </w:pPr>
      <w:r>
        <w:t>Use customer/entity grouping and time-forward validation as required by each experiment.</w:t>
      </w:r>
    </w:p>
    <w:p>
      <w:pPr>
        <w:pStyle w:val="ListBullet"/>
      </w:pPr>
      <w:r>
        <w:t>Do not silently remove, repair, impute, or transform suspicious data. Every transformation must be documented and reproducible.</w:t>
      </w:r>
    </w:p>
    <w:p>
      <w:pPr>
        <w:pStyle w:val="ListBullet"/>
      </w:pPr>
      <w:r>
        <w:t>POB is 100% missing in the current name-alert sample. Do not invent POB values and do not make the first model depend on POB.</w:t>
      </w:r>
    </w:p>
    <w:p>
      <w:pPr>
        <w:pStyle w:val="ListBullet"/>
      </w:pPr>
      <w:r>
        <w:t>Transaction amount is not reliably structured in the current Rule sheet. Do not make comment-parsed amount a production dependency. Clearly separate PoC-only extraction from production-required structured fields.</w:t>
      </w:r>
    </w:p>
    <w:p>
      <w:pPr>
        <w:pStyle w:val="ListBullet"/>
      </w:pPr>
      <w:r>
        <w:t>Do not use RapidFuzz, Levenshtein, phonetic matching, manually weighted similarity scores, or hand-written match thresholds as the final decision engine.</w:t>
      </w:r>
    </w:p>
    <w:p>
      <w:pPr>
        <w:pStyle w:val="ListBullet"/>
      </w:pPr>
      <w:r>
        <w:t>Do not claim anomaly score equals probability of true match, probability of guilt, or probability of false positive.</w:t>
      </w:r>
    </w:p>
    <w:p>
      <w:pPr>
        <w:pStyle w:val="ListBullet"/>
      </w:pPr>
      <w:r>
        <w:t>Do not claim supervised accuracy, precision, recall, F1, ROC-AUC, or PR-AUC unless trustworthy labels exist for that experiment.</w:t>
      </w:r>
    </w:p>
    <w:p>
      <w:pPr>
        <w:pStyle w:val="ListBullet"/>
      </w:pPr>
      <w:r>
        <w:t>Do not select a model because it is more sophisticated. Select the champion using the agreed validation framework and evidence.</w:t>
      </w:r>
    </w:p>
    <w:p>
      <w:pPr>
        <w:pStyle w:val="ListBullet"/>
      </w:pPr>
      <w:r>
        <w:t>Do not deploy a newly trained model directly to production. Train → validate → compare → register → shadow → approve → deploy.</w:t>
      </w:r>
    </w:p>
    <w:p>
      <w:pPr>
        <w:pStyle w:val="ListBullet"/>
      </w:pPr>
      <w:r>
        <w:t>Do not hardcode secrets, database URLs, thresholds, paths, model locations, or client-specific configuration. Use environment/configuration management.</w:t>
      </w:r>
    </w:p>
    <w:p>
      <w:pPr>
        <w:pStyle w:val="ListBullet"/>
      </w:pPr>
      <w:r>
        <w:t>Every experiment must be reproducible from code and configuration.</w:t>
      </w:r>
    </w:p>
    <w:p>
      <w:pPr>
        <w:pStyle w:val="ListBullet"/>
      </w:pPr>
      <w:r>
        <w:t>Every model output must identify model version, feature version, schema version, and scoring timestamp.</w:t>
      </w:r>
    </w:p>
    <w:p>
      <w:pPr>
        <w:pStyle w:val="ListBullet"/>
      </w:pPr>
      <w:r>
        <w:t>If an experiment fails, stop, explain why, preserve the evidence, and propose the next experiment. Do not hide failures.</w:t>
      </w:r>
    </w:p>
    <w:p>
      <w:pPr>
        <w:pStyle w:val="Heading1"/>
      </w:pPr>
      <w:r>
        <w:t>2. PRODUCT DEFINITION</w:t>
      </w:r>
    </w:p>
    <w:p>
      <w:r>
        <w:t>Build one ML Alert Intelligence Engine containing separate intelligence pipelines for entity/name alerts and transaction-rule alerts. The initial system is an unsupervised/self-supervised decision-support engine. It learns historical structure and novelty rather than pretending that the current operational statuses are perfect labels.</w:t>
      </w:r>
    </w:p>
    <w:p>
      <w:pPr>
        <w:spacing w:after="120"/>
      </w:pPr>
      <w:r>
        <w:rPr>
          <w:rFonts w:ascii="Courier New" w:hAnsi="Courier New"/>
          <w:sz w:val="16"/>
        </w:rPr>
        <w:t>CLIENT ALERT SOURCE</w:t>
        <w:br/>
        <w:t xml:space="preserve">        |</w:t>
        <w:br/>
        <w:t xml:space="preserve">        v</w:t>
        <w:br/>
        <w:t>ALERT INTAKE</w:t>
        <w:br/>
        <w:t xml:space="preserve">        |</w:t>
        <w:br/>
        <w:t xml:space="preserve">        v</w:t>
        <w:br/>
        <w:t>SCHEMA VALIDATION</w:t>
        <w:br/>
        <w:t xml:space="preserve">        |</w:t>
        <w:br/>
        <w:t xml:space="preserve">        v</w:t>
        <w:br/>
        <w:t>NORMALIZATION</w:t>
        <w:br/>
        <w:t xml:space="preserve">        |</w:t>
        <w:br/>
        <w:t xml:space="preserve">        +-----------------------------+</w:t>
        <w:br/>
        <w:t xml:space="preserve">        |                             |</w:t>
        <w:br/>
        <w:t xml:space="preserve">        v                             v</w:t>
        <w:br/>
        <w:t>ENTITY INTELLIGENCE             TRANSACTION INTELLIGENCE</w:t>
        <w:br/>
        <w:t>Customer Name                   Transaction Rule</w:t>
        <w:br/>
        <w:t>Transaction Name                Customer behaviour</w:t>
        <w:br/>
        <w:t xml:space="preserve">        |                       Rule context</w:t>
        <w:br/>
        <w:t xml:space="preserve">        v                             |</w:t>
        <w:br/>
        <w:t>LEARNED REPRESENTATION                 v</w:t>
        <w:br/>
        <w:t xml:space="preserve">        |                       LEARNED REPRESENTATION</w:t>
        <w:br/>
        <w:t xml:space="preserve">        v                             |</w:t>
        <w:br/>
        <w:t>GLOBAL + CUSTOMER BASELINES            v</w:t>
        <w:br/>
        <w:t xml:space="preserve">        |                       GLOBAL + CUSTOMER BASELINES</w:t>
        <w:br/>
        <w:t xml:space="preserve">        v                             |</w:t>
        <w:br/>
        <w:t>ENTITY NOVELTY                   TRANSACTION NOVELTY</w:t>
        <w:br/>
        <w:t xml:space="preserve">        |                             |</w:t>
        <w:br/>
        <w:t xml:space="preserve">        +-------------+---------------+</w:t>
        <w:br/>
        <w:t xml:space="preserve">                      |</w:t>
        <w:br/>
        <w:t xml:space="preserve">                      v</w:t>
        <w:br/>
        <w:t xml:space="preserve">              DECISION SUPPORT</w:t>
        <w:br/>
        <w:t xml:space="preserve">                      |</w:t>
        <w:br/>
        <w:t xml:space="preserve">             +--------+--------+</w:t>
        <w:br/>
        <w:t xml:space="preserve">             |                 |</w:t>
        <w:br/>
        <w:t xml:space="preserve">          Lower novelty     Higher novelty</w:t>
        <w:br/>
        <w:t xml:space="preserve">             |                 |</w:t>
        <w:br/>
        <w:t xml:space="preserve">             v                 v</w:t>
        <w:br/>
        <w:t xml:space="preserve">       Lower-touch        Compliance review</w:t>
        <w:br/>
        <w:t xml:space="preserve">         candidate</w:t>
        <w:br/>
        <w:t xml:space="preserve">                               |</w:t>
        <w:br/>
        <w:t xml:space="preserve">                               v</w:t>
        <w:br/>
        <w:t xml:space="preserve">                       CONFIRMED OUTCOME</w:t>
        <w:br/>
        <w:t xml:space="preserve">                               |</w:t>
        <w:br/>
        <w:t xml:space="preserve">                               v</w:t>
        <w:br/>
        <w:t xml:space="preserve">                         FEEDBACK DATASET</w:t>
        <w:br/>
        <w:t xml:space="preserve">                               |</w:t>
        <w:br/>
        <w:t xml:space="preserve">                               v</w:t>
        <w:br/>
        <w:t xml:space="preserve">                    FUTURE SUPERVISED LAYER</w:t>
      </w:r>
    </w:p>
    <w:p>
      <w:pPr>
        <w:pStyle w:val="Heading1"/>
      </w:pPr>
      <w:r>
        <w:t>3. CURRENT DATA FACTS THE AGENT MUST PRESERVE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Finding</w:t>
            </w:r>
          </w:p>
        </w:tc>
        <w:tc>
          <w:tcPr>
            <w:tcW w:type="dxa" w:w="5112"/>
            <w:vAlign w:val="center"/>
            <w:shd w:fill="D9EAF7"/>
          </w:tcPr>
          <w:p>
            <w:r/>
            <w:r>
              <w:rPr>
                <w:b/>
                <w:sz w:val="17"/>
              </w:rPr>
              <w:t>Required handling</w:t>
            </w:r>
          </w:p>
        </w:tc>
      </w:tr>
      <w:tr>
        <w:tc>
          <w:tcPr>
            <w:tcW w:type="dxa" w:w="5112"/>
            <w:vAlign w:val="center"/>
          </w:tcPr>
          <w:p>
            <w:r/>
            <w:r>
              <w:rPr>
                <w:b w:val="0"/>
                <w:sz w:val="17"/>
              </w:rPr>
              <w:t>CustomerViolation: 2,397 rows</w:t>
            </w:r>
          </w:p>
        </w:tc>
        <w:tc>
          <w:tcPr>
            <w:tcW w:type="dxa" w:w="5112"/>
            <w:vAlign w:val="center"/>
          </w:tcPr>
          <w:p>
            <w:r/>
            <w:r>
              <w:rPr>
                <w:b w:val="0"/>
                <w:sz w:val="17"/>
              </w:rPr>
              <w:t>Use for entity/customer-name experiments</w:t>
            </w:r>
          </w:p>
        </w:tc>
      </w:tr>
      <w:tr>
        <w:tc>
          <w:tcPr>
            <w:tcW w:type="dxa" w:w="5112"/>
            <w:vAlign w:val="center"/>
          </w:tcPr>
          <w:p>
            <w:r/>
            <w:r>
              <w:rPr>
                <w:b w:val="0"/>
                <w:sz w:val="17"/>
              </w:rPr>
              <w:t>TransactionNameViolation: 2,000 rows</w:t>
            </w:r>
          </w:p>
        </w:tc>
        <w:tc>
          <w:tcPr>
            <w:tcW w:type="dxa" w:w="5112"/>
            <w:vAlign w:val="center"/>
          </w:tcPr>
          <w:p>
            <w:r/>
            <w:r>
              <w:rPr>
                <w:b w:val="0"/>
                <w:sz w:val="17"/>
              </w:rPr>
              <w:t>Use for entity + transaction-context experiments</w:t>
            </w:r>
          </w:p>
        </w:tc>
      </w:tr>
      <w:tr>
        <w:tc>
          <w:tcPr>
            <w:tcW w:type="dxa" w:w="5112"/>
            <w:vAlign w:val="center"/>
          </w:tcPr>
          <w:p>
            <w:r/>
            <w:r>
              <w:rPr>
                <w:b w:val="0"/>
                <w:sz w:val="17"/>
              </w:rPr>
              <w:t>Rule: 2,244 rows</w:t>
            </w:r>
          </w:p>
        </w:tc>
        <w:tc>
          <w:tcPr>
            <w:tcW w:type="dxa" w:w="5112"/>
            <w:vAlign w:val="center"/>
          </w:tcPr>
          <w:p>
            <w:r/>
            <w:r>
              <w:rPr>
                <w:b w:val="0"/>
                <w:sz w:val="17"/>
              </w:rPr>
              <w:t>Use for transaction/rule anomaly experiments</w:t>
            </w:r>
          </w:p>
        </w:tc>
      </w:tr>
      <w:tr>
        <w:tc>
          <w:tcPr>
            <w:tcW w:type="dxa" w:w="5112"/>
            <w:vAlign w:val="center"/>
          </w:tcPr>
          <w:p>
            <w:r/>
            <w:r>
              <w:rPr>
                <w:b w:val="0"/>
                <w:sz w:val="17"/>
              </w:rPr>
              <w:t>TransactionNameViolation: 537 exact duplicate rows</w:t>
            </w:r>
          </w:p>
        </w:tc>
        <w:tc>
          <w:tcPr>
            <w:tcW w:type="dxa" w:w="5112"/>
            <w:vAlign w:val="center"/>
          </w:tcPr>
          <w:p>
            <w:r/>
            <w:r>
              <w:rPr>
                <w:b w:val="0"/>
                <w:sz w:val="17"/>
              </w:rPr>
              <w:t>Detect, document, deduplicate/weight deliberately; never let duplicates inflate evaluation</w:t>
            </w:r>
          </w:p>
        </w:tc>
      </w:tr>
      <w:tr>
        <w:tc>
          <w:tcPr>
            <w:tcW w:type="dxa" w:w="5112"/>
            <w:vAlign w:val="center"/>
          </w:tcPr>
          <w:p>
            <w:r/>
            <w:r>
              <w:rPr>
                <w:b w:val="0"/>
                <w:sz w:val="17"/>
              </w:rPr>
              <w:t>CustomerViolation: 1,232 unique UINs</w:t>
            </w:r>
          </w:p>
        </w:tc>
        <w:tc>
          <w:tcPr>
            <w:tcW w:type="dxa" w:w="5112"/>
            <w:vAlign w:val="center"/>
          </w:tcPr>
          <w:p>
            <w:r/>
            <w:r>
              <w:rPr>
                <w:b w:val="0"/>
                <w:sz w:val="17"/>
              </w:rPr>
              <w:t>Use repeated-customer history where valid</w:t>
            </w:r>
          </w:p>
        </w:tc>
      </w:tr>
      <w:tr>
        <w:tc>
          <w:tcPr>
            <w:tcW w:type="dxa" w:w="5112"/>
            <w:vAlign w:val="center"/>
          </w:tcPr>
          <w:p>
            <w:r/>
            <w:r>
              <w:rPr>
                <w:b w:val="0"/>
                <w:sz w:val="17"/>
              </w:rPr>
              <w:t>TransactionNameViolation: 373 unique UINs / 402 transaction refs</w:t>
            </w:r>
          </w:p>
        </w:tc>
        <w:tc>
          <w:tcPr>
            <w:tcW w:type="dxa" w:w="5112"/>
            <w:vAlign w:val="center"/>
          </w:tcPr>
          <w:p>
            <w:r/>
            <w:r>
              <w:rPr>
                <w:b w:val="0"/>
                <w:sz w:val="17"/>
              </w:rPr>
              <w:t>Use grouped and time-aware validation</w:t>
            </w:r>
          </w:p>
        </w:tc>
      </w:tr>
      <w:tr>
        <w:tc>
          <w:tcPr>
            <w:tcW w:type="dxa" w:w="5112"/>
            <w:vAlign w:val="center"/>
          </w:tcPr>
          <w:p>
            <w:r/>
            <w:r>
              <w:rPr>
                <w:b w:val="0"/>
                <w:sz w:val="17"/>
              </w:rPr>
              <w:t>Rule: 1,106 unique customers / 1,619 transaction refs</w:t>
            </w:r>
          </w:p>
        </w:tc>
        <w:tc>
          <w:tcPr>
            <w:tcW w:type="dxa" w:w="5112"/>
            <w:vAlign w:val="center"/>
          </w:tcPr>
          <w:p>
            <w:r/>
            <w:r>
              <w:rPr>
                <w:b w:val="0"/>
                <w:sz w:val="17"/>
              </w:rPr>
              <w:t>Use customer and transaction history</w:t>
            </w:r>
          </w:p>
        </w:tc>
      </w:tr>
      <w:tr>
        <w:tc>
          <w:tcPr>
            <w:tcW w:type="dxa" w:w="5112"/>
            <w:vAlign w:val="center"/>
          </w:tcPr>
          <w:p>
            <w:r/>
            <w:r>
              <w:rPr>
                <w:b w:val="0"/>
                <w:sz w:val="17"/>
              </w:rPr>
              <w:t>Customer/Transaction POB fields are 100% missing</w:t>
            </w:r>
          </w:p>
        </w:tc>
        <w:tc>
          <w:tcPr>
            <w:tcW w:type="dxa" w:w="5112"/>
            <w:vAlign w:val="center"/>
          </w:tcPr>
          <w:p>
            <w:r/>
            <w:r>
              <w:rPr>
                <w:b w:val="0"/>
                <w:sz w:val="17"/>
              </w:rPr>
              <w:t>Exclude from current model; support schema extension later</w:t>
            </w:r>
          </w:p>
        </w:tc>
      </w:tr>
      <w:tr>
        <w:tc>
          <w:tcPr>
            <w:tcW w:type="dxa" w:w="5112"/>
            <w:vAlign w:val="center"/>
          </w:tcPr>
          <w:p>
            <w:r/>
            <w:r>
              <w:rPr>
                <w:b w:val="0"/>
                <w:sz w:val="17"/>
              </w:rPr>
              <w:t>Rule beneficiary ID is ~97.1% missing</w:t>
            </w:r>
          </w:p>
        </w:tc>
        <w:tc>
          <w:tcPr>
            <w:tcW w:type="dxa" w:w="5112"/>
            <w:vAlign w:val="center"/>
          </w:tcPr>
          <w:p>
            <w:r/>
            <w:r>
              <w:rPr>
                <w:b w:val="0"/>
                <w:sz w:val="17"/>
              </w:rPr>
              <w:t>Do not make it a primary feature</w:t>
            </w:r>
          </w:p>
        </w:tc>
      </w:tr>
      <w:tr>
        <w:tc>
          <w:tcPr>
            <w:tcW w:type="dxa" w:w="5112"/>
            <w:vAlign w:val="center"/>
          </w:tcPr>
          <w:p>
            <w:r/>
            <w:r>
              <w:rPr>
                <w:b w:val="0"/>
                <w:sz w:val="17"/>
              </w:rPr>
              <w:t>Rule has no clean structured transaction amount field</w:t>
            </w:r>
          </w:p>
        </w:tc>
        <w:tc>
          <w:tcPr>
            <w:tcW w:type="dxa" w:w="5112"/>
            <w:vAlign w:val="center"/>
          </w:tcPr>
          <w:p>
            <w:r/>
            <w:r>
              <w:rPr>
                <w:b w:val="0"/>
                <w:sz w:val="17"/>
              </w:rPr>
              <w:t>Request production source field; do not make comment parsing a core dependency</w:t>
            </w:r>
          </w:p>
        </w:tc>
      </w:tr>
      <w:tr>
        <w:tc>
          <w:tcPr>
            <w:tcW w:type="dxa" w:w="5112"/>
            <w:vAlign w:val="center"/>
          </w:tcPr>
          <w:p>
            <w:r/>
            <w:r>
              <w:rPr>
                <w:b w:val="0"/>
                <w:sz w:val="17"/>
              </w:rPr>
              <w:t>Operational status is not trustworthy ground truth</w:t>
            </w:r>
          </w:p>
        </w:tc>
        <w:tc>
          <w:tcPr>
            <w:tcW w:type="dxa" w:w="5112"/>
            <w:vAlign w:val="center"/>
          </w:tcPr>
          <w:p>
            <w:r/>
            <w:r>
              <w:rPr>
                <w:b w:val="0"/>
                <w:sz w:val="17"/>
              </w:rPr>
              <w:t>Use weak/unknown outcome semantics</w:t>
            </w:r>
          </w:p>
        </w:tc>
      </w:tr>
      <w:tr>
        <w:tc>
          <w:tcPr>
            <w:tcW w:type="dxa" w:w="5112"/>
            <w:vAlign w:val="center"/>
          </w:tcPr>
          <w:p>
            <w:r/>
            <w:r>
              <w:rPr>
                <w:b w:val="0"/>
                <w:sz w:val="17"/>
              </w:rPr>
              <w:t>Many UPS comments contain false-positive language</w:t>
            </w:r>
          </w:p>
        </w:tc>
        <w:tc>
          <w:tcPr>
            <w:tcW w:type="dxa" w:w="5112"/>
            <w:vAlign w:val="center"/>
          </w:tcPr>
          <w:p>
            <w:r/>
            <w:r>
              <w:rPr>
                <w:b w:val="0"/>
                <w:sz w:val="17"/>
              </w:rPr>
              <w:t>Never map UPS directly to TRUE</w:t>
            </w:r>
          </w:p>
        </w:tc>
      </w:tr>
      <w:tr>
        <w:tc>
          <w:tcPr>
            <w:tcW w:type="dxa" w:w="5112"/>
            <w:vAlign w:val="center"/>
          </w:tcPr>
          <w:p>
            <w:r/>
            <w:r>
              <w:rPr>
                <w:b w:val="0"/>
                <w:sz w:val="17"/>
              </w:rPr>
              <w:t>Comments are post-review information</w:t>
            </w:r>
          </w:p>
        </w:tc>
        <w:tc>
          <w:tcPr>
            <w:tcW w:type="dxa" w:w="5112"/>
            <w:vAlign w:val="center"/>
          </w:tcPr>
          <w:p>
            <w:r/>
            <w:r>
              <w:rPr>
                <w:b w:val="0"/>
                <w:sz w:val="17"/>
              </w:rPr>
              <w:t>Exclude from live inference; use only for controlled outcome analysis</w:t>
            </w:r>
          </w:p>
        </w:tc>
      </w:tr>
      <w:tr>
        <w:tc>
          <w:tcPr>
            <w:tcW w:type="dxa" w:w="5112"/>
            <w:vAlign w:val="center"/>
          </w:tcPr>
          <w:p>
            <w:r/>
            <w:r>
              <w:rPr>
                <w:b w:val="0"/>
                <w:sz w:val="17"/>
              </w:rPr>
              <w:t>Some timestamp ordering is inconsistent</w:t>
            </w:r>
          </w:p>
        </w:tc>
        <w:tc>
          <w:tcPr>
            <w:tcW w:type="dxa" w:w="5112"/>
            <w:vAlign w:val="center"/>
          </w:tcPr>
          <w:p>
            <w:r/>
            <w:r>
              <w:rPr>
                <w:b w:val="0"/>
                <w:sz w:val="17"/>
              </w:rPr>
              <w:t>Do not silently fix; validate business timestamp semantics before temporal modeling</w:t>
            </w:r>
          </w:p>
        </w:tc>
      </w:tr>
    </w:tbl>
    <w:p>
      <w:pPr>
        <w:pStyle w:val="Heading1"/>
      </w:pPr>
      <w:r>
        <w:t>4. TARGET MODEL STRATEGY</w:t>
      </w:r>
    </w:p>
    <w:p>
      <w:r>
        <w:t>The initial production-capable PoC should have two champion ML pipelines, with candidate models evaluated within each pipeline.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Pipeline</w:t>
            </w:r>
          </w:p>
        </w:tc>
        <w:tc>
          <w:tcPr>
            <w:tcW w:type="dxa" w:w="2045"/>
            <w:vAlign w:val="center"/>
            <w:shd w:fill="D9EAF7"/>
          </w:tcPr>
          <w:p>
            <w:r/>
            <w:r>
              <w:rPr>
                <w:b/>
                <w:sz w:val="17"/>
              </w:rPr>
              <w:t>Alerts</w:t>
            </w:r>
          </w:p>
        </w:tc>
        <w:tc>
          <w:tcPr>
            <w:tcW w:type="dxa" w:w="2045"/>
            <w:vAlign w:val="center"/>
            <w:shd w:fill="D9EAF7"/>
          </w:tcPr>
          <w:p>
            <w:r/>
            <w:r>
              <w:rPr>
                <w:b/>
                <w:sz w:val="17"/>
              </w:rPr>
              <w:t>Primary candidate</w:t>
            </w:r>
          </w:p>
        </w:tc>
        <w:tc>
          <w:tcPr>
            <w:tcW w:type="dxa" w:w="2045"/>
            <w:vAlign w:val="center"/>
            <w:shd w:fill="D9EAF7"/>
          </w:tcPr>
          <w:p>
            <w:r/>
            <w:r>
              <w:rPr>
                <w:b/>
                <w:sz w:val="17"/>
              </w:rPr>
              <w:t>Secondary candidate</w:t>
            </w:r>
          </w:p>
        </w:tc>
        <w:tc>
          <w:tcPr>
            <w:tcW w:type="dxa" w:w="2045"/>
            <w:vAlign w:val="center"/>
            <w:shd w:fill="D9EAF7"/>
          </w:tcPr>
          <w:p>
            <w:r/>
            <w:r>
              <w:rPr>
                <w:b/>
                <w:sz w:val="17"/>
              </w:rPr>
              <w:t>Benchmark</w:t>
            </w:r>
          </w:p>
        </w:tc>
      </w:tr>
      <w:tr>
        <w:tc>
          <w:tcPr>
            <w:tcW w:type="dxa" w:w="2045"/>
            <w:vAlign w:val="center"/>
          </w:tcPr>
          <w:p>
            <w:r/>
            <w:r>
              <w:rPr>
                <w:b w:val="0"/>
                <w:sz w:val="17"/>
              </w:rPr>
              <w:t>Entity Intelligence</w:t>
            </w:r>
          </w:p>
        </w:tc>
        <w:tc>
          <w:tcPr>
            <w:tcW w:type="dxa" w:w="2045"/>
            <w:vAlign w:val="center"/>
          </w:tcPr>
          <w:p>
            <w:r/>
            <w:r>
              <w:rPr>
                <w:b w:val="0"/>
                <w:sz w:val="17"/>
              </w:rPr>
              <w:t>CustomerViolation + TransactionNameViolation</w:t>
            </w:r>
          </w:p>
        </w:tc>
        <w:tc>
          <w:tcPr>
            <w:tcW w:type="dxa" w:w="2045"/>
            <w:vAlign w:val="center"/>
          </w:tcPr>
          <w:p>
            <w:r/>
            <w:r>
              <w:rPr>
                <w:b w:val="0"/>
                <w:sz w:val="17"/>
              </w:rPr>
              <w:t>Isolation Forest</w:t>
            </w:r>
          </w:p>
        </w:tc>
        <w:tc>
          <w:tcPr>
            <w:tcW w:type="dxa" w:w="2045"/>
            <w:vAlign w:val="center"/>
          </w:tcPr>
          <w:p>
            <w:r/>
            <w:r>
              <w:rPr>
                <w:b w:val="0"/>
                <w:sz w:val="17"/>
              </w:rPr>
              <w:t>Autoencoder</w:t>
            </w:r>
          </w:p>
        </w:tc>
        <w:tc>
          <w:tcPr>
            <w:tcW w:type="dxa" w:w="2045"/>
            <w:vAlign w:val="center"/>
          </w:tcPr>
          <w:p>
            <w:r/>
            <w:r>
              <w:rPr>
                <w:b w:val="0"/>
                <w:sz w:val="17"/>
              </w:rPr>
              <w:t>LOF / One-Class SVM</w:t>
            </w:r>
          </w:p>
        </w:tc>
      </w:tr>
      <w:tr>
        <w:tc>
          <w:tcPr>
            <w:tcW w:type="dxa" w:w="2045"/>
            <w:vAlign w:val="center"/>
          </w:tcPr>
          <w:p>
            <w:r/>
            <w:r>
              <w:rPr>
                <w:b w:val="0"/>
                <w:sz w:val="17"/>
              </w:rPr>
              <w:t>Transaction Intelligence</w:t>
            </w:r>
          </w:p>
        </w:tc>
        <w:tc>
          <w:tcPr>
            <w:tcW w:type="dxa" w:w="2045"/>
            <w:vAlign w:val="center"/>
          </w:tcPr>
          <w:p>
            <w:r/>
            <w:r>
              <w:rPr>
                <w:b w:val="0"/>
                <w:sz w:val="17"/>
              </w:rPr>
              <w:t>Rule</w:t>
            </w:r>
          </w:p>
        </w:tc>
        <w:tc>
          <w:tcPr>
            <w:tcW w:type="dxa" w:w="2045"/>
            <w:vAlign w:val="center"/>
          </w:tcPr>
          <w:p>
            <w:r/>
            <w:r>
              <w:rPr>
                <w:b w:val="0"/>
                <w:sz w:val="17"/>
              </w:rPr>
              <w:t>Isolation Forest</w:t>
            </w:r>
          </w:p>
        </w:tc>
        <w:tc>
          <w:tcPr>
            <w:tcW w:type="dxa" w:w="2045"/>
            <w:vAlign w:val="center"/>
          </w:tcPr>
          <w:p>
            <w:r/>
            <w:r>
              <w:rPr>
                <w:b w:val="0"/>
                <w:sz w:val="17"/>
              </w:rPr>
              <w:t>Autoencoder</w:t>
            </w:r>
          </w:p>
        </w:tc>
        <w:tc>
          <w:tcPr>
            <w:tcW w:type="dxa" w:w="2045"/>
            <w:vAlign w:val="center"/>
          </w:tcPr>
          <w:p>
            <w:r/>
            <w:r>
              <w:rPr>
                <w:b w:val="0"/>
                <w:sz w:val="17"/>
              </w:rPr>
              <w:t>LOF / One-Class SVM</w:t>
            </w:r>
          </w:p>
        </w:tc>
      </w:tr>
    </w:tbl>
    <w:p>
      <w:r>
        <w:t>Isolation Forest is the starting candidate because the current dataset is small-to-medium, tabular, heterogeneous, unlabeled, and cost-sensitive. This is not a pre-decided final winner. The agent must benchmark the candidates under the same data and validation protocol.</w:t>
      </w:r>
    </w:p>
    <w:p>
      <w:pPr>
        <w:pStyle w:val="Heading1"/>
      </w:pPr>
      <w:r>
        <w:t>5. ENTITY INTELLIGENCE DESIGN</w:t>
      </w:r>
    </w:p>
    <w:p>
      <w:r>
        <w:t>The entity pipeline covers Customer Name Alerts and Transaction Name Alerts.</w:t>
      </w:r>
    </w:p>
    <w:p>
      <w:pPr>
        <w:spacing w:after="120"/>
      </w:pPr>
      <w:r>
        <w:rPr>
          <w:rFonts w:ascii="Courier New" w:hAnsi="Courier New"/>
          <w:sz w:val="16"/>
        </w:rPr>
        <w:t>Alerted Party</w:t>
        <w:br/>
        <w:t xml:space="preserve">    |</w:t>
        <w:br/>
        <w:t xml:space="preserve">    +-- Name</w:t>
        <w:br/>
        <w:t xml:space="preserve">    +-- DOB</w:t>
        <w:br/>
        <w:t xml:space="preserve">    +-- Nationality</w:t>
        <w:br/>
        <w:t xml:space="preserve">    +-- Customer Type</w:t>
        <w:br/>
        <w:t xml:space="preserve">    +-- Party Type</w:t>
        <w:br/>
        <w:t xml:space="preserve">    +-- Screening List</w:t>
        <w:br/>
        <w:t xml:space="preserve">    +-- Alert Type</w:t>
        <w:br/>
        <w:t xml:space="preserve">    +-- Historical Customer Context</w:t>
        <w:br/>
        <w:t xml:space="preserve">    |</w:t>
        <w:br/>
        <w:t xml:space="preserve">    v</w:t>
        <w:br/>
        <w:t>ENTITY REPRESENTATION</w:t>
        <w:br/>
        <w:t xml:space="preserve">    |</w:t>
        <w:br/>
        <w:t xml:space="preserve">    +-- character/token representation for names</w:t>
        <w:br/>
        <w:t xml:space="preserve">    +-- categorical representation</w:t>
        <w:br/>
        <w:t xml:space="preserve">    +-- DOB representation + missingness</w:t>
        <w:br/>
        <w:t xml:space="preserve">    +-- nationality representation + missingness</w:t>
        <w:br/>
        <w:t xml:space="preserve">    +-- historical context</w:t>
        <w:br/>
        <w:t xml:space="preserve">    |</w:t>
        <w:br/>
        <w:t xml:space="preserve">    v</w:t>
        <w:br/>
        <w:t>ENTITY RELATIONSHIP REPRESENTATION</w:t>
        <w:br/>
        <w:t xml:space="preserve">    |</w:t>
        <w:br/>
        <w:t xml:space="preserve">    +-- alerted entity representation</w:t>
        <w:br/>
        <w:t xml:space="preserve">    +-- watchlist entity representation</w:t>
        <w:br/>
        <w:t xml:space="preserve">    +-- relationship representation</w:t>
        <w:br/>
        <w:t xml:space="preserve">    |</w:t>
        <w:br/>
        <w:t xml:space="preserve">    v</w:t>
        <w:br/>
        <w:t>ANOMALY / NOVELTY MODEL</w:t>
        <w:br/>
        <w:t xml:space="preserve">    |</w:t>
        <w:br/>
        <w:t xml:space="preserve">    +-- global population novelty</w:t>
        <w:br/>
        <w:t xml:space="preserve">    +-- customer-specific novelty</w:t>
        <w:br/>
        <w:t xml:space="preserve">    +-- alert-context novelty</w:t>
        <w:br/>
      </w:r>
    </w:p>
    <w:p>
      <w:r>
        <w:t>The name representation may begin with character n-gram TF-IDF as a strong, explainable, local, non-LLM baseline. A self-supervised representation experiment may be added if it can be trained and validated responsibly on the available repeated-entity structure. No manual name/DOB/nationality weights are permitted.</w:t>
      </w:r>
    </w:p>
    <w:p>
      <w:pPr>
        <w:pStyle w:val="Heading1"/>
      </w:pPr>
      <w:r>
        <w:t>6. TRANSACTION INTELLIGENCE DESIGN</w:t>
      </w:r>
    </w:p>
    <w:p>
      <w:pPr>
        <w:spacing w:after="120"/>
      </w:pPr>
      <w:r>
        <w:rPr>
          <w:rFonts w:ascii="Courier New" w:hAnsi="Courier New"/>
          <w:sz w:val="16"/>
        </w:rPr>
        <w:t>Customer + Transaction + Rule Context</w:t>
        <w:br/>
        <w:t xml:space="preserve">        |</w:t>
        <w:br/>
        <w:t xml:space="preserve">        +-- transaction type</w:t>
        <w:br/>
        <w:t xml:space="preserve">        +-- amount when structured</w:t>
        <w:br/>
        <w:t xml:space="preserve">        +-- currency</w:t>
        <w:br/>
        <w:t xml:space="preserve">        +-- beneficiary context</w:t>
        <w:br/>
        <w:t xml:space="preserve">        +-- country</w:t>
        <w:br/>
        <w:t xml:space="preserve">        +-- purpose</w:t>
        <w:br/>
        <w:t xml:space="preserve">        +-- rule type</w:t>
        <w:br/>
        <w:t xml:space="preserve">        +-- customer history</w:t>
        <w:br/>
        <w:t xml:space="preserve">        +-- transaction history</w:t>
        <w:br/>
        <w:t xml:space="preserve">        +-- prior rule history</w:t>
        <w:br/>
        <w:t xml:space="preserve">        |</w:t>
        <w:br/>
        <w:t xml:space="preserve">        v</w:t>
        <w:br/>
        <w:t>TRANSACTION REPRESENTATION</w:t>
        <w:br/>
        <w:t xml:space="preserve">        |</w:t>
        <w:br/>
        <w:t xml:space="preserve">        v</w:t>
        <w:br/>
        <w:t>GLOBAL TRANSACTION BASELINE</w:t>
        <w:br/>
        <w:t xml:space="preserve">        +</w:t>
        <w:br/>
        <w:t>CUSTOMER-SPECIFIC BASELINE</w:t>
        <w:br/>
        <w:t xml:space="preserve">        |</w:t>
        <w:br/>
        <w:t xml:space="preserve">        v</w:t>
        <w:br/>
        <w:t>ANOMALY / NOVELTY MODEL</w:t>
        <w:br/>
        <w:t xml:space="preserve">        |</w:t>
        <w:br/>
        <w:t xml:space="preserve">        v</w:t>
        <w:br/>
        <w:t>TRANSACTION REVIEW RECOMMENDATION</w:t>
      </w:r>
    </w:p>
    <w:p>
      <w:r>
        <w:t>Do not train 18 independent rule models in the first PoC. Use a shared transaction representation with rule context. Evaluate results per rule. Specialize a rule only when future data volume and validation justify it.</w:t>
      </w:r>
    </w:p>
    <w:p>
      <w:pPr>
        <w:pStyle w:val="Heading1"/>
      </w:pPr>
      <w:r>
        <w:t>7. DATA PIPELINE IMPLEMENTATION</w:t>
      </w:r>
    </w:p>
    <w:p>
      <w:pPr>
        <w:pStyle w:val="ListNumber"/>
      </w:pPr>
      <w:r>
        <w:t>Create raw-data ingestion for the client workbook and future database/API sources.</w:t>
      </w:r>
    </w:p>
    <w:p>
      <w:pPr>
        <w:pStyle w:val="ListNumber"/>
      </w:pPr>
      <w:r>
        <w:t>Create a schema registry for each alert type.</w:t>
      </w:r>
    </w:p>
    <w:p>
      <w:pPr>
        <w:pStyle w:val="ListNumber"/>
      </w:pPr>
      <w:r>
        <w:t>Create strict type normalization for dates, numeric fields, categorical values, IDs and text.</w:t>
      </w:r>
    </w:p>
    <w:p>
      <w:pPr>
        <w:pStyle w:val="ListNumber"/>
      </w:pPr>
      <w:r>
        <w:t>Create a data-quality report automatically for every ingestion.</w:t>
      </w:r>
    </w:p>
    <w:p>
      <w:pPr>
        <w:pStyle w:val="ListNumber"/>
      </w:pPr>
      <w:r>
        <w:t>Normalize country/nationality representations without using normalization as a decision rule.</w:t>
      </w:r>
    </w:p>
    <w:p>
      <w:pPr>
        <w:pStyle w:val="ListNumber"/>
      </w:pPr>
      <w:r>
        <w:t>Normalize names for representation generation, preserving the raw value for audit.</w:t>
      </w:r>
    </w:p>
    <w:p>
      <w:pPr>
        <w:pStyle w:val="ListNumber"/>
      </w:pPr>
      <w:r>
        <w:t>Create stable customer/UIN, transaction-reference and entity identifiers.</w:t>
      </w:r>
    </w:p>
    <w:p>
      <w:pPr>
        <w:pStyle w:val="ListNumber"/>
      </w:pPr>
      <w:r>
        <w:t>Detect exact duplicates and near-duplicate candidates separately.</w:t>
      </w:r>
    </w:p>
    <w:p>
      <w:pPr>
        <w:pStyle w:val="ListNumber"/>
      </w:pPr>
      <w:r>
        <w:t>Create explicit missingness indicators for model-relevant fields.</w:t>
      </w:r>
    </w:p>
    <w:p>
      <w:pPr>
        <w:pStyle w:val="ListNumber"/>
      </w:pPr>
      <w:r>
        <w:t>Create a leakage registry identifying all post-review fields.</w:t>
      </w:r>
    </w:p>
    <w:p>
      <w:pPr>
        <w:pStyle w:val="ListNumber"/>
      </w:pPr>
      <w:r>
        <w:t>Create a feature-availability timestamp rule so temporal experiments only use information available at scoring time.</w:t>
      </w:r>
    </w:p>
    <w:p>
      <w:pPr>
        <w:pStyle w:val="ListNumber"/>
      </w:pPr>
      <w:r>
        <w:t>Persist the normalized dataset with dataset version and schema version.</w:t>
      </w:r>
    </w:p>
    <w:p>
      <w:pPr>
        <w:pStyle w:val="Heading1"/>
      </w:pPr>
      <w:r>
        <w:t>8. FEATURE ENGINEERING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Feature family</w:t>
            </w:r>
          </w:p>
        </w:tc>
        <w:tc>
          <w:tcPr>
            <w:tcW w:type="dxa" w:w="3408"/>
            <w:vAlign w:val="center"/>
            <w:shd w:fill="D9EAF7"/>
          </w:tcPr>
          <w:p>
            <w:r/>
            <w:r>
              <w:rPr>
                <w:b/>
                <w:sz w:val="17"/>
              </w:rPr>
              <w:t>Examples</w:t>
            </w:r>
          </w:p>
        </w:tc>
        <w:tc>
          <w:tcPr>
            <w:tcW w:type="dxa" w:w="3408"/>
            <w:vAlign w:val="center"/>
            <w:shd w:fill="D9EAF7"/>
          </w:tcPr>
          <w:p>
            <w:r/>
            <w:r>
              <w:rPr>
                <w:b/>
                <w:sz w:val="17"/>
              </w:rPr>
              <w:t>Rules</w:t>
            </w:r>
          </w:p>
        </w:tc>
      </w:tr>
      <w:tr>
        <w:tc>
          <w:tcPr>
            <w:tcW w:type="dxa" w:w="3408"/>
            <w:vAlign w:val="center"/>
          </w:tcPr>
          <w:p>
            <w:r/>
            <w:r>
              <w:rPr>
                <w:b w:val="0"/>
                <w:sz w:val="17"/>
              </w:rPr>
              <w:t>Entity text</w:t>
            </w:r>
          </w:p>
        </w:tc>
        <w:tc>
          <w:tcPr>
            <w:tcW w:type="dxa" w:w="3408"/>
            <w:vAlign w:val="center"/>
          </w:tcPr>
          <w:p>
            <w:r/>
            <w:r>
              <w:rPr>
                <w:b w:val="0"/>
                <w:sz w:val="17"/>
              </w:rPr>
              <w:t>Name, watchlist name</w:t>
            </w:r>
          </w:p>
        </w:tc>
        <w:tc>
          <w:tcPr>
            <w:tcW w:type="dxa" w:w="3408"/>
            <w:vAlign w:val="center"/>
          </w:tcPr>
          <w:p>
            <w:r/>
            <w:r>
              <w:rPr>
                <w:b w:val="0"/>
                <w:sz w:val="17"/>
              </w:rPr>
              <w:t>Learn representation; no hand-coded match threshold</w:t>
            </w:r>
          </w:p>
        </w:tc>
      </w:tr>
      <w:tr>
        <w:tc>
          <w:tcPr>
            <w:tcW w:type="dxa" w:w="3408"/>
            <w:vAlign w:val="center"/>
          </w:tcPr>
          <w:p>
            <w:r/>
            <w:r>
              <w:rPr>
                <w:b w:val="0"/>
                <w:sz w:val="17"/>
              </w:rPr>
              <w:t>Identity</w:t>
            </w:r>
          </w:p>
        </w:tc>
        <w:tc>
          <w:tcPr>
            <w:tcW w:type="dxa" w:w="3408"/>
            <w:vAlign w:val="center"/>
          </w:tcPr>
          <w:p>
            <w:r/>
            <w:r>
              <w:rPr>
                <w:b w:val="0"/>
                <w:sz w:val="17"/>
              </w:rPr>
              <w:t>DOB, nationality</w:t>
            </w:r>
          </w:p>
        </w:tc>
        <w:tc>
          <w:tcPr>
            <w:tcW w:type="dxa" w:w="3408"/>
            <w:vAlign w:val="center"/>
          </w:tcPr>
          <w:p>
            <w:r/>
            <w:r>
              <w:rPr>
                <w:b w:val="0"/>
                <w:sz w:val="17"/>
              </w:rPr>
              <w:t>Use when present; explicit missingness</w:t>
            </w:r>
          </w:p>
        </w:tc>
      </w:tr>
      <w:tr>
        <w:tc>
          <w:tcPr>
            <w:tcW w:type="dxa" w:w="3408"/>
            <w:vAlign w:val="center"/>
          </w:tcPr>
          <w:p>
            <w:r/>
            <w:r>
              <w:rPr>
                <w:b w:val="0"/>
                <w:sz w:val="17"/>
              </w:rPr>
              <w:t>Context</w:t>
            </w:r>
          </w:p>
        </w:tc>
        <w:tc>
          <w:tcPr>
            <w:tcW w:type="dxa" w:w="3408"/>
            <w:vAlign w:val="center"/>
          </w:tcPr>
          <w:p>
            <w:r/>
            <w:r>
              <w:rPr>
                <w:b w:val="0"/>
                <w:sz w:val="17"/>
              </w:rPr>
              <w:t>Customer type, party type, list, alert type</w:t>
            </w:r>
          </w:p>
        </w:tc>
        <w:tc>
          <w:tcPr>
            <w:tcW w:type="dxa" w:w="3408"/>
            <w:vAlign w:val="center"/>
          </w:tcPr>
          <w:p>
            <w:r/>
            <w:r>
              <w:rPr>
                <w:b w:val="0"/>
                <w:sz w:val="17"/>
              </w:rPr>
              <w:t>Categorical encoding</w:t>
            </w:r>
          </w:p>
        </w:tc>
      </w:tr>
      <w:tr>
        <w:tc>
          <w:tcPr>
            <w:tcW w:type="dxa" w:w="3408"/>
            <w:vAlign w:val="center"/>
          </w:tcPr>
          <w:p>
            <w:r/>
            <w:r>
              <w:rPr>
                <w:b w:val="0"/>
                <w:sz w:val="17"/>
              </w:rPr>
              <w:t>History</w:t>
            </w:r>
          </w:p>
        </w:tc>
        <w:tc>
          <w:tcPr>
            <w:tcW w:type="dxa" w:w="3408"/>
            <w:vAlign w:val="center"/>
          </w:tcPr>
          <w:p>
            <w:r/>
            <w:r>
              <w:rPr>
                <w:b w:val="0"/>
                <w:sz w:val="17"/>
              </w:rPr>
              <w:t>Prior alert count, prior relationships</w:t>
            </w:r>
          </w:p>
        </w:tc>
        <w:tc>
          <w:tcPr>
            <w:tcW w:type="dxa" w:w="3408"/>
            <w:vAlign w:val="center"/>
          </w:tcPr>
          <w:p>
            <w:r/>
            <w:r>
              <w:rPr>
                <w:b w:val="0"/>
                <w:sz w:val="17"/>
              </w:rPr>
              <w:t>Only prior-to-alert information in temporal validation</w:t>
            </w:r>
          </w:p>
        </w:tc>
      </w:tr>
      <w:tr>
        <w:tc>
          <w:tcPr>
            <w:tcW w:type="dxa" w:w="3408"/>
            <w:vAlign w:val="center"/>
          </w:tcPr>
          <w:p>
            <w:r/>
            <w:r>
              <w:rPr>
                <w:b w:val="0"/>
                <w:sz w:val="17"/>
              </w:rPr>
              <w:t>Transaction</w:t>
            </w:r>
          </w:p>
        </w:tc>
        <w:tc>
          <w:tcPr>
            <w:tcW w:type="dxa" w:w="3408"/>
            <w:vAlign w:val="center"/>
          </w:tcPr>
          <w:p>
            <w:r/>
            <w:r>
              <w:rPr>
                <w:b w:val="0"/>
                <w:sz w:val="17"/>
              </w:rPr>
              <w:t>Amount, currency, type</w:t>
            </w:r>
          </w:p>
        </w:tc>
        <w:tc>
          <w:tcPr>
            <w:tcW w:type="dxa" w:w="3408"/>
            <w:vAlign w:val="center"/>
          </w:tcPr>
          <w:p>
            <w:r/>
            <w:r>
              <w:rPr>
                <w:b w:val="0"/>
                <w:sz w:val="17"/>
              </w:rPr>
              <w:t>Use structured source fields when available</w:t>
            </w:r>
          </w:p>
        </w:tc>
      </w:tr>
      <w:tr>
        <w:tc>
          <w:tcPr>
            <w:tcW w:type="dxa" w:w="3408"/>
            <w:vAlign w:val="center"/>
          </w:tcPr>
          <w:p>
            <w:r/>
            <w:r>
              <w:rPr>
                <w:b w:val="0"/>
                <w:sz w:val="17"/>
              </w:rPr>
              <w:t>Behaviour</w:t>
            </w:r>
          </w:p>
        </w:tc>
        <w:tc>
          <w:tcPr>
            <w:tcW w:type="dxa" w:w="3408"/>
            <w:vAlign w:val="center"/>
          </w:tcPr>
          <w:p>
            <w:r/>
            <w:r>
              <w:rPr>
                <w:b w:val="0"/>
                <w:sz w:val="17"/>
              </w:rPr>
              <w:t>Frequency, amount distribution, beneficiary history</w:t>
            </w:r>
          </w:p>
        </w:tc>
        <w:tc>
          <w:tcPr>
            <w:tcW w:type="dxa" w:w="3408"/>
            <w:vAlign w:val="center"/>
          </w:tcPr>
          <w:p>
            <w:r/>
            <w:r>
              <w:rPr>
                <w:b w:val="0"/>
                <w:sz w:val="17"/>
              </w:rPr>
              <w:t>Build only from information available before alert</w:t>
            </w:r>
          </w:p>
        </w:tc>
      </w:tr>
      <w:tr>
        <w:tc>
          <w:tcPr>
            <w:tcW w:type="dxa" w:w="3408"/>
            <w:vAlign w:val="center"/>
          </w:tcPr>
          <w:p>
            <w:r/>
            <w:r>
              <w:rPr>
                <w:b w:val="0"/>
                <w:sz w:val="17"/>
              </w:rPr>
              <w:t>Rule</w:t>
            </w:r>
          </w:p>
        </w:tc>
        <w:tc>
          <w:tcPr>
            <w:tcW w:type="dxa" w:w="3408"/>
            <w:vAlign w:val="center"/>
          </w:tcPr>
          <w:p>
            <w:r/>
            <w:r>
              <w:rPr>
                <w:b w:val="0"/>
                <w:sz w:val="17"/>
              </w:rPr>
              <w:t>Rule name/context</w:t>
            </w:r>
          </w:p>
        </w:tc>
        <w:tc>
          <w:tcPr>
            <w:tcW w:type="dxa" w:w="3408"/>
            <w:vAlign w:val="center"/>
          </w:tcPr>
          <w:p>
            <w:r/>
            <w:r>
              <w:rPr>
                <w:b w:val="0"/>
                <w:sz w:val="17"/>
              </w:rPr>
              <w:t>Context feature; not a substitute for the existing rule</w:t>
            </w:r>
          </w:p>
        </w:tc>
      </w:tr>
    </w:tbl>
    <w:p>
      <w:r>
        <w:t>Forbidden live features unless the client proves they exist before inference:</w:t>
      </w:r>
    </w:p>
    <w:p>
      <w:pPr>
        <w:pStyle w:val="ListBullet"/>
      </w:pPr>
      <w:r>
        <w:t>Maker Comment / Compliance Comment</w:t>
      </w:r>
    </w:p>
    <w:p>
      <w:pPr>
        <w:pStyle w:val="ListBullet"/>
      </w:pPr>
      <w:r>
        <w:t>Alert Closure Date</w:t>
      </w:r>
    </w:p>
    <w:p>
      <w:pPr>
        <w:pStyle w:val="ListBullet"/>
      </w:pPr>
      <w:r>
        <w:t>Action Taken By</w:t>
      </w:r>
    </w:p>
    <w:p>
      <w:pPr>
        <w:pStyle w:val="ListBullet"/>
      </w:pPr>
      <w:r>
        <w:t>Post-review status</w:t>
      </w:r>
    </w:p>
    <w:p>
      <w:pPr>
        <w:pStyle w:val="ListBullet"/>
      </w:pPr>
      <w:r>
        <w:t>Any human decision written after the alert was generated</w:t>
      </w:r>
    </w:p>
    <w:p>
      <w:pPr>
        <w:pStyle w:val="Heading1"/>
      </w:pPr>
      <w:r>
        <w:t>9. EXPERIMENTAL MODEL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ID</w:t>
            </w:r>
          </w:p>
        </w:tc>
        <w:tc>
          <w:tcPr>
            <w:tcW w:type="dxa" w:w="2045"/>
            <w:vAlign w:val="center"/>
            <w:shd w:fill="D9EAF7"/>
          </w:tcPr>
          <w:p>
            <w:r/>
            <w:r>
              <w:rPr>
                <w:b/>
                <w:sz w:val="17"/>
              </w:rPr>
              <w:t>Pipeline</w:t>
            </w:r>
          </w:p>
        </w:tc>
        <w:tc>
          <w:tcPr>
            <w:tcW w:type="dxa" w:w="2045"/>
            <w:vAlign w:val="center"/>
            <w:shd w:fill="D9EAF7"/>
          </w:tcPr>
          <w:p>
            <w:r/>
            <w:r>
              <w:rPr>
                <w:b/>
                <w:sz w:val="17"/>
              </w:rPr>
              <w:t>Representation</w:t>
            </w:r>
          </w:p>
        </w:tc>
        <w:tc>
          <w:tcPr>
            <w:tcW w:type="dxa" w:w="2045"/>
            <w:vAlign w:val="center"/>
            <w:shd w:fill="D9EAF7"/>
          </w:tcPr>
          <w:p>
            <w:r/>
            <w:r>
              <w:rPr>
                <w:b/>
                <w:sz w:val="17"/>
              </w:rPr>
              <w:t>Model</w:t>
            </w:r>
          </w:p>
        </w:tc>
        <w:tc>
          <w:tcPr>
            <w:tcW w:type="dxa" w:w="2045"/>
            <w:vAlign w:val="center"/>
            <w:shd w:fill="D9EAF7"/>
          </w:tcPr>
          <w:p>
            <w:r/>
            <w:r>
              <w:rPr>
                <w:b/>
                <w:sz w:val="17"/>
              </w:rPr>
              <w:t>Validation</w:t>
            </w:r>
          </w:p>
        </w:tc>
      </w:tr>
      <w:tr>
        <w:tc>
          <w:tcPr>
            <w:tcW w:type="dxa" w:w="2045"/>
            <w:vAlign w:val="center"/>
          </w:tcPr>
          <w:p>
            <w:r/>
            <w:r>
              <w:rPr>
                <w:b w:val="0"/>
                <w:sz w:val="17"/>
              </w:rPr>
              <w:t>E1</w:t>
            </w:r>
          </w:p>
        </w:tc>
        <w:tc>
          <w:tcPr>
            <w:tcW w:type="dxa" w:w="2045"/>
            <w:vAlign w:val="center"/>
          </w:tcPr>
          <w:p>
            <w:r/>
            <w:r>
              <w:rPr>
                <w:b w:val="0"/>
                <w:sz w:val="17"/>
              </w:rPr>
              <w:t>Entity</w:t>
            </w:r>
          </w:p>
        </w:tc>
        <w:tc>
          <w:tcPr>
            <w:tcW w:type="dxa" w:w="2045"/>
            <w:vAlign w:val="center"/>
          </w:tcPr>
          <w:p>
            <w:r/>
            <w:r>
              <w:rPr>
                <w:b w:val="0"/>
                <w:sz w:val="17"/>
              </w:rPr>
              <w:t>Baseline tabular/entity features</w:t>
            </w:r>
          </w:p>
        </w:tc>
        <w:tc>
          <w:tcPr>
            <w:tcW w:type="dxa" w:w="2045"/>
            <w:vAlign w:val="center"/>
          </w:tcPr>
          <w:p>
            <w:r/>
            <w:r>
              <w:rPr>
                <w:b w:val="0"/>
                <w:sz w:val="17"/>
              </w:rPr>
              <w:t>Isolation Forest</w:t>
            </w:r>
          </w:p>
        </w:tc>
        <w:tc>
          <w:tcPr>
            <w:tcW w:type="dxa" w:w="2045"/>
            <w:vAlign w:val="center"/>
          </w:tcPr>
          <w:p>
            <w:r/>
            <w:r>
              <w:rPr>
                <w:b w:val="0"/>
                <w:sz w:val="17"/>
              </w:rPr>
              <w:t>Group + time</w:t>
            </w:r>
          </w:p>
        </w:tc>
      </w:tr>
      <w:tr>
        <w:tc>
          <w:tcPr>
            <w:tcW w:type="dxa" w:w="2045"/>
            <w:vAlign w:val="center"/>
          </w:tcPr>
          <w:p>
            <w:r/>
            <w:r>
              <w:rPr>
                <w:b w:val="0"/>
                <w:sz w:val="17"/>
              </w:rPr>
              <w:t>E2</w:t>
            </w:r>
          </w:p>
        </w:tc>
        <w:tc>
          <w:tcPr>
            <w:tcW w:type="dxa" w:w="2045"/>
            <w:vAlign w:val="center"/>
          </w:tcPr>
          <w:p>
            <w:r/>
            <w:r>
              <w:rPr>
                <w:b w:val="0"/>
                <w:sz w:val="17"/>
              </w:rPr>
              <w:t>Entity</w:t>
            </w:r>
          </w:p>
        </w:tc>
        <w:tc>
          <w:tcPr>
            <w:tcW w:type="dxa" w:w="2045"/>
            <w:vAlign w:val="center"/>
          </w:tcPr>
          <w:p>
            <w:r/>
            <w:r>
              <w:rPr>
                <w:b w:val="0"/>
                <w:sz w:val="17"/>
              </w:rPr>
              <w:t>Character/token entity representation</w:t>
            </w:r>
          </w:p>
        </w:tc>
        <w:tc>
          <w:tcPr>
            <w:tcW w:type="dxa" w:w="2045"/>
            <w:vAlign w:val="center"/>
          </w:tcPr>
          <w:p>
            <w:r/>
            <w:r>
              <w:rPr>
                <w:b w:val="0"/>
                <w:sz w:val="17"/>
              </w:rPr>
              <w:t>Isolation Forest</w:t>
            </w:r>
          </w:p>
        </w:tc>
        <w:tc>
          <w:tcPr>
            <w:tcW w:type="dxa" w:w="2045"/>
            <w:vAlign w:val="center"/>
          </w:tcPr>
          <w:p>
            <w:r/>
            <w:r>
              <w:rPr>
                <w:b w:val="0"/>
                <w:sz w:val="17"/>
              </w:rPr>
              <w:t>Group + time</w:t>
            </w:r>
          </w:p>
        </w:tc>
      </w:tr>
      <w:tr>
        <w:tc>
          <w:tcPr>
            <w:tcW w:type="dxa" w:w="2045"/>
            <w:vAlign w:val="center"/>
          </w:tcPr>
          <w:p>
            <w:r/>
            <w:r>
              <w:rPr>
                <w:b w:val="0"/>
                <w:sz w:val="17"/>
              </w:rPr>
              <w:t>E3</w:t>
            </w:r>
          </w:p>
        </w:tc>
        <w:tc>
          <w:tcPr>
            <w:tcW w:type="dxa" w:w="2045"/>
            <w:vAlign w:val="center"/>
          </w:tcPr>
          <w:p>
            <w:r/>
            <w:r>
              <w:rPr>
                <w:b w:val="0"/>
                <w:sz w:val="17"/>
              </w:rPr>
              <w:t>Entity</w:t>
            </w:r>
          </w:p>
        </w:tc>
        <w:tc>
          <w:tcPr>
            <w:tcW w:type="dxa" w:w="2045"/>
            <w:vAlign w:val="center"/>
          </w:tcPr>
          <w:p>
            <w:r/>
            <w:r>
              <w:rPr>
                <w:b w:val="0"/>
                <w:sz w:val="17"/>
              </w:rPr>
              <w:t>Same representation</w:t>
            </w:r>
          </w:p>
        </w:tc>
        <w:tc>
          <w:tcPr>
            <w:tcW w:type="dxa" w:w="2045"/>
            <w:vAlign w:val="center"/>
          </w:tcPr>
          <w:p>
            <w:r/>
            <w:r>
              <w:rPr>
                <w:b w:val="0"/>
                <w:sz w:val="17"/>
              </w:rPr>
              <w:t>Autoencoder</w:t>
            </w:r>
          </w:p>
        </w:tc>
        <w:tc>
          <w:tcPr>
            <w:tcW w:type="dxa" w:w="2045"/>
            <w:vAlign w:val="center"/>
          </w:tcPr>
          <w:p>
            <w:r/>
            <w:r>
              <w:rPr>
                <w:b w:val="0"/>
                <w:sz w:val="17"/>
              </w:rPr>
              <w:t>Group + time</w:t>
            </w:r>
          </w:p>
        </w:tc>
      </w:tr>
      <w:tr>
        <w:tc>
          <w:tcPr>
            <w:tcW w:type="dxa" w:w="2045"/>
            <w:vAlign w:val="center"/>
          </w:tcPr>
          <w:p>
            <w:r/>
            <w:r>
              <w:rPr>
                <w:b w:val="0"/>
                <w:sz w:val="17"/>
              </w:rPr>
              <w:t>E4</w:t>
            </w:r>
          </w:p>
        </w:tc>
        <w:tc>
          <w:tcPr>
            <w:tcW w:type="dxa" w:w="2045"/>
            <w:vAlign w:val="center"/>
          </w:tcPr>
          <w:p>
            <w:r/>
            <w:r>
              <w:rPr>
                <w:b w:val="0"/>
                <w:sz w:val="17"/>
              </w:rPr>
              <w:t>Entity</w:t>
            </w:r>
          </w:p>
        </w:tc>
        <w:tc>
          <w:tcPr>
            <w:tcW w:type="dxa" w:w="2045"/>
            <w:vAlign w:val="center"/>
          </w:tcPr>
          <w:p>
            <w:r/>
            <w:r>
              <w:rPr>
                <w:b w:val="0"/>
                <w:sz w:val="17"/>
              </w:rPr>
              <w:t>Same representation</w:t>
            </w:r>
          </w:p>
        </w:tc>
        <w:tc>
          <w:tcPr>
            <w:tcW w:type="dxa" w:w="2045"/>
            <w:vAlign w:val="center"/>
          </w:tcPr>
          <w:p>
            <w:r/>
            <w:r>
              <w:rPr>
                <w:b w:val="0"/>
                <w:sz w:val="17"/>
              </w:rPr>
              <w:t>LOF benchmark</w:t>
            </w:r>
          </w:p>
        </w:tc>
        <w:tc>
          <w:tcPr>
            <w:tcW w:type="dxa" w:w="2045"/>
            <w:vAlign w:val="center"/>
          </w:tcPr>
          <w:p>
            <w:r/>
            <w:r>
              <w:rPr>
                <w:b w:val="0"/>
                <w:sz w:val="17"/>
              </w:rPr>
              <w:t>Group</w:t>
            </w:r>
          </w:p>
        </w:tc>
      </w:tr>
      <w:tr>
        <w:tc>
          <w:tcPr>
            <w:tcW w:type="dxa" w:w="2045"/>
            <w:vAlign w:val="center"/>
          </w:tcPr>
          <w:p>
            <w:r/>
            <w:r>
              <w:rPr>
                <w:b w:val="0"/>
                <w:sz w:val="17"/>
              </w:rPr>
              <w:t>E5</w:t>
            </w:r>
          </w:p>
        </w:tc>
        <w:tc>
          <w:tcPr>
            <w:tcW w:type="dxa" w:w="2045"/>
            <w:vAlign w:val="center"/>
          </w:tcPr>
          <w:p>
            <w:r/>
            <w:r>
              <w:rPr>
                <w:b w:val="0"/>
                <w:sz w:val="17"/>
              </w:rPr>
              <w:t>Entity</w:t>
            </w:r>
          </w:p>
        </w:tc>
        <w:tc>
          <w:tcPr>
            <w:tcW w:type="dxa" w:w="2045"/>
            <w:vAlign w:val="center"/>
          </w:tcPr>
          <w:p>
            <w:r/>
            <w:r>
              <w:rPr>
                <w:b w:val="0"/>
                <w:sz w:val="17"/>
              </w:rPr>
              <w:t>Same representation</w:t>
            </w:r>
          </w:p>
        </w:tc>
        <w:tc>
          <w:tcPr>
            <w:tcW w:type="dxa" w:w="2045"/>
            <w:vAlign w:val="center"/>
          </w:tcPr>
          <w:p>
            <w:r/>
            <w:r>
              <w:rPr>
                <w:b w:val="0"/>
                <w:sz w:val="17"/>
              </w:rPr>
              <w:t>One-Class SVM benchmark</w:t>
            </w:r>
          </w:p>
        </w:tc>
        <w:tc>
          <w:tcPr>
            <w:tcW w:type="dxa" w:w="2045"/>
            <w:vAlign w:val="center"/>
          </w:tcPr>
          <w:p>
            <w:r/>
            <w:r>
              <w:rPr>
                <w:b w:val="0"/>
                <w:sz w:val="17"/>
              </w:rPr>
              <w:t>Group</w:t>
            </w:r>
          </w:p>
        </w:tc>
      </w:tr>
      <w:tr>
        <w:tc>
          <w:tcPr>
            <w:tcW w:type="dxa" w:w="2045"/>
            <w:vAlign w:val="center"/>
          </w:tcPr>
          <w:p>
            <w:r/>
            <w:r>
              <w:rPr>
                <w:b w:val="0"/>
                <w:sz w:val="17"/>
              </w:rPr>
              <w:t>T1</w:t>
            </w:r>
          </w:p>
        </w:tc>
        <w:tc>
          <w:tcPr>
            <w:tcW w:type="dxa" w:w="2045"/>
            <w:vAlign w:val="center"/>
          </w:tcPr>
          <w:p>
            <w:r/>
            <w:r>
              <w:rPr>
                <w:b w:val="0"/>
                <w:sz w:val="17"/>
              </w:rPr>
              <w:t>Transaction</w:t>
            </w:r>
          </w:p>
        </w:tc>
        <w:tc>
          <w:tcPr>
            <w:tcW w:type="dxa" w:w="2045"/>
            <w:vAlign w:val="center"/>
          </w:tcPr>
          <w:p>
            <w:r/>
            <w:r>
              <w:rPr>
                <w:b w:val="0"/>
                <w:sz w:val="17"/>
              </w:rPr>
              <w:t>Structured transaction features</w:t>
            </w:r>
          </w:p>
        </w:tc>
        <w:tc>
          <w:tcPr>
            <w:tcW w:type="dxa" w:w="2045"/>
            <w:vAlign w:val="center"/>
          </w:tcPr>
          <w:p>
            <w:r/>
            <w:r>
              <w:rPr>
                <w:b w:val="0"/>
                <w:sz w:val="17"/>
              </w:rPr>
              <w:t>Isolation Forest</w:t>
            </w:r>
          </w:p>
        </w:tc>
        <w:tc>
          <w:tcPr>
            <w:tcW w:type="dxa" w:w="2045"/>
            <w:vAlign w:val="center"/>
          </w:tcPr>
          <w:p>
            <w:r/>
            <w:r>
              <w:rPr>
                <w:b w:val="0"/>
                <w:sz w:val="17"/>
              </w:rPr>
              <w:t>Group + time</w:t>
            </w:r>
          </w:p>
        </w:tc>
      </w:tr>
      <w:tr>
        <w:tc>
          <w:tcPr>
            <w:tcW w:type="dxa" w:w="2045"/>
            <w:vAlign w:val="center"/>
          </w:tcPr>
          <w:p>
            <w:r/>
            <w:r>
              <w:rPr>
                <w:b w:val="0"/>
                <w:sz w:val="17"/>
              </w:rPr>
              <w:t>T2</w:t>
            </w:r>
          </w:p>
        </w:tc>
        <w:tc>
          <w:tcPr>
            <w:tcW w:type="dxa" w:w="2045"/>
            <w:vAlign w:val="center"/>
          </w:tcPr>
          <w:p>
            <w:r/>
            <w:r>
              <w:rPr>
                <w:b w:val="0"/>
                <w:sz w:val="17"/>
              </w:rPr>
              <w:t>Transaction</w:t>
            </w:r>
          </w:p>
        </w:tc>
        <w:tc>
          <w:tcPr>
            <w:tcW w:type="dxa" w:w="2045"/>
            <w:vAlign w:val="center"/>
          </w:tcPr>
          <w:p>
            <w:r/>
            <w:r>
              <w:rPr>
                <w:b w:val="0"/>
                <w:sz w:val="17"/>
              </w:rPr>
              <w:t>Behavioural representation</w:t>
            </w:r>
          </w:p>
        </w:tc>
        <w:tc>
          <w:tcPr>
            <w:tcW w:type="dxa" w:w="2045"/>
            <w:vAlign w:val="center"/>
          </w:tcPr>
          <w:p>
            <w:r/>
            <w:r>
              <w:rPr>
                <w:b w:val="0"/>
                <w:sz w:val="17"/>
              </w:rPr>
              <w:t>Isolation Forest</w:t>
            </w:r>
          </w:p>
        </w:tc>
        <w:tc>
          <w:tcPr>
            <w:tcW w:type="dxa" w:w="2045"/>
            <w:vAlign w:val="center"/>
          </w:tcPr>
          <w:p>
            <w:r/>
            <w:r>
              <w:rPr>
                <w:b w:val="0"/>
                <w:sz w:val="17"/>
              </w:rPr>
              <w:t>Group + time</w:t>
            </w:r>
          </w:p>
        </w:tc>
      </w:tr>
      <w:tr>
        <w:tc>
          <w:tcPr>
            <w:tcW w:type="dxa" w:w="2045"/>
            <w:vAlign w:val="center"/>
          </w:tcPr>
          <w:p>
            <w:r/>
            <w:r>
              <w:rPr>
                <w:b w:val="0"/>
                <w:sz w:val="17"/>
              </w:rPr>
              <w:t>T3</w:t>
            </w:r>
          </w:p>
        </w:tc>
        <w:tc>
          <w:tcPr>
            <w:tcW w:type="dxa" w:w="2045"/>
            <w:vAlign w:val="center"/>
          </w:tcPr>
          <w:p>
            <w:r/>
            <w:r>
              <w:rPr>
                <w:b w:val="0"/>
                <w:sz w:val="17"/>
              </w:rPr>
              <w:t>Transaction</w:t>
            </w:r>
          </w:p>
        </w:tc>
        <w:tc>
          <w:tcPr>
            <w:tcW w:type="dxa" w:w="2045"/>
            <w:vAlign w:val="center"/>
          </w:tcPr>
          <w:p>
            <w:r/>
            <w:r>
              <w:rPr>
                <w:b w:val="0"/>
                <w:sz w:val="17"/>
              </w:rPr>
              <w:t>Behavioural representation</w:t>
            </w:r>
          </w:p>
        </w:tc>
        <w:tc>
          <w:tcPr>
            <w:tcW w:type="dxa" w:w="2045"/>
            <w:vAlign w:val="center"/>
          </w:tcPr>
          <w:p>
            <w:r/>
            <w:r>
              <w:rPr>
                <w:b w:val="0"/>
                <w:sz w:val="17"/>
              </w:rPr>
              <w:t>Autoencoder</w:t>
            </w:r>
          </w:p>
        </w:tc>
        <w:tc>
          <w:tcPr>
            <w:tcW w:type="dxa" w:w="2045"/>
            <w:vAlign w:val="center"/>
          </w:tcPr>
          <w:p>
            <w:r/>
            <w:r>
              <w:rPr>
                <w:b w:val="0"/>
                <w:sz w:val="17"/>
              </w:rPr>
              <w:t>Group + time</w:t>
            </w:r>
          </w:p>
        </w:tc>
      </w:tr>
      <w:tr>
        <w:tc>
          <w:tcPr>
            <w:tcW w:type="dxa" w:w="2045"/>
            <w:vAlign w:val="center"/>
          </w:tcPr>
          <w:p>
            <w:r/>
            <w:r>
              <w:rPr>
                <w:b w:val="0"/>
                <w:sz w:val="17"/>
              </w:rPr>
              <w:t>T4</w:t>
            </w:r>
          </w:p>
        </w:tc>
        <w:tc>
          <w:tcPr>
            <w:tcW w:type="dxa" w:w="2045"/>
            <w:vAlign w:val="center"/>
          </w:tcPr>
          <w:p>
            <w:r/>
            <w:r>
              <w:rPr>
                <w:b w:val="0"/>
                <w:sz w:val="17"/>
              </w:rPr>
              <w:t>Transaction</w:t>
            </w:r>
          </w:p>
        </w:tc>
        <w:tc>
          <w:tcPr>
            <w:tcW w:type="dxa" w:w="2045"/>
            <w:vAlign w:val="center"/>
          </w:tcPr>
          <w:p>
            <w:r/>
            <w:r>
              <w:rPr>
                <w:b w:val="0"/>
                <w:sz w:val="17"/>
              </w:rPr>
              <w:t>Behavioural representation</w:t>
            </w:r>
          </w:p>
        </w:tc>
        <w:tc>
          <w:tcPr>
            <w:tcW w:type="dxa" w:w="2045"/>
            <w:vAlign w:val="center"/>
          </w:tcPr>
          <w:p>
            <w:r/>
            <w:r>
              <w:rPr>
                <w:b w:val="0"/>
                <w:sz w:val="17"/>
              </w:rPr>
              <w:t>LOF benchmark</w:t>
            </w:r>
          </w:p>
        </w:tc>
        <w:tc>
          <w:tcPr>
            <w:tcW w:type="dxa" w:w="2045"/>
            <w:vAlign w:val="center"/>
          </w:tcPr>
          <w:p>
            <w:r/>
            <w:r>
              <w:rPr>
                <w:b w:val="0"/>
                <w:sz w:val="17"/>
              </w:rPr>
              <w:t>Group</w:t>
            </w:r>
          </w:p>
        </w:tc>
      </w:tr>
      <w:tr>
        <w:tc>
          <w:tcPr>
            <w:tcW w:type="dxa" w:w="2045"/>
            <w:vAlign w:val="center"/>
          </w:tcPr>
          <w:p>
            <w:r/>
            <w:r>
              <w:rPr>
                <w:b w:val="0"/>
                <w:sz w:val="17"/>
              </w:rPr>
              <w:t>T5</w:t>
            </w:r>
          </w:p>
        </w:tc>
        <w:tc>
          <w:tcPr>
            <w:tcW w:type="dxa" w:w="2045"/>
            <w:vAlign w:val="center"/>
          </w:tcPr>
          <w:p>
            <w:r/>
            <w:r>
              <w:rPr>
                <w:b w:val="0"/>
                <w:sz w:val="17"/>
              </w:rPr>
              <w:t>Transaction</w:t>
            </w:r>
          </w:p>
        </w:tc>
        <w:tc>
          <w:tcPr>
            <w:tcW w:type="dxa" w:w="2045"/>
            <w:vAlign w:val="center"/>
          </w:tcPr>
          <w:p>
            <w:r/>
            <w:r>
              <w:rPr>
                <w:b w:val="0"/>
                <w:sz w:val="17"/>
              </w:rPr>
              <w:t>Behavioural representation</w:t>
            </w:r>
          </w:p>
        </w:tc>
        <w:tc>
          <w:tcPr>
            <w:tcW w:type="dxa" w:w="2045"/>
            <w:vAlign w:val="center"/>
          </w:tcPr>
          <w:p>
            <w:r/>
            <w:r>
              <w:rPr>
                <w:b w:val="0"/>
                <w:sz w:val="17"/>
              </w:rPr>
              <w:t>One-Class SVM benchmark</w:t>
            </w:r>
          </w:p>
        </w:tc>
        <w:tc>
          <w:tcPr>
            <w:tcW w:type="dxa" w:w="2045"/>
            <w:vAlign w:val="center"/>
          </w:tcPr>
          <w:p>
            <w:r/>
            <w:r>
              <w:rPr>
                <w:b w:val="0"/>
                <w:sz w:val="17"/>
              </w:rPr>
              <w:t>Group</w:t>
            </w:r>
          </w:p>
        </w:tc>
      </w:tr>
    </w:tbl>
    <w:p>
      <w:r>
        <w:t>The agent may add an experiment only if it has a documented hypothesis and does not bypass the agreed validation framework. The agent must not create arbitrary model proliferation.</w:t>
      </w:r>
    </w:p>
    <w:p>
      <w:pPr>
        <w:pStyle w:val="Heading1"/>
      </w:pPr>
      <w:r>
        <w:t>10. VALIDATION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Scenario</w:t>
            </w:r>
          </w:p>
        </w:tc>
        <w:tc>
          <w:tcPr>
            <w:tcW w:type="dxa" w:w="3408"/>
            <w:vAlign w:val="center"/>
            <w:shd w:fill="D9EAF7"/>
          </w:tcPr>
          <w:p>
            <w:r/>
            <w:r>
              <w:rPr>
                <w:b/>
                <w:sz w:val="17"/>
              </w:rPr>
              <w:t>Method</w:t>
            </w:r>
          </w:p>
        </w:tc>
        <w:tc>
          <w:tcPr>
            <w:tcW w:type="dxa" w:w="3408"/>
            <w:vAlign w:val="center"/>
            <w:shd w:fill="D9EAF7"/>
          </w:tcPr>
          <w:p>
            <w:r/>
            <w:r>
              <w:rPr>
                <w:b/>
                <w:sz w:val="17"/>
              </w:rPr>
              <w:t>Purpose</w:t>
            </w:r>
          </w:p>
        </w:tc>
      </w:tr>
      <w:tr>
        <w:tc>
          <w:tcPr>
            <w:tcW w:type="dxa" w:w="3408"/>
            <w:vAlign w:val="center"/>
          </w:tcPr>
          <w:p>
            <w:r/>
            <w:r>
              <w:rPr>
                <w:b w:val="0"/>
                <w:sz w:val="17"/>
              </w:rPr>
              <w:t>Unseen customers</w:t>
            </w:r>
          </w:p>
        </w:tc>
        <w:tc>
          <w:tcPr>
            <w:tcW w:type="dxa" w:w="3408"/>
            <w:vAlign w:val="center"/>
          </w:tcPr>
          <w:p>
            <w:r/>
            <w:r>
              <w:rPr>
                <w:b w:val="0"/>
                <w:sz w:val="17"/>
              </w:rPr>
              <w:t>Group split by UIN/customer</w:t>
            </w:r>
          </w:p>
        </w:tc>
        <w:tc>
          <w:tcPr>
            <w:tcW w:type="dxa" w:w="3408"/>
            <w:vAlign w:val="center"/>
          </w:tcPr>
          <w:p>
            <w:r/>
            <w:r>
              <w:rPr>
                <w:b w:val="0"/>
                <w:sz w:val="17"/>
              </w:rPr>
              <w:t>Generalization to new customers</w:t>
            </w:r>
          </w:p>
        </w:tc>
      </w:tr>
      <w:tr>
        <w:tc>
          <w:tcPr>
            <w:tcW w:type="dxa" w:w="3408"/>
            <w:vAlign w:val="center"/>
          </w:tcPr>
          <w:p>
            <w:r/>
            <w:r>
              <w:rPr>
                <w:b w:val="0"/>
                <w:sz w:val="17"/>
              </w:rPr>
              <w:t>Repeat customers</w:t>
            </w:r>
          </w:p>
        </w:tc>
        <w:tc>
          <w:tcPr>
            <w:tcW w:type="dxa" w:w="3408"/>
            <w:vAlign w:val="center"/>
          </w:tcPr>
          <w:p>
            <w:r/>
            <w:r>
              <w:rPr>
                <w:b w:val="0"/>
                <w:sz w:val="17"/>
              </w:rPr>
              <w:t>Time-forward within customer</w:t>
            </w:r>
          </w:p>
        </w:tc>
        <w:tc>
          <w:tcPr>
            <w:tcW w:type="dxa" w:w="3408"/>
            <w:vAlign w:val="center"/>
          </w:tcPr>
          <w:p>
            <w:r/>
            <w:r>
              <w:rPr>
                <w:b w:val="0"/>
                <w:sz w:val="17"/>
              </w:rPr>
              <w:t>Realistic monitoring of existing customers</w:t>
            </w:r>
          </w:p>
        </w:tc>
      </w:tr>
      <w:tr>
        <w:tc>
          <w:tcPr>
            <w:tcW w:type="dxa" w:w="3408"/>
            <w:vAlign w:val="center"/>
          </w:tcPr>
          <w:p>
            <w:r/>
            <w:r>
              <w:rPr>
                <w:b w:val="0"/>
                <w:sz w:val="17"/>
              </w:rPr>
              <w:t>Unseen transactions</w:t>
            </w:r>
          </w:p>
        </w:tc>
        <w:tc>
          <w:tcPr>
            <w:tcW w:type="dxa" w:w="3408"/>
            <w:vAlign w:val="center"/>
          </w:tcPr>
          <w:p>
            <w:r/>
            <w:r>
              <w:rPr>
                <w:b w:val="0"/>
                <w:sz w:val="17"/>
              </w:rPr>
              <w:t>Group by transaction reference</w:t>
            </w:r>
          </w:p>
        </w:tc>
        <w:tc>
          <w:tcPr>
            <w:tcW w:type="dxa" w:w="3408"/>
            <w:vAlign w:val="center"/>
          </w:tcPr>
          <w:p>
            <w:r/>
            <w:r>
              <w:rPr>
                <w:b w:val="0"/>
                <w:sz w:val="17"/>
              </w:rPr>
              <w:t>Prevent duplicate transaction leakage</w:t>
            </w:r>
          </w:p>
        </w:tc>
      </w:tr>
      <w:tr>
        <w:tc>
          <w:tcPr>
            <w:tcW w:type="dxa" w:w="3408"/>
            <w:vAlign w:val="center"/>
          </w:tcPr>
          <w:p>
            <w:r/>
            <w:r>
              <w:rPr>
                <w:b w:val="0"/>
                <w:sz w:val="17"/>
              </w:rPr>
              <w:t>Future period</w:t>
            </w:r>
          </w:p>
        </w:tc>
        <w:tc>
          <w:tcPr>
            <w:tcW w:type="dxa" w:w="3408"/>
            <w:vAlign w:val="center"/>
          </w:tcPr>
          <w:p>
            <w:r/>
            <w:r>
              <w:rPr>
                <w:b w:val="0"/>
                <w:sz w:val="17"/>
              </w:rPr>
              <w:t>Chronological holdout</w:t>
            </w:r>
          </w:p>
        </w:tc>
        <w:tc>
          <w:tcPr>
            <w:tcW w:type="dxa" w:w="3408"/>
            <w:vAlign w:val="center"/>
          </w:tcPr>
          <w:p>
            <w:r/>
            <w:r>
              <w:rPr>
                <w:b w:val="0"/>
                <w:sz w:val="17"/>
              </w:rPr>
              <w:t>Production replay</w:t>
            </w:r>
          </w:p>
        </w:tc>
      </w:tr>
      <w:tr>
        <w:tc>
          <w:tcPr>
            <w:tcW w:type="dxa" w:w="3408"/>
            <w:vAlign w:val="center"/>
          </w:tcPr>
          <w:p>
            <w:r/>
            <w:r>
              <w:rPr>
                <w:b w:val="0"/>
                <w:sz w:val="17"/>
              </w:rPr>
              <w:t>Rule analysis</w:t>
            </w:r>
          </w:p>
        </w:tc>
        <w:tc>
          <w:tcPr>
            <w:tcW w:type="dxa" w:w="3408"/>
            <w:vAlign w:val="center"/>
          </w:tcPr>
          <w:p>
            <w:r/>
            <w:r>
              <w:rPr>
                <w:b w:val="0"/>
                <w:sz w:val="17"/>
              </w:rPr>
              <w:t>Per-rule evaluation</w:t>
            </w:r>
          </w:p>
        </w:tc>
        <w:tc>
          <w:tcPr>
            <w:tcW w:type="dxa" w:w="3408"/>
            <w:vAlign w:val="center"/>
          </w:tcPr>
          <w:p>
            <w:r/>
            <w:r>
              <w:rPr>
                <w:b w:val="0"/>
                <w:sz w:val="17"/>
              </w:rPr>
              <w:t>Prevent dominant rules from hiding weak segments</w:t>
            </w:r>
          </w:p>
        </w:tc>
      </w:tr>
      <w:tr>
        <w:tc>
          <w:tcPr>
            <w:tcW w:type="dxa" w:w="3408"/>
            <w:vAlign w:val="center"/>
          </w:tcPr>
          <w:p>
            <w:r/>
            <w:r>
              <w:rPr>
                <w:b w:val="0"/>
                <w:sz w:val="17"/>
              </w:rPr>
              <w:t>Drift</w:t>
            </w:r>
          </w:p>
        </w:tc>
        <w:tc>
          <w:tcPr>
            <w:tcW w:type="dxa" w:w="3408"/>
            <w:vAlign w:val="center"/>
          </w:tcPr>
          <w:p>
            <w:r/>
            <w:r>
              <w:rPr>
                <w:b w:val="0"/>
                <w:sz w:val="17"/>
              </w:rPr>
              <w:t>Period-to-period distribution comparison</w:t>
            </w:r>
          </w:p>
        </w:tc>
        <w:tc>
          <w:tcPr>
            <w:tcW w:type="dxa" w:w="3408"/>
            <w:vAlign w:val="center"/>
          </w:tcPr>
          <w:p>
            <w:r/>
            <w:r>
              <w:rPr>
                <w:b w:val="0"/>
                <w:sz w:val="17"/>
              </w:rPr>
              <w:t>Detect changing population</w:t>
            </w:r>
          </w:p>
        </w:tc>
      </w:tr>
    </w:tbl>
    <w:p>
      <w:r>
        <w:t>The agent must generate a validation manifest for every run showing exactly which rows/groups belong to training, validation and test populations.</w:t>
      </w:r>
    </w:p>
    <w:p>
      <w:pPr>
        <w:pStyle w:val="Heading1"/>
      </w:pPr>
      <w:r>
        <w:t>11. UNSUPERVISED EVALUATION FRAMEWORK</w:t>
      </w:r>
    </w:p>
    <w:p>
      <w:r>
        <w:t>Because the current dataset lacks trustworthy ground truth, the agent must not report generic classification accuracy.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Metric / evidence</w:t>
            </w:r>
          </w:p>
        </w:tc>
        <w:tc>
          <w:tcPr>
            <w:tcW w:type="dxa" w:w="5112"/>
            <w:vAlign w:val="center"/>
            <w:shd w:fill="D9EAF7"/>
          </w:tcPr>
          <w:p>
            <w:r/>
            <w:r>
              <w:rPr>
                <w:b/>
                <w:sz w:val="17"/>
              </w:rPr>
              <w:t>What it demonstrates</w:t>
            </w:r>
          </w:p>
        </w:tc>
      </w:tr>
      <w:tr>
        <w:tc>
          <w:tcPr>
            <w:tcW w:type="dxa" w:w="5112"/>
            <w:vAlign w:val="center"/>
          </w:tcPr>
          <w:p>
            <w:r/>
            <w:r>
              <w:rPr>
                <w:b w:val="0"/>
                <w:sz w:val="17"/>
              </w:rPr>
              <w:t>Top-N novelty inspection</w:t>
            </w:r>
          </w:p>
        </w:tc>
        <w:tc>
          <w:tcPr>
            <w:tcW w:type="dxa" w:w="5112"/>
            <w:vAlign w:val="center"/>
          </w:tcPr>
          <w:p>
            <w:r/>
            <w:r>
              <w:rPr>
                <w:b w:val="0"/>
                <w:sz w:val="17"/>
              </w:rPr>
              <w:t>Whether highest-novelty alerts are meaningfully different</w:t>
            </w:r>
          </w:p>
        </w:tc>
      </w:tr>
      <w:tr>
        <w:tc>
          <w:tcPr>
            <w:tcW w:type="dxa" w:w="5112"/>
            <w:vAlign w:val="center"/>
          </w:tcPr>
          <w:p>
            <w:r/>
            <w:r>
              <w:rPr>
                <w:b w:val="0"/>
                <w:sz w:val="17"/>
              </w:rPr>
              <w:t>Low-novelty historical concentration</w:t>
            </w:r>
          </w:p>
        </w:tc>
        <w:tc>
          <w:tcPr>
            <w:tcW w:type="dxa" w:w="5112"/>
            <w:vAlign w:val="center"/>
          </w:tcPr>
          <w:p>
            <w:r/>
            <w:r>
              <w:rPr>
                <w:b w:val="0"/>
                <w:sz w:val="17"/>
              </w:rPr>
              <w:t>Whether routine historical patterns cluster as expected</w:t>
            </w:r>
          </w:p>
        </w:tc>
      </w:tr>
      <w:tr>
        <w:tc>
          <w:tcPr>
            <w:tcW w:type="dxa" w:w="5112"/>
            <w:vAlign w:val="center"/>
          </w:tcPr>
          <w:p>
            <w:r/>
            <w:r>
              <w:rPr>
                <w:b w:val="0"/>
                <w:sz w:val="17"/>
              </w:rPr>
              <w:t>Customer-history consistency</w:t>
            </w:r>
          </w:p>
        </w:tc>
        <w:tc>
          <w:tcPr>
            <w:tcW w:type="dxa" w:w="5112"/>
            <w:vAlign w:val="center"/>
          </w:tcPr>
          <w:p>
            <w:r/>
            <w:r>
              <w:rPr>
                <w:b w:val="0"/>
                <w:sz w:val="17"/>
              </w:rPr>
              <w:t>Whether repeated customer patterns are represented consistently</w:t>
            </w:r>
          </w:p>
        </w:tc>
      </w:tr>
      <w:tr>
        <w:tc>
          <w:tcPr>
            <w:tcW w:type="dxa" w:w="5112"/>
            <w:vAlign w:val="center"/>
          </w:tcPr>
          <w:p>
            <w:r/>
            <w:r>
              <w:rPr>
                <w:b w:val="0"/>
                <w:sz w:val="17"/>
              </w:rPr>
              <w:t>Rule-level stability</w:t>
            </w:r>
          </w:p>
        </w:tc>
        <w:tc>
          <w:tcPr>
            <w:tcW w:type="dxa" w:w="5112"/>
            <w:vAlign w:val="center"/>
          </w:tcPr>
          <w:p>
            <w:r/>
            <w:r>
              <w:rPr>
                <w:b w:val="0"/>
                <w:sz w:val="17"/>
              </w:rPr>
              <w:t>Whether anomaly behaviour is stable across rule types</w:t>
            </w:r>
          </w:p>
        </w:tc>
      </w:tr>
      <w:tr>
        <w:tc>
          <w:tcPr>
            <w:tcW w:type="dxa" w:w="5112"/>
            <w:vAlign w:val="center"/>
          </w:tcPr>
          <w:p>
            <w:r/>
            <w:r>
              <w:rPr>
                <w:b w:val="0"/>
                <w:sz w:val="17"/>
              </w:rPr>
              <w:t>Temporal stability</w:t>
            </w:r>
          </w:p>
        </w:tc>
        <w:tc>
          <w:tcPr>
            <w:tcW w:type="dxa" w:w="5112"/>
            <w:vAlign w:val="center"/>
          </w:tcPr>
          <w:p>
            <w:r/>
            <w:r>
              <w:rPr>
                <w:b w:val="0"/>
                <w:sz w:val="17"/>
              </w:rPr>
              <w:t>Whether score distributions remain useful over time</w:t>
            </w:r>
          </w:p>
        </w:tc>
      </w:tr>
      <w:tr>
        <w:tc>
          <w:tcPr>
            <w:tcW w:type="dxa" w:w="5112"/>
            <w:vAlign w:val="center"/>
          </w:tcPr>
          <w:p>
            <w:r/>
            <w:r>
              <w:rPr>
                <w:b w:val="0"/>
                <w:sz w:val="17"/>
              </w:rPr>
              <w:t>Novelty distribution</w:t>
            </w:r>
          </w:p>
        </w:tc>
        <w:tc>
          <w:tcPr>
            <w:tcW w:type="dxa" w:w="5112"/>
            <w:vAlign w:val="center"/>
          </w:tcPr>
          <w:p>
            <w:r/>
            <w:r>
              <w:rPr>
                <w:b w:val="0"/>
                <w:sz w:val="17"/>
              </w:rPr>
              <w:t>Whether the model produces useful ranking rather than flat/random scores</w:t>
            </w:r>
          </w:p>
        </w:tc>
      </w:tr>
      <w:tr>
        <w:tc>
          <w:tcPr>
            <w:tcW w:type="dxa" w:w="5112"/>
            <w:vAlign w:val="center"/>
          </w:tcPr>
          <w:p>
            <w:r/>
            <w:r>
              <w:rPr>
                <w:b w:val="0"/>
                <w:sz w:val="17"/>
              </w:rPr>
              <w:t>Manual expert review</w:t>
            </w:r>
          </w:p>
        </w:tc>
        <w:tc>
          <w:tcPr>
            <w:tcW w:type="dxa" w:w="5112"/>
            <w:vAlign w:val="center"/>
          </w:tcPr>
          <w:p>
            <w:r/>
            <w:r>
              <w:rPr>
                <w:b w:val="0"/>
                <w:sz w:val="17"/>
              </w:rPr>
              <w:t>Domain validation of high/low novelty samples</w:t>
            </w:r>
          </w:p>
        </w:tc>
      </w:tr>
      <w:tr>
        <w:tc>
          <w:tcPr>
            <w:tcW w:type="dxa" w:w="5112"/>
            <w:vAlign w:val="center"/>
          </w:tcPr>
          <w:p>
            <w:r/>
            <w:r>
              <w:rPr>
                <w:b w:val="0"/>
                <w:sz w:val="17"/>
              </w:rPr>
              <w:t>Historical replay</w:t>
            </w:r>
          </w:p>
        </w:tc>
        <w:tc>
          <w:tcPr>
            <w:tcW w:type="dxa" w:w="5112"/>
            <w:vAlign w:val="center"/>
          </w:tcPr>
          <w:p>
            <w:r/>
            <w:r>
              <w:rPr>
                <w:b w:val="0"/>
                <w:sz w:val="17"/>
              </w:rPr>
              <w:t>How recommendations would have behaved on unseen historical periods</w:t>
            </w:r>
          </w:p>
        </w:tc>
      </w:tr>
    </w:tbl>
    <w:p>
      <w:r>
        <w:t>Once trustworthy confirmed outcomes are accumulated, add precision, recall, PR-AUC, ROC-AUC, F1, false-negative rate, and calibration metrics where appropriate.</w:t>
      </w:r>
    </w:p>
    <w:p>
      <w:pPr>
        <w:pStyle w:val="Heading1"/>
      </w:pPr>
      <w:r>
        <w:t>12. PO C / CLIENT DEMONSTRATION</w:t>
      </w:r>
    </w:p>
    <w:p>
      <w:r>
        <w:t>The demo must make the engine map directly to the client's future workflow.</w:t>
      </w:r>
    </w:p>
    <w:p>
      <w:pPr>
        <w:pStyle w:val="ListNumber"/>
      </w:pPr>
      <w:r>
        <w:t>Load the client sample data.</w:t>
      </w:r>
    </w:p>
    <w:p>
      <w:pPr>
        <w:pStyle w:val="ListNumber"/>
      </w:pPr>
      <w:r>
        <w:t>Show the three alert types.</w:t>
      </w:r>
    </w:p>
    <w:p>
      <w:pPr>
        <w:pStyle w:val="ListNumber"/>
      </w:pPr>
      <w:r>
        <w:t>Show automated data validation and normalization.</w:t>
      </w:r>
    </w:p>
    <w:p>
      <w:pPr>
        <w:pStyle w:val="ListNumber"/>
      </w:pPr>
      <w:r>
        <w:t>Show duplicate and missingness findings.</w:t>
      </w:r>
    </w:p>
    <w:p>
      <w:pPr>
        <w:pStyle w:val="ListNumber"/>
      </w:pPr>
      <w:r>
        <w:t>Train or load the approved PoC model.</w:t>
      </w:r>
    </w:p>
    <w:p>
      <w:pPr>
        <w:pStyle w:val="ListNumber"/>
      </w:pPr>
      <w:r>
        <w:t>Select an unseen historical alert.</w:t>
      </w:r>
    </w:p>
    <w:p>
      <w:pPr>
        <w:pStyle w:val="ListNumber"/>
      </w:pPr>
      <w:r>
        <w:t>Send it through the same API path intended for production.</w:t>
      </w:r>
    </w:p>
    <w:p>
      <w:pPr>
        <w:pStyle w:val="ListNumber"/>
      </w:pPr>
      <w:r>
        <w:t>Show model version and feature version.</w:t>
      </w:r>
    </w:p>
    <w:p>
      <w:pPr>
        <w:pStyle w:val="ListNumber"/>
      </w:pPr>
      <w:r>
        <w:t>Show global novelty.</w:t>
      </w:r>
    </w:p>
    <w:p>
      <w:pPr>
        <w:pStyle w:val="ListNumber"/>
      </w:pPr>
      <w:r>
        <w:t>Show customer-specific novelty where history exists.</w:t>
      </w:r>
    </w:p>
    <w:p>
      <w:pPr>
        <w:pStyle w:val="ListNumber"/>
      </w:pPr>
      <w:r>
        <w:t>Show relevant historical context.</w:t>
      </w:r>
    </w:p>
    <w:p>
      <w:pPr>
        <w:pStyle w:val="ListNumber"/>
      </w:pPr>
      <w:r>
        <w:t>Show model-derived reason codes based on measurable feature/representation deviations.</w:t>
      </w:r>
    </w:p>
    <w:p>
      <w:pPr>
        <w:pStyle w:val="ListNumber"/>
      </w:pPr>
      <w:r>
        <w:t>Show recommendation: lower-touch candidate or compliance review.</w:t>
      </w:r>
    </w:p>
    <w:p>
      <w:pPr>
        <w:pStyle w:val="ListNumber"/>
      </w:pPr>
      <w:r>
        <w:t>Show the historical operational outcome separately, clearly marked as evaluation context rather than model input.</w:t>
      </w:r>
    </w:p>
    <w:p>
      <w:pPr>
        <w:pStyle w:val="ListNumber"/>
      </w:pPr>
      <w:r>
        <w:t>Repeat for a Transaction Rule alert.</w:t>
      </w:r>
    </w:p>
    <w:p>
      <w:pPr>
        <w:pStyle w:val="ListNumber"/>
      </w:pPr>
      <w:r>
        <w:t>Show batch scoring and a simulated review-queue ranking.</w:t>
      </w:r>
    </w:p>
    <w:p>
      <w:pPr>
        <w:pStyle w:val="ListNumber"/>
      </w:pPr>
      <w:r>
        <w:t>Show how a future compliance decision is stored as feedback.</w:t>
      </w:r>
    </w:p>
    <w:p>
      <w:pPr>
        <w:pStyle w:val="Heading1"/>
      </w:pPr>
      <w:r>
        <w:t>13. API CONTRACT</w:t>
      </w:r>
    </w:p>
    <w:p>
      <w:pPr>
        <w:spacing w:after="120"/>
      </w:pPr>
      <w:r>
        <w:rPr>
          <w:rFonts w:ascii="Courier New" w:hAnsi="Courier New"/>
          <w:sz w:val="16"/>
        </w:rPr>
        <w:t>POST /api/v1/alerts/score</w:t>
        <w:br/>
        <w:t>POST /api/v1/alerts/batch-score</w:t>
        <w:br/>
        <w:t>GET  /api/v1/models/active</w:t>
        <w:br/>
        <w:t>GET  /api/v1/models/{model_version}</w:t>
        <w:br/>
        <w:t>GET  /api/v1/health</w:t>
        <w:br/>
        <w:t>POST /api/v1/feedback</w:t>
        <w:br/>
      </w:r>
    </w:p>
    <w:p>
      <w:r>
        <w:t>Example scoring response:</w:t>
      </w:r>
    </w:p>
    <w:p>
      <w:pPr>
        <w:spacing w:after="120"/>
      </w:pPr>
      <w:r>
        <w:rPr>
          <w:rFonts w:ascii="Courier New" w:hAnsi="Courier New"/>
          <w:sz w:val="16"/>
        </w:rPr>
        <w:t>{</w:t>
        <w:br/>
        <w:t xml:space="preserve">  "alert_id": "...",</w:t>
        <w:br/>
        <w:t xml:space="preserve">  "alert_type": "transaction_name",</w:t>
        <w:br/>
        <w:t xml:space="preserve">  "model_version": "...",</w:t>
        <w:br/>
        <w:t xml:space="preserve">  "feature_version": "...",</w:t>
        <w:br/>
        <w:t xml:space="preserve">  "schema_version": "...",</w:t>
        <w:br/>
        <w:t xml:space="preserve">  "novelty": {</w:t>
        <w:br/>
        <w:t xml:space="preserve">    "global": 0.0,</w:t>
        <w:br/>
        <w:t xml:space="preserve">    "customer": 0.0</w:t>
        <w:br/>
        <w:t xml:space="preserve">  },</w:t>
        <w:br/>
        <w:t xml:space="preserve">  "recommendation": "REVIEW",</w:t>
        <w:br/>
        <w:t xml:space="preserve">  "reason_codes": [],</w:t>
        <w:br/>
        <w:t xml:space="preserve">  "historical_context": {},</w:t>
        <w:br/>
        <w:t xml:space="preserve">  "scored_at": "..."</w:t>
        <w:br/>
        <w:t>}</w:t>
      </w:r>
    </w:p>
    <w:p>
      <w:r>
        <w:t>The numerical scale must be documented by the selected model. Never describe an anomaly score as a probability unless a separate calibration procedure proves that interpretation.</w:t>
      </w:r>
    </w:p>
    <w:p>
      <w:pPr>
        <w:pStyle w:val="Heading1"/>
      </w:pPr>
      <w:r>
        <w:t>14. REPOSITORY / CODE STRUCTURE</w:t>
      </w:r>
    </w:p>
    <w:p>
      <w:pPr>
        <w:spacing w:after="120"/>
      </w:pPr>
      <w:r>
        <w:rPr>
          <w:rFonts w:ascii="Courier New" w:hAnsi="Courier New"/>
          <w:sz w:val="16"/>
        </w:rPr>
        <w:t>alert-intelligence-engine/</w:t>
        <w:br/>
        <w:t>├── app/</w:t>
        <w:br/>
        <w:t>│   ├── api/</w:t>
        <w:br/>
        <w:t>│   ├── schemas/</w:t>
        <w:br/>
        <w:t>│   ├── services/</w:t>
        <w:br/>
        <w:t>│   └── main.py</w:t>
        <w:br/>
        <w:t>├── data/</w:t>
        <w:br/>
        <w:t>│   ├── raw/</w:t>
        <w:br/>
        <w:t>│   ├── validated/</w:t>
        <w:br/>
        <w:t>│   ├── normalized/</w:t>
        <w:br/>
        <w:t>│   └── processed/</w:t>
        <w:br/>
        <w:t>├── pipelines/</w:t>
        <w:br/>
        <w:t>│   ├── ingestion/</w:t>
        <w:br/>
        <w:t>│   ├── validation/</w:t>
        <w:br/>
        <w:t>│   ├── normalization/</w:t>
        <w:br/>
        <w:t>│   ├── entity/</w:t>
        <w:br/>
        <w:t>│   ├── transaction/</w:t>
        <w:br/>
        <w:t>│   └── evaluation/</w:t>
        <w:br/>
        <w:t>├── features/</w:t>
        <w:br/>
        <w:t>├── models/</w:t>
        <w:br/>
        <w:t>│   ├── entity/</w:t>
        <w:br/>
        <w:t>│   ├── transaction/</w:t>
        <w:br/>
        <w:t>│   └── registry/</w:t>
        <w:br/>
        <w:t>├── evaluation/</w:t>
        <w:br/>
        <w:t>├── feedback/</w:t>
        <w:br/>
        <w:t>├── monitoring/</w:t>
        <w:br/>
        <w:t>├── tests/</w:t>
        <w:br/>
        <w:t>├── configs/</w:t>
        <w:br/>
        <w:t>├── notebooks/</w:t>
        <w:br/>
        <w:t>├── scripts/</w:t>
        <w:br/>
        <w:t>├── docker/</w:t>
        <w:br/>
        <w:t>├── .env.example</w:t>
        <w:br/>
        <w:t>└── README.md</w:t>
        <w:br/>
      </w:r>
    </w:p>
    <w:p>
      <w:pPr>
        <w:pStyle w:val="Heading1"/>
      </w:pPr>
      <w:r>
        <w:t>15. CONFIGURATION AND SECRETS</w:t>
      </w:r>
    </w:p>
    <w:p>
      <w:r>
        <w:t>The agent must never hardcode:</w:t>
      </w:r>
    </w:p>
    <w:p>
      <w:pPr>
        <w:pStyle w:val="ListBullet"/>
      </w:pPr>
      <w:r>
        <w:t>Database credentials</w:t>
      </w:r>
    </w:p>
    <w:p>
      <w:pPr>
        <w:pStyle w:val="ListBullet"/>
      </w:pPr>
      <w:r>
        <w:t>API credentials</w:t>
      </w:r>
    </w:p>
    <w:p>
      <w:pPr>
        <w:pStyle w:val="ListBullet"/>
      </w:pPr>
      <w:r>
        <w:t>Filesystem paths that vary by environment</w:t>
      </w:r>
    </w:p>
    <w:p>
      <w:pPr>
        <w:pStyle w:val="ListBullet"/>
      </w:pPr>
      <w:r>
        <w:t>Model paths</w:t>
      </w:r>
    </w:p>
    <w:p>
      <w:pPr>
        <w:pStyle w:val="ListBullet"/>
      </w:pPr>
      <w:r>
        <w:t>Model version</w:t>
      </w:r>
    </w:p>
    <w:p>
      <w:pPr>
        <w:pStyle w:val="ListBullet"/>
      </w:pPr>
      <w:r>
        <w:t>Training window</w:t>
      </w:r>
    </w:p>
    <w:p>
      <w:pPr>
        <w:pStyle w:val="ListBullet"/>
      </w:pPr>
      <w:r>
        <w:t>Retraining schedule</w:t>
      </w:r>
    </w:p>
    <w:p>
      <w:pPr>
        <w:pStyle w:val="ListBullet"/>
      </w:pPr>
      <w:r>
        <w:t>Operational routing configuration</w:t>
      </w:r>
    </w:p>
    <w:p>
      <w:pPr>
        <w:pStyle w:val="ListBullet"/>
      </w:pPr>
      <w:r>
        <w:t>Client-specific identifiers</w:t>
      </w:r>
    </w:p>
    <w:p>
      <w:r>
        <w:t>Use environment variables/configuration files. Commit only .env.example with placeholder names.</w:t>
      </w:r>
    </w:p>
    <w:p>
      <w:pPr>
        <w:pStyle w:val="Heading1"/>
      </w:pPr>
      <w:r>
        <w:t>16. MODEL LIFECYCLE</w:t>
      </w:r>
    </w:p>
    <w:p>
      <w:pPr>
        <w:spacing w:after="120"/>
      </w:pPr>
      <w:r>
        <w:rPr>
          <w:rFonts w:ascii="Courier New" w:hAnsi="Courier New"/>
          <w:sz w:val="16"/>
        </w:rPr>
        <w:t>DATA INGEST</w:t>
        <w:br/>
        <w:t xml:space="preserve">    ↓</w:t>
        <w:br/>
        <w:t>DATA VALIDATION</w:t>
        <w:br/>
        <w:t xml:space="preserve">    ↓</w:t>
        <w:br/>
        <w:t>FEATURE / REPRESENTATION BUILD</w:t>
        <w:br/>
        <w:t xml:space="preserve">    ↓</w:t>
        <w:br/>
        <w:t>TRAIN CANDIDATES</w:t>
        <w:br/>
        <w:t xml:space="preserve">    ↓</w:t>
        <w:br/>
        <w:t>LEAKAGE CHECK</w:t>
        <w:br/>
        <w:t xml:space="preserve">    ↓</w:t>
        <w:br/>
        <w:t>GROUP + TEMPORAL VALIDATION</w:t>
        <w:br/>
        <w:t xml:space="preserve">    ↓</w:t>
        <w:br/>
        <w:t>COMPARE CHAMPIONS</w:t>
        <w:br/>
        <w:t xml:space="preserve">    ↓</w:t>
        <w:br/>
        <w:t>MODEL CARD</w:t>
        <w:br/>
        <w:t xml:space="preserve">    ↓</w:t>
        <w:br/>
        <w:t>REGISTER</w:t>
        <w:br/>
        <w:t xml:space="preserve">    ↓</w:t>
        <w:br/>
        <w:t>SHADOW MODE</w:t>
        <w:br/>
        <w:t xml:space="preserve">    ↓</w:t>
        <w:br/>
        <w:t>CLIENT APPROVAL</w:t>
        <w:br/>
        <w:t xml:space="preserve">    ↓</w:t>
        <w:br/>
        <w:t>PRODUCTION</w:t>
        <w:br/>
        <w:t xml:space="preserve">    ↓</w:t>
        <w:br/>
        <w:t>MONITOR</w:t>
        <w:br/>
        <w:t xml:space="preserve">    ↓</w:t>
        <w:br/>
        <w:t>RETRAIN CANDIDATES</w:t>
        <w:br/>
        <w:t xml:space="preserve">    ↓</w:t>
        <w:br/>
        <w:t>COMPARE WITH CURRENT</w:t>
        <w:br/>
        <w:t xml:space="preserve">    ↓</w:t>
        <w:br/>
        <w:t>PROMOTE OR REJECT</w:t>
        <w:br/>
      </w:r>
    </w:p>
    <w:p>
      <w:pPr>
        <w:pStyle w:val="Heading1"/>
      </w:pPr>
      <w:r>
        <w:t>17. FEEDBACK / FUTURE SUPERVISED LEARNING</w:t>
      </w:r>
    </w:p>
    <w:p>
      <w:r>
        <w:t>Every production alert should eventually record the ML recommendation and the final compliance outcome. The outcome must be independently validated before it becomes a supervised training label.</w:t>
      </w:r>
    </w:p>
    <w:p>
      <w:pPr>
        <w:spacing w:after="120"/>
      </w:pPr>
      <w:r>
        <w:rPr>
          <w:rFonts w:ascii="Courier New" w:hAnsi="Courier New"/>
          <w:sz w:val="16"/>
        </w:rPr>
        <w:t>New alert</w:t>
        <w:br/>
        <w:t xml:space="preserve">   ↓</w:t>
        <w:br/>
        <w:t>ML assessment</w:t>
        <w:br/>
        <w:t xml:space="preserve">   ↓</w:t>
        <w:br/>
        <w:t>Compliance review</w:t>
        <w:br/>
        <w:t xml:space="preserve">   ↓</w:t>
        <w:br/>
        <w:t>Outcome</w:t>
        <w:br/>
        <w:t xml:space="preserve">   ↓</w:t>
        <w:br/>
        <w:t>Outcome validation</w:t>
        <w:br/>
        <w:t xml:space="preserve">   ↓</w:t>
        <w:br/>
        <w:t>Training label candidate</w:t>
        <w:br/>
        <w:t xml:space="preserve">   ↓</w:t>
        <w:br/>
        <w:t>Label quality checks</w:t>
        <w:br/>
        <w:t xml:space="preserve">   ↓</w:t>
        <w:br/>
        <w:t>Supervised calibration/classifier</w:t>
        <w:br/>
      </w:r>
    </w:p>
    <w:p>
      <w:r>
        <w:t>The future supervised layer is additive. The unsupervised representation/anomaly layer remains useful for discovering new behaviour and populations that were not represented in the labelled dataset.</w:t>
      </w:r>
    </w:p>
    <w:p>
      <w:pPr>
        <w:pStyle w:val="Heading1"/>
      </w:pPr>
      <w:r>
        <w:t>18. MONITORING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Area</w:t>
            </w:r>
          </w:p>
        </w:tc>
        <w:tc>
          <w:tcPr>
            <w:tcW w:type="dxa" w:w="5112"/>
            <w:vAlign w:val="center"/>
            <w:shd w:fill="D9EAF7"/>
          </w:tcPr>
          <w:p>
            <w:r/>
            <w:r>
              <w:rPr>
                <w:b/>
                <w:sz w:val="17"/>
              </w:rPr>
              <w:t>Monitor</w:t>
            </w:r>
          </w:p>
        </w:tc>
      </w:tr>
      <w:tr>
        <w:tc>
          <w:tcPr>
            <w:tcW w:type="dxa" w:w="5112"/>
            <w:vAlign w:val="center"/>
          </w:tcPr>
          <w:p>
            <w:r/>
            <w:r>
              <w:rPr>
                <w:b w:val="0"/>
                <w:sz w:val="17"/>
              </w:rPr>
              <w:t>Data quality</w:t>
            </w:r>
          </w:p>
        </w:tc>
        <w:tc>
          <w:tcPr>
            <w:tcW w:type="dxa" w:w="5112"/>
            <w:vAlign w:val="center"/>
          </w:tcPr>
          <w:p>
            <w:r/>
            <w:r>
              <w:rPr>
                <w:b w:val="0"/>
                <w:sz w:val="17"/>
              </w:rPr>
              <w:t>Missingness, duplicate rate, schema changes, invalid values</w:t>
            </w:r>
          </w:p>
        </w:tc>
      </w:tr>
      <w:tr>
        <w:tc>
          <w:tcPr>
            <w:tcW w:type="dxa" w:w="5112"/>
            <w:vAlign w:val="center"/>
          </w:tcPr>
          <w:p>
            <w:r/>
            <w:r>
              <w:rPr>
                <w:b w:val="0"/>
                <w:sz w:val="17"/>
              </w:rPr>
              <w:t>Population drift</w:t>
            </w:r>
          </w:p>
        </w:tc>
        <w:tc>
          <w:tcPr>
            <w:tcW w:type="dxa" w:w="5112"/>
            <w:vAlign w:val="center"/>
          </w:tcPr>
          <w:p>
            <w:r/>
            <w:r>
              <w:rPr>
                <w:b w:val="0"/>
                <w:sz w:val="17"/>
              </w:rPr>
              <w:t>Customer, country, rule, transaction and entity distributions</w:t>
            </w:r>
          </w:p>
        </w:tc>
      </w:tr>
      <w:tr>
        <w:tc>
          <w:tcPr>
            <w:tcW w:type="dxa" w:w="5112"/>
            <w:vAlign w:val="center"/>
          </w:tcPr>
          <w:p>
            <w:r/>
            <w:r>
              <w:rPr>
                <w:b w:val="0"/>
                <w:sz w:val="17"/>
              </w:rPr>
              <w:t>Feature drift</w:t>
            </w:r>
          </w:p>
        </w:tc>
        <w:tc>
          <w:tcPr>
            <w:tcW w:type="dxa" w:w="5112"/>
            <w:vAlign w:val="center"/>
          </w:tcPr>
          <w:p>
            <w:r/>
            <w:r>
              <w:rPr>
                <w:b w:val="0"/>
                <w:sz w:val="17"/>
              </w:rPr>
              <w:t>Feature distribution changes</w:t>
            </w:r>
          </w:p>
        </w:tc>
      </w:tr>
      <w:tr>
        <w:tc>
          <w:tcPr>
            <w:tcW w:type="dxa" w:w="5112"/>
            <w:vAlign w:val="center"/>
          </w:tcPr>
          <w:p>
            <w:r/>
            <w:r>
              <w:rPr>
                <w:b w:val="0"/>
                <w:sz w:val="17"/>
              </w:rPr>
              <w:t>Score drift</w:t>
            </w:r>
          </w:p>
        </w:tc>
        <w:tc>
          <w:tcPr>
            <w:tcW w:type="dxa" w:w="5112"/>
            <w:vAlign w:val="center"/>
          </w:tcPr>
          <w:p>
            <w:r/>
            <w:r>
              <w:rPr>
                <w:b w:val="0"/>
                <w:sz w:val="17"/>
              </w:rPr>
              <w:t>Global/customer/rule novelty distributions</w:t>
            </w:r>
          </w:p>
        </w:tc>
      </w:tr>
      <w:tr>
        <w:tc>
          <w:tcPr>
            <w:tcW w:type="dxa" w:w="5112"/>
            <w:vAlign w:val="center"/>
          </w:tcPr>
          <w:p>
            <w:r/>
            <w:r>
              <w:rPr>
                <w:b w:val="0"/>
                <w:sz w:val="17"/>
              </w:rPr>
              <w:t>Model health</w:t>
            </w:r>
          </w:p>
        </w:tc>
        <w:tc>
          <w:tcPr>
            <w:tcW w:type="dxa" w:w="5112"/>
            <w:vAlign w:val="center"/>
          </w:tcPr>
          <w:p>
            <w:r/>
            <w:r>
              <w:rPr>
                <w:b w:val="0"/>
                <w:sz w:val="17"/>
              </w:rPr>
              <w:t>Inference errors, latency, resource use</w:t>
            </w:r>
          </w:p>
        </w:tc>
      </w:tr>
      <w:tr>
        <w:tc>
          <w:tcPr>
            <w:tcW w:type="dxa" w:w="5112"/>
            <w:vAlign w:val="center"/>
          </w:tcPr>
          <w:p>
            <w:r/>
            <w:r>
              <w:rPr>
                <w:b w:val="0"/>
                <w:sz w:val="17"/>
              </w:rPr>
              <w:t>Business workflow</w:t>
            </w:r>
          </w:p>
        </w:tc>
        <w:tc>
          <w:tcPr>
            <w:tcW w:type="dxa" w:w="5112"/>
            <w:vAlign w:val="center"/>
          </w:tcPr>
          <w:p>
            <w:r/>
            <w:r>
              <w:rPr>
                <w:b w:val="0"/>
                <w:sz w:val="17"/>
              </w:rPr>
              <w:t>Review volume, recommendation volume, compliance outcomes</w:t>
            </w:r>
          </w:p>
        </w:tc>
      </w:tr>
      <w:tr>
        <w:tc>
          <w:tcPr>
            <w:tcW w:type="dxa" w:w="5112"/>
            <w:vAlign w:val="center"/>
          </w:tcPr>
          <w:p>
            <w:r/>
            <w:r>
              <w:rPr>
                <w:b w:val="0"/>
                <w:sz w:val="17"/>
              </w:rPr>
              <w:t>Feedback quality</w:t>
            </w:r>
          </w:p>
        </w:tc>
        <w:tc>
          <w:tcPr>
            <w:tcW w:type="dxa" w:w="5112"/>
            <w:vAlign w:val="center"/>
          </w:tcPr>
          <w:p>
            <w:r/>
            <w:r>
              <w:rPr>
                <w:b w:val="0"/>
                <w:sz w:val="17"/>
              </w:rPr>
              <w:t>Unknown/validated outcome ratio</w:t>
            </w:r>
          </w:p>
        </w:tc>
      </w:tr>
    </w:tbl>
    <w:p>
      <w:pPr>
        <w:pStyle w:val="Heading1"/>
      </w:pPr>
      <w:r>
        <w:t>19. TESTING REQUIREMENTS</w:t>
      </w:r>
    </w:p>
    <w:p>
      <w:pPr>
        <w:pStyle w:val="ListBullet"/>
      </w:pPr>
      <w:r>
        <w:t>Unit tests for every normalization function.</w:t>
      </w:r>
    </w:p>
    <w:p>
      <w:pPr>
        <w:pStyle w:val="ListBullet"/>
      </w:pPr>
      <w:r>
        <w:t>Unit tests for feature generation.</w:t>
      </w:r>
    </w:p>
    <w:p>
      <w:pPr>
        <w:pStyle w:val="ListBullet"/>
      </w:pPr>
      <w:r>
        <w:t>Tests proving leakage fields cannot enter live inference.</w:t>
      </w:r>
    </w:p>
    <w:p>
      <w:pPr>
        <w:pStyle w:val="ListBullet"/>
      </w:pPr>
      <w:r>
        <w:t>Tests for missing-value handling.</w:t>
      </w:r>
    </w:p>
    <w:p>
      <w:pPr>
        <w:pStyle w:val="ListBullet"/>
      </w:pPr>
      <w:r>
        <w:t>Tests for duplicate handling.</w:t>
      </w:r>
    </w:p>
    <w:p>
      <w:pPr>
        <w:pStyle w:val="ListBullet"/>
      </w:pPr>
      <w:r>
        <w:t>Tests for unseen categories.</w:t>
      </w:r>
    </w:p>
    <w:p>
      <w:pPr>
        <w:pStyle w:val="ListBullet"/>
      </w:pPr>
      <w:r>
        <w:t>Tests for unseen customers.</w:t>
      </w:r>
    </w:p>
    <w:p>
      <w:pPr>
        <w:pStyle w:val="ListBullet"/>
      </w:pPr>
      <w:r>
        <w:t>Tests for empty history.</w:t>
      </w:r>
    </w:p>
    <w:p>
      <w:pPr>
        <w:pStyle w:val="ListBullet"/>
      </w:pPr>
      <w:r>
        <w:t>Tests for batch scoring.</w:t>
      </w:r>
    </w:p>
    <w:p>
      <w:pPr>
        <w:pStyle w:val="ListBullet"/>
      </w:pPr>
      <w:r>
        <w:t>API schema tests.</w:t>
      </w:r>
    </w:p>
    <w:p>
      <w:pPr>
        <w:pStyle w:val="ListBullet"/>
      </w:pPr>
      <w:r>
        <w:t>Model loading/version tests.</w:t>
      </w:r>
    </w:p>
    <w:p>
      <w:pPr>
        <w:pStyle w:val="ListBullet"/>
      </w:pPr>
      <w:r>
        <w:t>Reproducibility test for fixed model + fixed input.</w:t>
      </w:r>
    </w:p>
    <w:p>
      <w:pPr>
        <w:pStyle w:val="ListBullet"/>
      </w:pPr>
      <w:r>
        <w:t>Regression tests after every model/feature change.</w:t>
      </w:r>
    </w:p>
    <w:p>
      <w:pPr>
        <w:pStyle w:val="ListBullet"/>
      </w:pPr>
      <w:r>
        <w:t>Security tests for configuration and secret handling.</w:t>
      </w:r>
    </w:p>
    <w:p>
      <w:pPr>
        <w:pStyle w:val="ListBullet"/>
      </w:pPr>
      <w:r>
        <w:t>Failure-path tests for malformed alerts.</w:t>
      </w:r>
    </w:p>
    <w:p>
      <w:pPr>
        <w:pStyle w:val="Heading1"/>
      </w:pPr>
      <w:r>
        <w:t>20. PHASES, DELIVERABLES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Phase</w:t>
            </w:r>
          </w:p>
        </w:tc>
        <w:tc>
          <w:tcPr>
            <w:tcW w:type="dxa" w:w="3408"/>
            <w:vAlign w:val="center"/>
            <w:shd w:fill="D9EAF7"/>
          </w:tcPr>
          <w:p>
            <w:r/>
            <w:r>
              <w:rPr>
                <w:b/>
                <w:sz w:val="17"/>
              </w:rPr>
              <w:t>Deliverables</w:t>
            </w:r>
          </w:p>
        </w:tc>
        <w:tc>
          <w:tcPr>
            <w:tcW w:type="dxa" w:w="3408"/>
            <w:vAlign w:val="center"/>
            <w:shd w:fill="D9EAF7"/>
          </w:tcPr>
          <w:p>
            <w:r/>
            <w:r>
              <w:rPr>
                <w:b/>
                <w:sz w:val="17"/>
              </w:rPr>
              <w:t>Gate</w:t>
            </w:r>
          </w:p>
        </w:tc>
      </w:tr>
      <w:tr>
        <w:tc>
          <w:tcPr>
            <w:tcW w:type="dxa" w:w="3408"/>
            <w:vAlign w:val="center"/>
          </w:tcPr>
          <w:p>
            <w:r/>
            <w:r>
              <w:rPr>
                <w:b w:val="0"/>
                <w:sz w:val="17"/>
              </w:rPr>
              <w:t>0. Repository + environment</w:t>
            </w:r>
          </w:p>
        </w:tc>
        <w:tc>
          <w:tcPr>
            <w:tcW w:type="dxa" w:w="3408"/>
            <w:vAlign w:val="center"/>
          </w:tcPr>
          <w:p>
            <w:r/>
            <w:r>
              <w:rPr>
                <w:b w:val="0"/>
                <w:sz w:val="17"/>
              </w:rPr>
              <w:t>Project skeleton, configs, tests, reproducible environment</w:t>
            </w:r>
          </w:p>
        </w:tc>
        <w:tc>
          <w:tcPr>
            <w:tcW w:type="dxa" w:w="3408"/>
            <w:vAlign w:val="center"/>
          </w:tcPr>
          <w:p>
            <w:r/>
            <w:r>
              <w:rPr>
                <w:b w:val="0"/>
                <w:sz w:val="17"/>
              </w:rPr>
              <w:t>Environment passes</w:t>
            </w:r>
          </w:p>
        </w:tc>
      </w:tr>
      <w:tr>
        <w:tc>
          <w:tcPr>
            <w:tcW w:type="dxa" w:w="3408"/>
            <w:vAlign w:val="center"/>
          </w:tcPr>
          <w:p>
            <w:r/>
            <w:r>
              <w:rPr>
                <w:b w:val="0"/>
                <w:sz w:val="17"/>
              </w:rPr>
              <w:t>1. Data audit</w:t>
            </w:r>
          </w:p>
        </w:tc>
        <w:tc>
          <w:tcPr>
            <w:tcW w:type="dxa" w:w="3408"/>
            <w:vAlign w:val="center"/>
          </w:tcPr>
          <w:p>
            <w:r/>
            <w:r>
              <w:rPr>
                <w:b w:val="0"/>
                <w:sz w:val="17"/>
              </w:rPr>
              <w:t>Schema, quality, duplicates, labels, leakage, temporal report</w:t>
            </w:r>
          </w:p>
        </w:tc>
        <w:tc>
          <w:tcPr>
            <w:tcW w:type="dxa" w:w="3408"/>
            <w:vAlign w:val="center"/>
          </w:tcPr>
          <w:p>
            <w:r/>
            <w:r>
              <w:rPr>
                <w:b w:val="0"/>
                <w:sz w:val="17"/>
              </w:rPr>
              <w:t>Human approval</w:t>
            </w:r>
          </w:p>
        </w:tc>
      </w:tr>
      <w:tr>
        <w:tc>
          <w:tcPr>
            <w:tcW w:type="dxa" w:w="3408"/>
            <w:vAlign w:val="center"/>
          </w:tcPr>
          <w:p>
            <w:r/>
            <w:r>
              <w:rPr>
                <w:b w:val="0"/>
                <w:sz w:val="17"/>
              </w:rPr>
              <w:t>2. Data pipeline</w:t>
            </w:r>
          </w:p>
        </w:tc>
        <w:tc>
          <w:tcPr>
            <w:tcW w:type="dxa" w:w="3408"/>
            <w:vAlign w:val="center"/>
          </w:tcPr>
          <w:p>
            <w:r/>
            <w:r>
              <w:rPr>
                <w:b w:val="0"/>
                <w:sz w:val="17"/>
              </w:rPr>
              <w:t>Ingestion, validation, normalization, versioning</w:t>
            </w:r>
          </w:p>
        </w:tc>
        <w:tc>
          <w:tcPr>
            <w:tcW w:type="dxa" w:w="3408"/>
            <w:vAlign w:val="center"/>
          </w:tcPr>
          <w:p>
            <w:r/>
            <w:r>
              <w:rPr>
                <w:b w:val="0"/>
                <w:sz w:val="17"/>
              </w:rPr>
              <w:t>Data tests pass</w:t>
            </w:r>
          </w:p>
        </w:tc>
      </w:tr>
      <w:tr>
        <w:tc>
          <w:tcPr>
            <w:tcW w:type="dxa" w:w="3408"/>
            <w:vAlign w:val="center"/>
          </w:tcPr>
          <w:p>
            <w:r/>
            <w:r>
              <w:rPr>
                <w:b w:val="0"/>
                <w:sz w:val="17"/>
              </w:rPr>
              <w:t>3. Entity features</w:t>
            </w:r>
          </w:p>
        </w:tc>
        <w:tc>
          <w:tcPr>
            <w:tcW w:type="dxa" w:w="3408"/>
            <w:vAlign w:val="center"/>
          </w:tcPr>
          <w:p>
            <w:r/>
            <w:r>
              <w:rPr>
                <w:b w:val="0"/>
                <w:sz w:val="17"/>
              </w:rPr>
              <w:t>Representation + historical context</w:t>
            </w:r>
          </w:p>
        </w:tc>
        <w:tc>
          <w:tcPr>
            <w:tcW w:type="dxa" w:w="3408"/>
            <w:vAlign w:val="center"/>
          </w:tcPr>
          <w:p>
            <w:r/>
            <w:r>
              <w:rPr>
                <w:b w:val="0"/>
                <w:sz w:val="17"/>
              </w:rPr>
              <w:t>Feature audit passes</w:t>
            </w:r>
          </w:p>
        </w:tc>
      </w:tr>
      <w:tr>
        <w:tc>
          <w:tcPr>
            <w:tcW w:type="dxa" w:w="3408"/>
            <w:vAlign w:val="center"/>
          </w:tcPr>
          <w:p>
            <w:r/>
            <w:r>
              <w:rPr>
                <w:b w:val="0"/>
                <w:sz w:val="17"/>
              </w:rPr>
              <w:t>4. Transaction features</w:t>
            </w:r>
          </w:p>
        </w:tc>
        <w:tc>
          <w:tcPr>
            <w:tcW w:type="dxa" w:w="3408"/>
            <w:vAlign w:val="center"/>
          </w:tcPr>
          <w:p>
            <w:r/>
            <w:r>
              <w:rPr>
                <w:b w:val="0"/>
                <w:sz w:val="17"/>
              </w:rPr>
              <w:t>Behavioural representation + rule context</w:t>
            </w:r>
          </w:p>
        </w:tc>
        <w:tc>
          <w:tcPr>
            <w:tcW w:type="dxa" w:w="3408"/>
            <w:vAlign w:val="center"/>
          </w:tcPr>
          <w:p>
            <w:r/>
            <w:r>
              <w:rPr>
                <w:b w:val="0"/>
                <w:sz w:val="17"/>
              </w:rPr>
              <w:t>Feature audit passes</w:t>
            </w:r>
          </w:p>
        </w:tc>
      </w:tr>
      <w:tr>
        <w:tc>
          <w:tcPr>
            <w:tcW w:type="dxa" w:w="3408"/>
            <w:vAlign w:val="center"/>
          </w:tcPr>
          <w:p>
            <w:r/>
            <w:r>
              <w:rPr>
                <w:b w:val="0"/>
                <w:sz w:val="17"/>
              </w:rPr>
              <w:t>5. Entity experiments</w:t>
            </w:r>
          </w:p>
        </w:tc>
        <w:tc>
          <w:tcPr>
            <w:tcW w:type="dxa" w:w="3408"/>
            <w:vAlign w:val="center"/>
          </w:tcPr>
          <w:p>
            <w:r/>
            <w:r>
              <w:rPr>
                <w:b w:val="0"/>
                <w:sz w:val="17"/>
              </w:rPr>
              <w:t>IF/AE/benchmarks + validation</w:t>
            </w:r>
          </w:p>
        </w:tc>
        <w:tc>
          <w:tcPr>
            <w:tcW w:type="dxa" w:w="3408"/>
            <w:vAlign w:val="center"/>
          </w:tcPr>
          <w:p>
            <w:r/>
            <w:r>
              <w:rPr>
                <w:b w:val="0"/>
                <w:sz w:val="17"/>
              </w:rPr>
              <w:t>Champion selected</w:t>
            </w:r>
          </w:p>
        </w:tc>
      </w:tr>
      <w:tr>
        <w:tc>
          <w:tcPr>
            <w:tcW w:type="dxa" w:w="3408"/>
            <w:vAlign w:val="center"/>
          </w:tcPr>
          <w:p>
            <w:r/>
            <w:r>
              <w:rPr>
                <w:b w:val="0"/>
                <w:sz w:val="17"/>
              </w:rPr>
              <w:t>6. Transaction experiments</w:t>
            </w:r>
          </w:p>
        </w:tc>
        <w:tc>
          <w:tcPr>
            <w:tcW w:type="dxa" w:w="3408"/>
            <w:vAlign w:val="center"/>
          </w:tcPr>
          <w:p>
            <w:r/>
            <w:r>
              <w:rPr>
                <w:b w:val="0"/>
                <w:sz w:val="17"/>
              </w:rPr>
              <w:t>IF/AE/benchmarks + validation</w:t>
            </w:r>
          </w:p>
        </w:tc>
        <w:tc>
          <w:tcPr>
            <w:tcW w:type="dxa" w:w="3408"/>
            <w:vAlign w:val="center"/>
          </w:tcPr>
          <w:p>
            <w:r/>
            <w:r>
              <w:rPr>
                <w:b w:val="0"/>
                <w:sz w:val="17"/>
              </w:rPr>
              <w:t>Champion selected</w:t>
            </w:r>
          </w:p>
        </w:tc>
      </w:tr>
      <w:tr>
        <w:tc>
          <w:tcPr>
            <w:tcW w:type="dxa" w:w="3408"/>
            <w:vAlign w:val="center"/>
          </w:tcPr>
          <w:p>
            <w:r/>
            <w:r>
              <w:rPr>
                <w:b w:val="0"/>
                <w:sz w:val="17"/>
              </w:rPr>
              <w:t>7. Historical replay</w:t>
            </w:r>
          </w:p>
        </w:tc>
        <w:tc>
          <w:tcPr>
            <w:tcW w:type="dxa" w:w="3408"/>
            <w:vAlign w:val="center"/>
          </w:tcPr>
          <w:p>
            <w:r/>
            <w:r>
              <w:rPr>
                <w:b w:val="0"/>
                <w:sz w:val="17"/>
              </w:rPr>
              <w:t>Time-forward/group evaluation + report</w:t>
            </w:r>
          </w:p>
        </w:tc>
        <w:tc>
          <w:tcPr>
            <w:tcW w:type="dxa" w:w="3408"/>
            <w:vAlign w:val="center"/>
          </w:tcPr>
          <w:p>
            <w:r/>
            <w:r>
              <w:rPr>
                <w:b w:val="0"/>
                <w:sz w:val="17"/>
              </w:rPr>
              <w:t>PoC evidence approved</w:t>
            </w:r>
          </w:p>
        </w:tc>
      </w:tr>
      <w:tr>
        <w:tc>
          <w:tcPr>
            <w:tcW w:type="dxa" w:w="3408"/>
            <w:vAlign w:val="center"/>
          </w:tcPr>
          <w:p>
            <w:r/>
            <w:r>
              <w:rPr>
                <w:b w:val="0"/>
                <w:sz w:val="17"/>
              </w:rPr>
              <w:t>8. API</w:t>
            </w:r>
          </w:p>
        </w:tc>
        <w:tc>
          <w:tcPr>
            <w:tcW w:type="dxa" w:w="3408"/>
            <w:vAlign w:val="center"/>
          </w:tcPr>
          <w:p>
            <w:r/>
            <w:r>
              <w:rPr>
                <w:b w:val="0"/>
                <w:sz w:val="17"/>
              </w:rPr>
              <w:t>Single + batch scoring + model info</w:t>
            </w:r>
          </w:p>
        </w:tc>
        <w:tc>
          <w:tcPr>
            <w:tcW w:type="dxa" w:w="3408"/>
            <w:vAlign w:val="center"/>
          </w:tcPr>
          <w:p>
            <w:r/>
            <w:r>
              <w:rPr>
                <w:b w:val="0"/>
                <w:sz w:val="17"/>
              </w:rPr>
              <w:t>API tests pass</w:t>
            </w:r>
          </w:p>
        </w:tc>
      </w:tr>
      <w:tr>
        <w:tc>
          <w:tcPr>
            <w:tcW w:type="dxa" w:w="3408"/>
            <w:vAlign w:val="center"/>
          </w:tcPr>
          <w:p>
            <w:r/>
            <w:r>
              <w:rPr>
                <w:b w:val="0"/>
                <w:sz w:val="17"/>
              </w:rPr>
              <w:t>9. Demo UI</w:t>
            </w:r>
          </w:p>
        </w:tc>
        <w:tc>
          <w:tcPr>
            <w:tcW w:type="dxa" w:w="3408"/>
            <w:vAlign w:val="center"/>
          </w:tcPr>
          <w:p>
            <w:r/>
            <w:r>
              <w:rPr>
                <w:b w:val="0"/>
                <w:sz w:val="17"/>
              </w:rPr>
              <w:t>Alert explorer + model evidence</w:t>
            </w:r>
          </w:p>
        </w:tc>
        <w:tc>
          <w:tcPr>
            <w:tcW w:type="dxa" w:w="3408"/>
            <w:vAlign w:val="center"/>
          </w:tcPr>
          <w:p>
            <w:r/>
            <w:r>
              <w:rPr>
                <w:b w:val="0"/>
                <w:sz w:val="17"/>
              </w:rPr>
              <w:t>Client demo ready</w:t>
            </w:r>
          </w:p>
        </w:tc>
      </w:tr>
      <w:tr>
        <w:tc>
          <w:tcPr>
            <w:tcW w:type="dxa" w:w="3408"/>
            <w:vAlign w:val="center"/>
          </w:tcPr>
          <w:p>
            <w:r/>
            <w:r>
              <w:rPr>
                <w:b w:val="0"/>
                <w:sz w:val="17"/>
              </w:rPr>
              <w:t>10. Shadow mode</w:t>
            </w:r>
          </w:p>
        </w:tc>
        <w:tc>
          <w:tcPr>
            <w:tcW w:type="dxa" w:w="3408"/>
            <w:vAlign w:val="center"/>
          </w:tcPr>
          <w:p>
            <w:r/>
            <w:r>
              <w:rPr>
                <w:b w:val="0"/>
                <w:sz w:val="17"/>
              </w:rPr>
              <w:t>Live recommendations without autonomous release</w:t>
            </w:r>
          </w:p>
        </w:tc>
        <w:tc>
          <w:tcPr>
            <w:tcW w:type="dxa" w:w="3408"/>
            <w:vAlign w:val="center"/>
          </w:tcPr>
          <w:p>
            <w:r/>
            <w:r>
              <w:rPr>
                <w:b w:val="0"/>
                <w:sz w:val="17"/>
              </w:rPr>
              <w:t>Operational validation</w:t>
            </w:r>
          </w:p>
        </w:tc>
      </w:tr>
      <w:tr>
        <w:tc>
          <w:tcPr>
            <w:tcW w:type="dxa" w:w="3408"/>
            <w:vAlign w:val="center"/>
          </w:tcPr>
          <w:p>
            <w:r/>
            <w:r>
              <w:rPr>
                <w:b w:val="0"/>
                <w:sz w:val="17"/>
              </w:rPr>
              <w:t>11. Production foundation</w:t>
            </w:r>
          </w:p>
        </w:tc>
        <w:tc>
          <w:tcPr>
            <w:tcW w:type="dxa" w:w="3408"/>
            <w:vAlign w:val="center"/>
          </w:tcPr>
          <w:p>
            <w:r/>
            <w:r>
              <w:rPr>
                <w:b w:val="0"/>
                <w:sz w:val="17"/>
              </w:rPr>
              <w:t>Monitoring, registry, rollback, retraining</w:t>
            </w:r>
          </w:p>
        </w:tc>
        <w:tc>
          <w:tcPr>
            <w:tcW w:type="dxa" w:w="3408"/>
            <w:vAlign w:val="center"/>
          </w:tcPr>
          <w:p>
            <w:r/>
            <w:r>
              <w:rPr>
                <w:b w:val="0"/>
                <w:sz w:val="17"/>
              </w:rPr>
              <w:t>Deployment approval</w:t>
            </w:r>
          </w:p>
        </w:tc>
      </w:tr>
      <w:tr>
        <w:tc>
          <w:tcPr>
            <w:tcW w:type="dxa" w:w="3408"/>
            <w:vAlign w:val="center"/>
          </w:tcPr>
          <w:p>
            <w:r/>
            <w:r>
              <w:rPr>
                <w:b w:val="0"/>
                <w:sz w:val="17"/>
              </w:rPr>
              <w:t>12. Feedback learning</w:t>
            </w:r>
          </w:p>
        </w:tc>
        <w:tc>
          <w:tcPr>
            <w:tcW w:type="dxa" w:w="3408"/>
            <w:vAlign w:val="center"/>
          </w:tcPr>
          <w:p>
            <w:r/>
            <w:r>
              <w:rPr>
                <w:b w:val="0"/>
                <w:sz w:val="17"/>
              </w:rPr>
              <w:t>Outcome store + future supervised pipeline</w:t>
            </w:r>
          </w:p>
        </w:tc>
        <w:tc>
          <w:tcPr>
            <w:tcW w:type="dxa" w:w="3408"/>
            <w:vAlign w:val="center"/>
          </w:tcPr>
          <w:p>
            <w:r/>
            <w:r>
              <w:rPr>
                <w:b w:val="0"/>
                <w:sz w:val="17"/>
              </w:rPr>
              <w:t>Label quality gate</w:t>
            </w:r>
          </w:p>
        </w:tc>
      </w:tr>
    </w:tbl>
    <w:p>
      <w:pPr>
        <w:pStyle w:val="Heading1"/>
      </w:pPr>
      <w:r>
        <w:t>21. AGENT OUTPUT FORMAT AT EVERY PHASE</w:t>
      </w:r>
    </w:p>
    <w:p>
      <w:r>
        <w:t>At the end of every phase, the AI agent must return a structured report containing: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Section</w:t>
            </w:r>
          </w:p>
        </w:tc>
        <w:tc>
          <w:tcPr>
            <w:tcW w:type="dxa" w:w="5112"/>
            <w:vAlign w:val="center"/>
            <w:shd w:fill="D9EAF7"/>
          </w:tcPr>
          <w:p>
            <w:r/>
            <w:r>
              <w:rPr>
                <w:b/>
                <w:sz w:val="17"/>
              </w:rPr>
              <w:t>Required content</w:t>
            </w:r>
          </w:p>
        </w:tc>
      </w:tr>
      <w:tr>
        <w:tc>
          <w:tcPr>
            <w:tcW w:type="dxa" w:w="5112"/>
            <w:vAlign w:val="center"/>
          </w:tcPr>
          <w:p>
            <w:r/>
            <w:r>
              <w:rPr>
                <w:b w:val="0"/>
                <w:sz w:val="17"/>
              </w:rPr>
              <w:t>Status</w:t>
            </w:r>
          </w:p>
        </w:tc>
        <w:tc>
          <w:tcPr>
            <w:tcW w:type="dxa" w:w="5112"/>
            <w:vAlign w:val="center"/>
          </w:tcPr>
          <w:p>
            <w:r/>
            <w:r>
              <w:rPr>
                <w:b w:val="0"/>
                <w:sz w:val="17"/>
              </w:rPr>
              <w:t>PASS / PASS WITH WARNINGS / FAIL</w:t>
            </w:r>
          </w:p>
        </w:tc>
      </w:tr>
      <w:tr>
        <w:tc>
          <w:tcPr>
            <w:tcW w:type="dxa" w:w="5112"/>
            <w:vAlign w:val="center"/>
          </w:tcPr>
          <w:p>
            <w:r/>
            <w:r>
              <w:rPr>
                <w:b w:val="0"/>
                <w:sz w:val="17"/>
              </w:rPr>
              <w:t>Objective</w:t>
            </w:r>
          </w:p>
        </w:tc>
        <w:tc>
          <w:tcPr>
            <w:tcW w:type="dxa" w:w="5112"/>
            <w:vAlign w:val="center"/>
          </w:tcPr>
          <w:p>
            <w:r/>
            <w:r>
              <w:rPr>
                <w:b w:val="0"/>
                <w:sz w:val="17"/>
              </w:rPr>
              <w:t>What was supposed to be achieved</w:t>
            </w:r>
          </w:p>
        </w:tc>
      </w:tr>
      <w:tr>
        <w:tc>
          <w:tcPr>
            <w:tcW w:type="dxa" w:w="5112"/>
            <w:vAlign w:val="center"/>
          </w:tcPr>
          <w:p>
            <w:r/>
            <w:r>
              <w:rPr>
                <w:b w:val="0"/>
                <w:sz w:val="17"/>
              </w:rPr>
              <w:t>Implemented</w:t>
            </w:r>
          </w:p>
        </w:tc>
        <w:tc>
          <w:tcPr>
            <w:tcW w:type="dxa" w:w="5112"/>
            <w:vAlign w:val="center"/>
          </w:tcPr>
          <w:p>
            <w:r/>
            <w:r>
              <w:rPr>
                <w:b w:val="0"/>
                <w:sz w:val="17"/>
              </w:rPr>
              <w:t>Exact files/modules changed</w:t>
            </w:r>
          </w:p>
        </w:tc>
      </w:tr>
      <w:tr>
        <w:tc>
          <w:tcPr>
            <w:tcW w:type="dxa" w:w="5112"/>
            <w:vAlign w:val="center"/>
          </w:tcPr>
          <w:p>
            <w:r/>
            <w:r>
              <w:rPr>
                <w:b w:val="0"/>
                <w:sz w:val="17"/>
              </w:rPr>
              <w:t>Data used</w:t>
            </w:r>
          </w:p>
        </w:tc>
        <w:tc>
          <w:tcPr>
            <w:tcW w:type="dxa" w:w="5112"/>
            <w:vAlign w:val="center"/>
          </w:tcPr>
          <w:p>
            <w:r/>
            <w:r>
              <w:rPr>
                <w:b w:val="0"/>
                <w:sz w:val="17"/>
              </w:rPr>
              <w:t>Dataset version and row counts</w:t>
            </w:r>
          </w:p>
        </w:tc>
      </w:tr>
      <w:tr>
        <w:tc>
          <w:tcPr>
            <w:tcW w:type="dxa" w:w="5112"/>
            <w:vAlign w:val="center"/>
          </w:tcPr>
          <w:p>
            <w:r/>
            <w:r>
              <w:rPr>
                <w:b w:val="0"/>
                <w:sz w:val="17"/>
              </w:rPr>
              <w:t>Experiments</w:t>
            </w:r>
          </w:p>
        </w:tc>
        <w:tc>
          <w:tcPr>
            <w:tcW w:type="dxa" w:w="5112"/>
            <w:vAlign w:val="center"/>
          </w:tcPr>
          <w:p>
            <w:r/>
            <w:r>
              <w:rPr>
                <w:b w:val="0"/>
                <w:sz w:val="17"/>
              </w:rPr>
              <w:t>Experiment IDs and configurations</w:t>
            </w:r>
          </w:p>
        </w:tc>
      </w:tr>
      <w:tr>
        <w:tc>
          <w:tcPr>
            <w:tcW w:type="dxa" w:w="5112"/>
            <w:vAlign w:val="center"/>
          </w:tcPr>
          <w:p>
            <w:r/>
            <w:r>
              <w:rPr>
                <w:b w:val="0"/>
                <w:sz w:val="17"/>
              </w:rPr>
              <w:t>Results</w:t>
            </w:r>
          </w:p>
        </w:tc>
        <w:tc>
          <w:tcPr>
            <w:tcW w:type="dxa" w:w="5112"/>
            <w:vAlign w:val="center"/>
          </w:tcPr>
          <w:p>
            <w:r/>
            <w:r>
              <w:rPr>
                <w:b w:val="0"/>
                <w:sz w:val="17"/>
              </w:rPr>
              <w:t>Quantitative findings and plots/tables</w:t>
            </w:r>
          </w:p>
        </w:tc>
      </w:tr>
      <w:tr>
        <w:tc>
          <w:tcPr>
            <w:tcW w:type="dxa" w:w="5112"/>
            <w:vAlign w:val="center"/>
          </w:tcPr>
          <w:p>
            <w:r/>
            <w:r>
              <w:rPr>
                <w:b w:val="0"/>
                <w:sz w:val="17"/>
              </w:rPr>
              <w:t>Validation</w:t>
            </w:r>
          </w:p>
        </w:tc>
        <w:tc>
          <w:tcPr>
            <w:tcW w:type="dxa" w:w="5112"/>
            <w:vAlign w:val="center"/>
          </w:tcPr>
          <w:p>
            <w:r/>
            <w:r>
              <w:rPr>
                <w:b w:val="0"/>
                <w:sz w:val="17"/>
              </w:rPr>
              <w:t>How leakage and grouping were controlled</w:t>
            </w:r>
          </w:p>
        </w:tc>
      </w:tr>
      <w:tr>
        <w:tc>
          <w:tcPr>
            <w:tcW w:type="dxa" w:w="5112"/>
            <w:vAlign w:val="center"/>
          </w:tcPr>
          <w:p>
            <w:r/>
            <w:r>
              <w:rPr>
                <w:b w:val="0"/>
                <w:sz w:val="17"/>
              </w:rPr>
              <w:t>Issues</w:t>
            </w:r>
          </w:p>
        </w:tc>
        <w:tc>
          <w:tcPr>
            <w:tcW w:type="dxa" w:w="5112"/>
            <w:vAlign w:val="center"/>
          </w:tcPr>
          <w:p>
            <w:r/>
            <w:r>
              <w:rPr>
                <w:b w:val="0"/>
                <w:sz w:val="17"/>
              </w:rPr>
              <w:t>Known limitations and failed tests</w:t>
            </w:r>
          </w:p>
        </w:tc>
      </w:tr>
      <w:tr>
        <w:tc>
          <w:tcPr>
            <w:tcW w:type="dxa" w:w="5112"/>
            <w:vAlign w:val="center"/>
          </w:tcPr>
          <w:p>
            <w:r/>
            <w:r>
              <w:rPr>
                <w:b w:val="0"/>
                <w:sz w:val="17"/>
              </w:rPr>
              <w:t>Decision</w:t>
            </w:r>
          </w:p>
        </w:tc>
        <w:tc>
          <w:tcPr>
            <w:tcW w:type="dxa" w:w="5112"/>
            <w:vAlign w:val="center"/>
          </w:tcPr>
          <w:p>
            <w:r/>
            <w:r>
              <w:rPr>
                <w:b w:val="0"/>
                <w:sz w:val="17"/>
              </w:rPr>
              <w:t>What should happen next</w:t>
            </w:r>
          </w:p>
        </w:tc>
      </w:tr>
      <w:tr>
        <w:tc>
          <w:tcPr>
            <w:tcW w:type="dxa" w:w="5112"/>
            <w:vAlign w:val="center"/>
          </w:tcPr>
          <w:p>
            <w:r/>
            <w:r>
              <w:rPr>
                <w:b w:val="0"/>
                <w:sz w:val="17"/>
              </w:rPr>
              <w:t>Artifacts</w:t>
            </w:r>
          </w:p>
        </w:tc>
        <w:tc>
          <w:tcPr>
            <w:tcW w:type="dxa" w:w="5112"/>
            <w:vAlign w:val="center"/>
          </w:tcPr>
          <w:p>
            <w:r/>
            <w:r>
              <w:rPr>
                <w:b w:val="0"/>
                <w:sz w:val="17"/>
              </w:rPr>
              <w:t>Paths to reports, models, datasets and logs</w:t>
            </w:r>
          </w:p>
        </w:tc>
      </w:tr>
      <w:tr>
        <w:tc>
          <w:tcPr>
            <w:tcW w:type="dxa" w:w="5112"/>
            <w:vAlign w:val="center"/>
          </w:tcPr>
          <w:p>
            <w:r/>
            <w:r>
              <w:rPr>
                <w:b w:val="0"/>
                <w:sz w:val="17"/>
              </w:rPr>
              <w:t>Approval gate</w:t>
            </w:r>
          </w:p>
        </w:tc>
        <w:tc>
          <w:tcPr>
            <w:tcW w:type="dxa" w:w="5112"/>
            <w:vAlign w:val="center"/>
          </w:tcPr>
          <w:p>
            <w:r/>
            <w:r>
              <w:rPr>
                <w:b w:val="0"/>
                <w:sz w:val="17"/>
              </w:rPr>
              <w:t>Explicit question for human approval</w:t>
            </w:r>
          </w:p>
        </w:tc>
      </w:tr>
    </w:tbl>
    <w:p>
      <w:r>
        <w:t>The agent must stop after a phase when a human approval gate is required. It must not continue automatically.</w:t>
      </w:r>
    </w:p>
    <w:p>
      <w:pPr>
        <w:pStyle w:val="Heading1"/>
      </w:pPr>
      <w:r>
        <w:t>22. DEFINITION OF DONE FOR THE POC</w:t>
      </w:r>
    </w:p>
    <w:p>
      <w:pPr>
        <w:pStyle w:val="ListBullet"/>
      </w:pPr>
      <w:r>
        <w:t>The three alert types are supported.</w:t>
      </w:r>
    </w:p>
    <w:p>
      <w:pPr>
        <w:pStyle w:val="ListBullet"/>
      </w:pPr>
      <w:r>
        <w:t>The current XLSX can be processed end-to-end.</w:t>
      </w:r>
    </w:p>
    <w:p>
      <w:pPr>
        <w:pStyle w:val="ListBullet"/>
      </w:pPr>
      <w:r>
        <w:t>No LLM or paid AI API is required.</w:t>
      </w:r>
    </w:p>
    <w:p>
      <w:pPr>
        <w:pStyle w:val="ListBullet"/>
      </w:pPr>
      <w:r>
        <w:t>No hardcoded matching-weight decision engine exists.</w:t>
      </w:r>
    </w:p>
    <w:p>
      <w:pPr>
        <w:pStyle w:val="ListBullet"/>
      </w:pPr>
      <w:r>
        <w:t>No post-review leakage fields enter live inference.</w:t>
      </w:r>
    </w:p>
    <w:p>
      <w:pPr>
        <w:pStyle w:val="ListBullet"/>
      </w:pPr>
      <w:r>
        <w:t>Duplicate and repeated-entity leakage is controlled.</w:t>
      </w:r>
    </w:p>
    <w:p>
      <w:pPr>
        <w:pStyle w:val="ListBullet"/>
      </w:pPr>
      <w:r>
        <w:t>Entity and transaction pipelines are separated.</w:t>
      </w:r>
    </w:p>
    <w:p>
      <w:pPr>
        <w:pStyle w:val="ListBullet"/>
      </w:pPr>
      <w:r>
        <w:t>At least Isolation Forest and Autoencoder have been fairly benchmarked.</w:t>
      </w:r>
    </w:p>
    <w:p>
      <w:pPr>
        <w:pStyle w:val="ListBullet"/>
      </w:pPr>
      <w:r>
        <w:t>A champion model is selected using documented evidence.</w:t>
      </w:r>
    </w:p>
    <w:p>
      <w:pPr>
        <w:pStyle w:val="ListBullet"/>
      </w:pPr>
      <w:r>
        <w:t>Historical replay is reproducible.</w:t>
      </w:r>
    </w:p>
    <w:p>
      <w:pPr>
        <w:pStyle w:val="ListBullet"/>
      </w:pPr>
      <w:r>
        <w:t>Top-N novelty ranking can be demonstrated.</w:t>
      </w:r>
    </w:p>
    <w:p>
      <w:pPr>
        <w:pStyle w:val="ListBullet"/>
      </w:pPr>
      <w:r>
        <w:t>Customer-specific historical context is demonstrated where data permits.</w:t>
      </w:r>
    </w:p>
    <w:p>
      <w:pPr>
        <w:pStyle w:val="ListBullet"/>
      </w:pPr>
      <w:r>
        <w:t>Rule-specific analysis is demonstrated.</w:t>
      </w:r>
    </w:p>
    <w:p>
      <w:pPr>
        <w:pStyle w:val="ListBullet"/>
      </w:pPr>
      <w:r>
        <w:t>The scoring API works for single and batch alerts.</w:t>
      </w:r>
    </w:p>
    <w:p>
      <w:pPr>
        <w:pStyle w:val="ListBullet"/>
      </w:pPr>
      <w:r>
        <w:t>Every score is auditable and versioned.</w:t>
      </w:r>
    </w:p>
    <w:p>
      <w:pPr>
        <w:pStyle w:val="ListBullet"/>
      </w:pPr>
      <w:r>
        <w:t>The dashboard demonstrates the client's future workflow.</w:t>
      </w:r>
    </w:p>
    <w:p>
      <w:pPr>
        <w:pStyle w:val="ListBullet"/>
      </w:pPr>
      <w:r>
        <w:t>Feedback can be recorded.</w:t>
      </w:r>
    </w:p>
    <w:p>
      <w:pPr>
        <w:pStyle w:val="ListBullet"/>
      </w:pPr>
      <w:r>
        <w:t>Monitoring and retraining foundations exist.</w:t>
      </w:r>
    </w:p>
    <w:p>
      <w:pPr>
        <w:pStyle w:val="ListBullet"/>
      </w:pPr>
      <w:r>
        <w:t>A final PoC report clearly separates demonstrated evidence from unsupported claims.</w:t>
      </w:r>
    </w:p>
    <w:p>
      <w:pPr>
        <w:pStyle w:val="Heading1"/>
      </w:pPr>
      <w:r>
        <w:t>23. CLIENT-FACING CLAIMS WE ARE ALLOWED TO MAKE</w:t>
      </w:r>
    </w:p>
    <w:p>
      <w:pPr>
        <w:pStyle w:val="ListBullet"/>
      </w:pPr>
      <w:r>
        <w:t>The current dataset is sufficient to demonstrate an ML-based alert intelligence PoC.</w:t>
      </w:r>
    </w:p>
    <w:p>
      <w:pPr>
        <w:pStyle w:val="ListBullet"/>
      </w:pPr>
      <w:r>
        <w:t>The engine can learn historical structure without requiring a complete labelled true/false dataset.</w:t>
      </w:r>
    </w:p>
    <w:p>
      <w:pPr>
        <w:pStyle w:val="ListBullet"/>
      </w:pPr>
      <w:r>
        <w:t>The engine can score novelty and prioritize alerts for review.</w:t>
      </w:r>
    </w:p>
    <w:p>
      <w:pPr>
        <w:pStyle w:val="ListBullet"/>
      </w:pPr>
      <w:r>
        <w:t>The engine can use customer and transaction history where available.</w:t>
      </w:r>
    </w:p>
    <w:p>
      <w:pPr>
        <w:pStyle w:val="ListBullet"/>
      </w:pPr>
      <w:r>
        <w:t>The architecture does not require an LLM or paid per-alert AI API.</w:t>
      </w:r>
    </w:p>
    <w:p>
      <w:pPr>
        <w:pStyle w:val="ListBullet"/>
      </w:pPr>
      <w:r>
        <w:t>The architecture can evolve as additional production data and confirmed outcomes arrive.</w:t>
      </w:r>
    </w:p>
    <w:p>
      <w:r>
        <w:t>Claims we must NOT make from the current workbook:</w:t>
      </w:r>
    </w:p>
    <w:p>
      <w:pPr>
        <w:pStyle w:val="ListBullet"/>
      </w:pPr>
      <w:r>
        <w:t>A verified true-match classification accuracy.</w:t>
      </w:r>
    </w:p>
    <w:p>
      <w:pPr>
        <w:pStyle w:val="ListBullet"/>
      </w:pPr>
      <w:r>
        <w:t>A verified false-positive classification accuracy.</w:t>
      </w:r>
    </w:p>
    <w:p>
      <w:pPr>
        <w:pStyle w:val="ListBullet"/>
      </w:pPr>
      <w:r>
        <w:t>That UPS is a true-match label.</w:t>
      </w:r>
    </w:p>
    <w:p>
      <w:pPr>
        <w:pStyle w:val="ListBullet"/>
      </w:pPr>
      <w:r>
        <w:t>That every Released alert is a confirmed false positive.</w:t>
      </w:r>
    </w:p>
    <w:p>
      <w:pPr>
        <w:pStyle w:val="ListBullet"/>
      </w:pPr>
      <w:r>
        <w:t>That anomaly score is a calibrated probability.</w:t>
      </w:r>
    </w:p>
    <w:p>
      <w:pPr>
        <w:pStyle w:val="ListBullet"/>
      </w:pPr>
      <w:r>
        <w:t>That autonomous release is production-safe based on the current sample alone.</w:t>
      </w:r>
    </w:p>
    <w:p>
      <w:pPr>
        <w:pStyle w:val="Heading1"/>
      </w:pPr>
      <w:r>
        <w:t>24. MASTER PROMPT TO THE AI DEVELOPMENT AGENT</w:t>
      </w:r>
    </w:p>
    <w:p>
      <w:r>
        <w:rPr>
          <w:rFonts w:ascii="Courier New" w:hAnsi="Courier New"/>
          <w:sz w:val="16"/>
        </w:rPr>
        <w:t>You are the senior ML engineer and production Python engineer responsible for implementing the Alert Intelligence Engine described in this document.</w:t>
        <w:br/>
        <w:br/>
        <w:t>Your job is to execute the project phase-by-phase, not to jump directly into model coding.</w:t>
        <w:br/>
        <w:br/>
        <w:t>First inspect the repository, existing files, environment, and client dataset. Never assume architecture, field meaning, or labels that you have not verified.</w:t>
        <w:br/>
        <w:br/>
        <w:t>Core requirements:</w:t>
        <w:br/>
        <w:t>1. No LLM.</w:t>
        <w:br/>
        <w:t>2. No OpenAI/Claude/Gemini or paid AI inference APIs.</w:t>
        <w:br/>
        <w:t>3. No manually weighted heuristic matching engine.</w:t>
        <w:br/>
        <w:t>4. Initial ML formulation is unsupervised/self-supervised.</w:t>
        <w:br/>
        <w:t>5. Separate Entity Intelligence from Transaction Intelligence.</w:t>
        <w:br/>
        <w:t>6. Customer Name and Transaction Name alerts use the Entity pipeline.</w:t>
        <w:br/>
        <w:t>7. Transaction Rule alerts use the Transaction pipeline.</w:t>
        <w:br/>
        <w:t>8. Candidate models are Isolation Forest and Autoencoder, with LOF/One-Class SVM as benchmarks where useful.</w:t>
        <w:br/>
        <w:t>9. Isolation Forest is the starting candidate, not the pre-declared winner.</w:t>
        <w:br/>
        <w:t>10. Select the champion only from leakage-controlled experiments.</w:t>
        <w:br/>
        <w:t>11. Never treat Released/UPS/Followup as ground-truth labels without validated evidence.</w:t>
        <w:br/>
        <w:t>12. Never use post-review comments, closure information, or human decisions as live features.</w:t>
        <w:br/>
        <w:t>13. Use customer/entity/transaction grouping and time-forward validation.</w:t>
        <w:br/>
        <w:t>14. Never fabricate missing data.</w:t>
        <w:br/>
        <w:t>15. Do not depend on POB because it is absent in the current sample.</w:t>
        <w:br/>
        <w:t>16. Do not make production transaction amount depend on parsing comments; use structured source data when available.</w:t>
        <w:br/>
        <w:t>17. Version datasets, schemas, features and models.</w:t>
        <w:br/>
        <w:t>18. Make all environment-specific configuration external.</w:t>
        <w:br/>
        <w:t>19. Test every stage.</w:t>
        <w:br/>
        <w:t>20. Stop at human approval gates.</w:t>
        <w:br/>
        <w:br/>
        <w:t>Execution protocol:</w:t>
        <w:br/>
        <w:t>- Phase 0: inspect repository and establish environment.</w:t>
        <w:br/>
        <w:t>- Phase 1: audit the client data.</w:t>
        <w:br/>
        <w:t>- Phase 2: implement validated normalization.</w:t>
        <w:br/>
        <w:t>- Phase 3: build entity representations.</w:t>
        <w:br/>
        <w:t>- Phase 4: build transaction representations.</w:t>
        <w:br/>
        <w:t>- Phase 5: run entity model experiments.</w:t>
        <w:br/>
        <w:t>- Phase 6: run transaction model experiments.</w:t>
        <w:br/>
        <w:t>- Phase 7: perform historical replay and validation.</w:t>
        <w:br/>
        <w:t>- Phase 8: select champions and create model cards.</w:t>
        <w:br/>
        <w:t>- Phase 9: implement FastAPI scoring and batch scoring.</w:t>
        <w:br/>
        <w:t>- Phase 10: implement the demonstration dashboard.</w:t>
        <w:br/>
        <w:t>- Phase 11: implement feedback, monitoring and model registry foundations.</w:t>
        <w:br/>
        <w:t>- Phase 12: produce final PoC report and deployment handover.</w:t>
        <w:br/>
        <w:br/>
        <w:t>At the end of every phase:</w:t>
        <w:br/>
        <w:t>- report PASS/PASS WITH WARNINGS/FAIL;</w:t>
        <w:br/>
        <w:t>- list exact files changed;</w:t>
        <w:br/>
        <w:t>- list data/model versions;</w:t>
        <w:br/>
        <w:t>- show quantitative results;</w:t>
        <w:br/>
        <w:t>- show validation and leakage checks;</w:t>
        <w:br/>
        <w:t>- list failures and limitations;</w:t>
        <w:br/>
        <w:t>- provide artifact paths;</w:t>
        <w:br/>
        <w:t>- state the next gate;</w:t>
        <w:br/>
        <w:t>- stop if human approval is required.</w:t>
        <w:br/>
        <w:br/>
        <w:t>Never hide a failed experiment. Never inflate a metric. Never claim supervised performance without trustworthy labels. If the data cannot support a conclusion, say so and propose the smallest experiment needed to resolve it.</w:t>
      </w:r>
    </w:p>
    <w:p>
      <w:pPr>
        <w:pStyle w:val="Heading1"/>
      </w:pPr>
      <w:r>
        <w:t>25. FIRST COMMAND TO THE AGENT</w:t>
      </w:r>
    </w:p>
    <w:p>
      <w:r>
        <w:t>Do not begin model training. Begin with repository and data discovery. The first response from the agent must be a Phase 0/Phase 1 readiness report identifying the exact dataset path, project structure, Python environment, installed dependencies, available compute, existing code, existing model artifacts, and the proposed data-audit execution plan. Only after that report is reviewed should implementation begin.</w:t>
      </w:r>
    </w:p>
    <w:p/>
    <w:p>
      <w:pPr>
        <w:jc w:val="center"/>
      </w:pPr>
      <w:r>
        <w:rPr>
          <w:b/>
        </w:rPr>
        <w:t>END OF MASTER DEVELOPMENT PLAN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