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ALERT INTELLIGENCE ENGINE</w:t>
      </w:r>
    </w:p>
    <w:p>
      <w:pPr>
        <w:jc w:val="center"/>
      </w:pPr>
      <w:r>
        <w:rPr>
          <w:b/>
          <w:sz w:val="30"/>
        </w:rPr>
        <w:t>Data Science Audit &amp; Unsupervised / Self-Supervised ML Feasibility Report</w:t>
      </w:r>
    </w:p>
    <w:p>
      <w:pPr>
        <w:jc w:val="center"/>
      </w:pPr>
      <w:r>
        <w:rPr>
          <w:sz w:val="21"/>
        </w:rPr>
        <w:br/>
        <w:t>Prepared from the client-provided Alerts_Samples.xlsx and the existing Alert Automation Project Design.</w:t>
        <w:br/>
      </w:r>
      <w:r>
        <w:rPr>
          <w:sz w:val="21"/>
        </w:rPr>
        <w:t>Date: 11 August 2026</w:t>
      </w:r>
    </w:p>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Source</w:t>
            </w:r>
          </w:p>
        </w:tc>
        <w:tc>
          <w:tcPr>
            <w:tcW w:type="dxa" w:w="3408"/>
            <w:vAlign w:val="center"/>
            <w:shd w:fill="D9EAF7"/>
          </w:tcPr>
          <w:p>
            <w:r/>
            <w:r>
              <w:rPr>
                <w:b/>
                <w:sz w:val="18"/>
              </w:rPr>
              <w:t>Records</w:t>
            </w:r>
          </w:p>
        </w:tc>
        <w:tc>
          <w:tcPr>
            <w:tcW w:type="dxa" w:w="3408"/>
            <w:vAlign w:val="center"/>
            <w:shd w:fill="D9EAF7"/>
          </w:tcPr>
          <w:p>
            <w:r/>
            <w:r>
              <w:rPr>
                <w:b/>
                <w:sz w:val="18"/>
              </w:rPr>
              <w:t>Purpose</w:t>
            </w:r>
          </w:p>
        </w:tc>
      </w:tr>
      <w:tr>
        <w:tc>
          <w:tcPr>
            <w:tcW w:type="dxa" w:w="3408"/>
            <w:vAlign w:val="center"/>
          </w:tcPr>
          <w:p>
            <w:r/>
            <w:r>
              <w:rPr>
                <w:b w:val="0"/>
                <w:sz w:val="18"/>
              </w:rPr>
              <w:t>CustomerViolation</w:t>
            </w:r>
          </w:p>
        </w:tc>
        <w:tc>
          <w:tcPr>
            <w:tcW w:type="dxa" w:w="3408"/>
            <w:vAlign w:val="center"/>
          </w:tcPr>
          <w:p>
            <w:r/>
            <w:r>
              <w:rPr>
                <w:b w:val="0"/>
                <w:sz w:val="18"/>
              </w:rPr>
              <w:t>2,397</w:t>
            </w:r>
          </w:p>
        </w:tc>
        <w:tc>
          <w:tcPr>
            <w:tcW w:type="dxa" w:w="3408"/>
            <w:vAlign w:val="center"/>
          </w:tcPr>
          <w:p>
            <w:r/>
            <w:r>
              <w:rPr>
                <w:b w:val="0"/>
                <w:sz w:val="18"/>
              </w:rPr>
              <w:t>Customer / onboarding / ongoing name alerts</w:t>
            </w:r>
          </w:p>
        </w:tc>
      </w:tr>
      <w:tr>
        <w:tc>
          <w:tcPr>
            <w:tcW w:type="dxa" w:w="3408"/>
            <w:vAlign w:val="center"/>
          </w:tcPr>
          <w:p>
            <w:r/>
            <w:r>
              <w:rPr>
                <w:b w:val="0"/>
                <w:sz w:val="18"/>
              </w:rPr>
              <w:t>TransactionNameViolation</w:t>
            </w:r>
          </w:p>
        </w:tc>
        <w:tc>
          <w:tcPr>
            <w:tcW w:type="dxa" w:w="3408"/>
            <w:vAlign w:val="center"/>
          </w:tcPr>
          <w:p>
            <w:r/>
            <w:r>
              <w:rPr>
                <w:b w:val="0"/>
                <w:sz w:val="18"/>
              </w:rPr>
              <w:t>2,000</w:t>
            </w:r>
          </w:p>
        </w:tc>
        <w:tc>
          <w:tcPr>
            <w:tcW w:type="dxa" w:w="3408"/>
            <w:vAlign w:val="center"/>
          </w:tcPr>
          <w:p>
            <w:r/>
            <w:r>
              <w:rPr>
                <w:b w:val="0"/>
                <w:sz w:val="18"/>
              </w:rPr>
              <w:t>Transaction-party name screening alerts</w:t>
            </w:r>
          </w:p>
        </w:tc>
      </w:tr>
      <w:tr>
        <w:tc>
          <w:tcPr>
            <w:tcW w:type="dxa" w:w="3408"/>
            <w:vAlign w:val="center"/>
          </w:tcPr>
          <w:p>
            <w:r/>
            <w:r>
              <w:rPr>
                <w:b w:val="0"/>
                <w:sz w:val="18"/>
              </w:rPr>
              <w:t>Rule</w:t>
            </w:r>
          </w:p>
        </w:tc>
        <w:tc>
          <w:tcPr>
            <w:tcW w:type="dxa" w:w="3408"/>
            <w:vAlign w:val="center"/>
          </w:tcPr>
          <w:p>
            <w:r/>
            <w:r>
              <w:rPr>
                <w:b w:val="0"/>
                <w:sz w:val="18"/>
              </w:rPr>
              <w:t>2,244</w:t>
            </w:r>
          </w:p>
        </w:tc>
        <w:tc>
          <w:tcPr>
            <w:tcW w:type="dxa" w:w="3408"/>
            <w:vAlign w:val="center"/>
          </w:tcPr>
          <w:p>
            <w:r/>
            <w:r>
              <w:rPr>
                <w:b w:val="0"/>
                <w:sz w:val="18"/>
              </w:rPr>
              <w:t>Transaction monitoring / rule alerts</w:t>
            </w:r>
          </w:p>
        </w:tc>
      </w:tr>
      <w:tr>
        <w:tc>
          <w:tcPr>
            <w:tcW w:type="dxa" w:w="3408"/>
            <w:vAlign w:val="center"/>
          </w:tcPr>
          <w:p>
            <w:r/>
            <w:r>
              <w:rPr>
                <w:b w:val="0"/>
                <w:sz w:val="18"/>
              </w:rPr>
              <w:t>Total</w:t>
            </w:r>
          </w:p>
        </w:tc>
        <w:tc>
          <w:tcPr>
            <w:tcW w:type="dxa" w:w="3408"/>
            <w:vAlign w:val="center"/>
          </w:tcPr>
          <w:p>
            <w:r/>
            <w:r>
              <w:rPr>
                <w:b w:val="0"/>
                <w:sz w:val="18"/>
              </w:rPr>
              <w:t>6,641</w:t>
            </w:r>
          </w:p>
        </w:tc>
        <w:tc>
          <w:tcPr>
            <w:tcW w:type="dxa" w:w="3408"/>
            <w:vAlign w:val="center"/>
          </w:tcPr>
          <w:p>
            <w:r/>
            <w:r>
              <w:rPr>
                <w:b w:val="0"/>
                <w:sz w:val="18"/>
              </w:rPr>
              <w:t>Current proof-of-concept sample</w:t>
            </w:r>
          </w:p>
        </w:tc>
      </w:tr>
    </w:tbl>
    <w:p>
      <w:pPr>
        <w:jc w:val="center"/>
      </w:pPr>
      <w:r>
        <w:rPr>
          <w:i/>
          <w:sz w:val="18"/>
        </w:rPr>
        <w:br/>
        <w:t>Confidential - Technical Feasibility &amp; PoC Design</w:t>
      </w:r>
    </w:p>
    <w:p>
      <w:r>
        <w:br w:type="page"/>
      </w:r>
    </w:p>
    <w:p>
      <w:pPr>
        <w:pStyle w:val="Heading1"/>
      </w:pPr>
      <w:r>
        <w:t>1. Executive Summary</w:t>
      </w:r>
    </w:p>
    <w:p>
      <w:r>
        <w:t>The client's problem should be treated as an ML-based Alert Intelligence problem rather than a single binary classification problem. The supplied workbook contains 6,641 historical alert records across three different alert families: customer name alerts, transaction name alerts, and transaction rule alerts.</w:t>
      </w:r>
    </w:p>
    <w:p>
      <w:r>
        <w:t>The current sample does not provide a trustworthy set of confirmed true-match labels. Operational statuses such as Released and UPS cannot safely be converted into TRUE/FALSE training labels because the compliance comments show that many UPS cases were also described as false positives. Therefore, a supervised classifier should not be the first production model.</w:t>
      </w:r>
    </w:p>
    <w:p>
      <w:r>
        <w:t>The recommended architecture is unsupervised-first and self-supervised where the data naturally provides relationships. It learns representations of entities and transaction behaviour, models normal historical patterns, scores novelty/anomaly, and produces a review recommendation. Future confirmed compliance outcomes are retained as feedback and can later support supervised calibration without replacing the unsupervised layer.</w:t>
      </w:r>
    </w:p>
    <w:p>
      <w:r>
        <w:t>No LLM, paid AI API, or per-alert model API is required. The core engine can run on client infrastructure using Python, scikit-learn/PyTorch, FastAPI, PostgreSQL, Redis where needed, and model/version monitoring.</w:t>
      </w:r>
    </w:p>
    <w:p>
      <w:pPr>
        <w:pStyle w:val="Heading2"/>
      </w:pPr>
      <w:r>
        <w:t>Executive Decision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Decision</w:t>
            </w:r>
          </w:p>
        </w:tc>
        <w:tc>
          <w:tcPr>
            <w:tcW w:type="dxa" w:w="5112"/>
            <w:vAlign w:val="center"/>
            <w:shd w:fill="D9EAF7"/>
          </w:tcPr>
          <w:p>
            <w:r/>
            <w:r>
              <w:rPr>
                <w:b/>
                <w:sz w:val="17"/>
              </w:rPr>
              <w:t>Recommendation</w:t>
            </w:r>
          </w:p>
        </w:tc>
      </w:tr>
      <w:tr>
        <w:tc>
          <w:tcPr>
            <w:tcW w:type="dxa" w:w="5112"/>
            <w:vAlign w:val="center"/>
          </w:tcPr>
          <w:p>
            <w:r/>
            <w:r>
              <w:rPr>
                <w:b w:val="0"/>
                <w:sz w:val="17"/>
              </w:rPr>
              <w:t>Can the current data support a PoC?</w:t>
            </w:r>
          </w:p>
        </w:tc>
        <w:tc>
          <w:tcPr>
            <w:tcW w:type="dxa" w:w="5112"/>
            <w:vAlign w:val="center"/>
          </w:tcPr>
          <w:p>
            <w:r/>
            <w:r>
              <w:rPr>
                <w:b w:val="0"/>
                <w:sz w:val="17"/>
              </w:rPr>
              <w:t>Yes</w:t>
            </w:r>
          </w:p>
        </w:tc>
      </w:tr>
      <w:tr>
        <w:tc>
          <w:tcPr>
            <w:tcW w:type="dxa" w:w="5112"/>
            <w:vAlign w:val="center"/>
          </w:tcPr>
          <w:p>
            <w:r/>
            <w:r>
              <w:rPr>
                <w:b w:val="0"/>
                <w:sz w:val="17"/>
              </w:rPr>
              <w:t>Can it support a trustworthy binary true-match classifier today?</w:t>
            </w:r>
          </w:p>
        </w:tc>
        <w:tc>
          <w:tcPr>
            <w:tcW w:type="dxa" w:w="5112"/>
            <w:vAlign w:val="center"/>
          </w:tcPr>
          <w:p>
            <w:r/>
            <w:r>
              <w:rPr>
                <w:b w:val="0"/>
                <w:sz w:val="17"/>
              </w:rPr>
              <w:t>No</w:t>
            </w:r>
          </w:p>
        </w:tc>
      </w:tr>
      <w:tr>
        <w:tc>
          <w:tcPr>
            <w:tcW w:type="dxa" w:w="5112"/>
            <w:vAlign w:val="center"/>
          </w:tcPr>
          <w:p>
            <w:r/>
            <w:r>
              <w:rPr>
                <w:b w:val="0"/>
                <w:sz w:val="17"/>
              </w:rPr>
              <w:t>Should anomaly detection be the initial learning strategy?</w:t>
            </w:r>
          </w:p>
        </w:tc>
        <w:tc>
          <w:tcPr>
            <w:tcW w:type="dxa" w:w="5112"/>
            <w:vAlign w:val="center"/>
          </w:tcPr>
          <w:p>
            <w:r/>
            <w:r>
              <w:rPr>
                <w:b w:val="0"/>
                <w:sz w:val="17"/>
              </w:rPr>
              <w:t>Yes</w:t>
            </w:r>
          </w:p>
        </w:tc>
      </w:tr>
      <w:tr>
        <w:tc>
          <w:tcPr>
            <w:tcW w:type="dxa" w:w="5112"/>
            <w:vAlign w:val="center"/>
          </w:tcPr>
          <w:p>
            <w:r/>
            <w:r>
              <w:rPr>
                <w:b w:val="0"/>
                <w:sz w:val="17"/>
              </w:rPr>
              <w:t>Should all three alert types use one model?</w:t>
            </w:r>
          </w:p>
        </w:tc>
        <w:tc>
          <w:tcPr>
            <w:tcW w:type="dxa" w:w="5112"/>
            <w:vAlign w:val="center"/>
          </w:tcPr>
          <w:p>
            <w:r/>
            <w:r>
              <w:rPr>
                <w:b w:val="0"/>
                <w:sz w:val="17"/>
              </w:rPr>
              <w:t>No</w:t>
            </w:r>
          </w:p>
        </w:tc>
      </w:tr>
      <w:tr>
        <w:tc>
          <w:tcPr>
            <w:tcW w:type="dxa" w:w="5112"/>
            <w:vAlign w:val="center"/>
          </w:tcPr>
          <w:p>
            <w:r/>
            <w:r>
              <w:rPr>
                <w:b w:val="0"/>
                <w:sz w:val="17"/>
              </w:rPr>
              <w:t>Should RapidFuzz/phonetic scores drive decisions?</w:t>
            </w:r>
          </w:p>
        </w:tc>
        <w:tc>
          <w:tcPr>
            <w:tcW w:type="dxa" w:w="5112"/>
            <w:vAlign w:val="center"/>
          </w:tcPr>
          <w:p>
            <w:r/>
            <w:r>
              <w:rPr>
                <w:b w:val="0"/>
                <w:sz w:val="17"/>
              </w:rPr>
              <w:t>No, not under the no-heuristics requirement</w:t>
            </w:r>
          </w:p>
        </w:tc>
      </w:tr>
      <w:tr>
        <w:tc>
          <w:tcPr>
            <w:tcW w:type="dxa" w:w="5112"/>
            <w:vAlign w:val="center"/>
          </w:tcPr>
          <w:p>
            <w:r/>
            <w:r>
              <w:rPr>
                <w:b w:val="0"/>
                <w:sz w:val="17"/>
              </w:rPr>
              <w:t>Is an LLM required?</w:t>
            </w:r>
          </w:p>
        </w:tc>
        <w:tc>
          <w:tcPr>
            <w:tcW w:type="dxa" w:w="5112"/>
            <w:vAlign w:val="center"/>
          </w:tcPr>
          <w:p>
            <w:r/>
            <w:r>
              <w:rPr>
                <w:b w:val="0"/>
                <w:sz w:val="17"/>
              </w:rPr>
              <w:t>No</w:t>
            </w:r>
          </w:p>
        </w:tc>
      </w:tr>
      <w:tr>
        <w:tc>
          <w:tcPr>
            <w:tcW w:type="dxa" w:w="5112"/>
            <w:vAlign w:val="center"/>
          </w:tcPr>
          <w:p>
            <w:r/>
            <w:r>
              <w:rPr>
                <w:b w:val="0"/>
                <w:sz w:val="17"/>
              </w:rPr>
              <w:t>Can the system improve when more unlabeled data arrives?</w:t>
            </w:r>
          </w:p>
        </w:tc>
        <w:tc>
          <w:tcPr>
            <w:tcW w:type="dxa" w:w="5112"/>
            <w:vAlign w:val="center"/>
          </w:tcPr>
          <w:p>
            <w:r/>
            <w:r>
              <w:rPr>
                <w:b w:val="0"/>
                <w:sz w:val="17"/>
              </w:rPr>
              <w:t>Yes, through continual unsupervised/self-supervised learning</w:t>
            </w:r>
          </w:p>
        </w:tc>
      </w:tr>
      <w:tr>
        <w:tc>
          <w:tcPr>
            <w:tcW w:type="dxa" w:w="5112"/>
            <w:vAlign w:val="center"/>
          </w:tcPr>
          <w:p>
            <w:r/>
            <w:r>
              <w:rPr>
                <w:b w:val="0"/>
                <w:sz w:val="17"/>
              </w:rPr>
              <w:t>Should future confirmed outcomes be used?</w:t>
            </w:r>
          </w:p>
        </w:tc>
        <w:tc>
          <w:tcPr>
            <w:tcW w:type="dxa" w:w="5112"/>
            <w:vAlign w:val="center"/>
          </w:tcPr>
          <w:p>
            <w:r/>
            <w:r>
              <w:rPr>
                <w:b w:val="0"/>
                <w:sz w:val="17"/>
              </w:rPr>
              <w:t>Yes, for validation and later supervised calibration</w:t>
            </w:r>
          </w:p>
        </w:tc>
      </w:tr>
    </w:tbl>
    <w:p>
      <w:pPr>
        <w:pStyle w:val="Heading1"/>
      </w:pPr>
      <w:r>
        <w:t>2. Problem Definition</w:t>
      </w:r>
    </w:p>
    <w:p>
      <w:r>
        <w:t>The client has consolidated alerts into three operational sources:</w:t>
      </w:r>
    </w:p>
    <w:p>
      <w:pPr>
        <w:pStyle w:val="ListBullet"/>
      </w:pPr>
      <w:r>
        <w:t>Customer Name Alerts - generated from registered Customers.</w:t>
      </w:r>
    </w:p>
    <w:p>
      <w:pPr>
        <w:pStyle w:val="ListBullet"/>
      </w:pPr>
      <w:r>
        <w:t>Transaction Name Alerts - generated from Transactions during screening.</w:t>
      </w:r>
    </w:p>
    <w:p>
      <w:pPr>
        <w:pStyle w:val="ListBullet"/>
      </w:pPr>
      <w:r>
        <w:t>Transaction Rule Alerts - generated from Transactions by transaction-monitoring rules.</w:t>
      </w:r>
    </w:p>
    <w:p>
      <w:r>
        <w:t>These are not identical ML problems. Customer and transaction name alerts primarily concern entity/watchlist relationship assessment. Rule alerts primarily concern transaction and customer behavioural abnormality. The solution therefore uses one common engine with separate ML pipelines.</w:t>
      </w:r>
    </w:p>
    <w:p>
      <w:pPr>
        <w:pStyle w:val="Heading2"/>
      </w:pPr>
      <w:r>
        <w:t>2.1 What the engine should answer</w:t>
      </w:r>
    </w:p>
    <w:p>
      <w:pPr>
        <w:pStyle w:val="ListBullet"/>
      </w:pPr>
      <w:r>
        <w:t>How unusual is this alert compared with the historical population?</w:t>
      </w:r>
    </w:p>
    <w:p>
      <w:pPr>
        <w:pStyle w:val="ListBullet"/>
      </w:pPr>
      <w:r>
        <w:t>How unusual is the alert relative to this customer's own historical behaviour?</w:t>
      </w:r>
    </w:p>
    <w:p>
      <w:pPr>
        <w:pStyle w:val="ListBullet"/>
      </w:pPr>
      <w:r>
        <w:t>How unusual is the entity/watchlist relationship compared with historical entity patterns?</w:t>
      </w:r>
    </w:p>
    <w:p>
      <w:pPr>
        <w:pStyle w:val="ListBullet"/>
      </w:pPr>
      <w:r>
        <w:t>Which alerts are sufficiently similar to historically normal patterns to be candidates for lower-touch handling?</w:t>
      </w:r>
    </w:p>
    <w:p>
      <w:pPr>
        <w:pStyle w:val="ListBullet"/>
      </w:pPr>
      <w:r>
        <w:t>Which alerts are novel or materially different and therefore require compliance review?</w:t>
      </w:r>
    </w:p>
    <w:p>
      <w:pPr>
        <w:pStyle w:val="Heading2"/>
      </w:pPr>
      <w:r>
        <w:t>2.2 What the engine should not claim from the current sample</w:t>
      </w:r>
    </w:p>
    <w:p>
      <w:pPr>
        <w:pStyle w:val="ListBullet"/>
      </w:pPr>
      <w:r>
        <w:t>It should not claim that Released means confirmed false positive.</w:t>
      </w:r>
    </w:p>
    <w:p>
      <w:pPr>
        <w:pStyle w:val="ListBullet"/>
      </w:pPr>
      <w:r>
        <w:t>It should not claim that UPS means confirmed true match.</w:t>
      </w:r>
    </w:p>
    <w:p>
      <w:pPr>
        <w:pStyle w:val="ListBullet"/>
      </w:pPr>
      <w:r>
        <w:t>It should not claim that an anomaly score is a probability of sanctions guilt.</w:t>
      </w:r>
    </w:p>
    <w:p>
      <w:pPr>
        <w:pStyle w:val="ListBullet"/>
      </w:pPr>
      <w:r>
        <w:t>It should not claim autonomous production release accuracy before confirmed outcome labels and prospective validation exist.</w:t>
      </w:r>
    </w:p>
    <w:p>
      <w:pPr>
        <w:pStyle w:val="Heading1"/>
      </w:pPr>
      <w:r>
        <w:t>3. Workbook Data Audit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Sheet</w:t>
            </w:r>
          </w:p>
        </w:tc>
        <w:tc>
          <w:tcPr>
            <w:tcW w:type="dxa" w:w="2045"/>
            <w:vAlign w:val="center"/>
            <w:shd w:fill="D9EAF7"/>
          </w:tcPr>
          <w:p>
            <w:r/>
            <w:r>
              <w:rPr>
                <w:b/>
                <w:sz w:val="17"/>
              </w:rPr>
              <w:t>Rows</w:t>
            </w:r>
          </w:p>
        </w:tc>
        <w:tc>
          <w:tcPr>
            <w:tcW w:type="dxa" w:w="2045"/>
            <w:vAlign w:val="center"/>
            <w:shd w:fill="D9EAF7"/>
          </w:tcPr>
          <w:p>
            <w:r/>
            <w:r>
              <w:rPr>
                <w:b/>
                <w:sz w:val="17"/>
              </w:rPr>
              <w:t>Columns</w:t>
            </w:r>
          </w:p>
        </w:tc>
        <w:tc>
          <w:tcPr>
            <w:tcW w:type="dxa" w:w="2045"/>
            <w:vAlign w:val="center"/>
            <w:shd w:fill="D9EAF7"/>
          </w:tcPr>
          <w:p>
            <w:r/>
            <w:r>
              <w:rPr>
                <w:b/>
                <w:sz w:val="17"/>
              </w:rPr>
              <w:t>Exact duplicates</w:t>
            </w:r>
          </w:p>
        </w:tc>
        <w:tc>
          <w:tcPr>
            <w:tcW w:type="dxa" w:w="2045"/>
            <w:vAlign w:val="center"/>
            <w:shd w:fill="D9EAF7"/>
          </w:tcPr>
          <w:p>
            <w:r/>
            <w:r>
              <w:rPr>
                <w:b/>
                <w:sz w:val="17"/>
              </w:rPr>
              <w:t>Primary ML role</w:t>
            </w:r>
          </w:p>
        </w:tc>
      </w:tr>
      <w:tr>
        <w:tc>
          <w:tcPr>
            <w:tcW w:type="dxa" w:w="2045"/>
            <w:vAlign w:val="center"/>
          </w:tcPr>
          <w:p>
            <w:r/>
            <w:r>
              <w:rPr>
                <w:b w:val="0"/>
                <w:sz w:val="17"/>
              </w:rPr>
              <w:t>CustomerViolation</w:t>
            </w:r>
          </w:p>
        </w:tc>
        <w:tc>
          <w:tcPr>
            <w:tcW w:type="dxa" w:w="2045"/>
            <w:vAlign w:val="center"/>
          </w:tcPr>
          <w:p>
            <w:r/>
            <w:r>
              <w:rPr>
                <w:b w:val="0"/>
                <w:sz w:val="17"/>
              </w:rPr>
              <w:t>2,397</w:t>
            </w:r>
          </w:p>
        </w:tc>
        <w:tc>
          <w:tcPr>
            <w:tcW w:type="dxa" w:w="2045"/>
            <w:vAlign w:val="center"/>
          </w:tcPr>
          <w:p>
            <w:r/>
            <w:r>
              <w:rPr>
                <w:b w:val="0"/>
                <w:sz w:val="17"/>
              </w:rPr>
              <w:t>23</w:t>
            </w:r>
          </w:p>
        </w:tc>
        <w:tc>
          <w:tcPr>
            <w:tcW w:type="dxa" w:w="2045"/>
            <w:vAlign w:val="center"/>
          </w:tcPr>
          <w:p>
            <w:r/>
            <w:r>
              <w:rPr>
                <w:b w:val="0"/>
                <w:sz w:val="17"/>
              </w:rPr>
              <w:t>8</w:t>
            </w:r>
          </w:p>
        </w:tc>
        <w:tc>
          <w:tcPr>
            <w:tcW w:type="dxa" w:w="2045"/>
            <w:vAlign w:val="center"/>
          </w:tcPr>
          <w:p>
            <w:r/>
            <w:r>
              <w:rPr>
                <w:b w:val="0"/>
                <w:sz w:val="17"/>
              </w:rPr>
              <w:t>Entity / customer name intelligence</w:t>
            </w:r>
          </w:p>
        </w:tc>
      </w:tr>
      <w:tr>
        <w:tc>
          <w:tcPr>
            <w:tcW w:type="dxa" w:w="2045"/>
            <w:vAlign w:val="center"/>
          </w:tcPr>
          <w:p>
            <w:r/>
            <w:r>
              <w:rPr>
                <w:b w:val="0"/>
                <w:sz w:val="17"/>
              </w:rPr>
              <w:t>TransactionNameViolation</w:t>
            </w:r>
          </w:p>
        </w:tc>
        <w:tc>
          <w:tcPr>
            <w:tcW w:type="dxa" w:w="2045"/>
            <w:vAlign w:val="center"/>
          </w:tcPr>
          <w:p>
            <w:r/>
            <w:r>
              <w:rPr>
                <w:b w:val="0"/>
                <w:sz w:val="17"/>
              </w:rPr>
              <w:t>2,000</w:t>
            </w:r>
          </w:p>
        </w:tc>
        <w:tc>
          <w:tcPr>
            <w:tcW w:type="dxa" w:w="2045"/>
            <w:vAlign w:val="center"/>
          </w:tcPr>
          <w:p>
            <w:r/>
            <w:r>
              <w:rPr>
                <w:b w:val="0"/>
                <w:sz w:val="17"/>
              </w:rPr>
              <w:t>25</w:t>
            </w:r>
          </w:p>
        </w:tc>
        <w:tc>
          <w:tcPr>
            <w:tcW w:type="dxa" w:w="2045"/>
            <w:vAlign w:val="center"/>
          </w:tcPr>
          <w:p>
            <w:r/>
            <w:r>
              <w:rPr>
                <w:b w:val="0"/>
                <w:sz w:val="17"/>
              </w:rPr>
              <w:t>537</w:t>
            </w:r>
          </w:p>
        </w:tc>
        <w:tc>
          <w:tcPr>
            <w:tcW w:type="dxa" w:w="2045"/>
            <w:vAlign w:val="center"/>
          </w:tcPr>
          <w:p>
            <w:r/>
            <w:r>
              <w:rPr>
                <w:b w:val="0"/>
                <w:sz w:val="17"/>
              </w:rPr>
              <w:t>Entity / transaction-party name intelligence</w:t>
            </w:r>
          </w:p>
        </w:tc>
      </w:tr>
      <w:tr>
        <w:tc>
          <w:tcPr>
            <w:tcW w:type="dxa" w:w="2045"/>
            <w:vAlign w:val="center"/>
          </w:tcPr>
          <w:p>
            <w:r/>
            <w:r>
              <w:rPr>
                <w:b w:val="0"/>
                <w:sz w:val="17"/>
              </w:rPr>
              <w:t>Rule</w:t>
            </w:r>
          </w:p>
        </w:tc>
        <w:tc>
          <w:tcPr>
            <w:tcW w:type="dxa" w:w="2045"/>
            <w:vAlign w:val="center"/>
          </w:tcPr>
          <w:p>
            <w:r/>
            <w:r>
              <w:rPr>
                <w:b w:val="0"/>
                <w:sz w:val="17"/>
              </w:rPr>
              <w:t>2,244</w:t>
            </w:r>
          </w:p>
        </w:tc>
        <w:tc>
          <w:tcPr>
            <w:tcW w:type="dxa" w:w="2045"/>
            <w:vAlign w:val="center"/>
          </w:tcPr>
          <w:p>
            <w:r/>
            <w:r>
              <w:rPr>
                <w:b w:val="0"/>
                <w:sz w:val="17"/>
              </w:rPr>
              <w:t>24</w:t>
            </w:r>
          </w:p>
        </w:tc>
        <w:tc>
          <w:tcPr>
            <w:tcW w:type="dxa" w:w="2045"/>
            <w:vAlign w:val="center"/>
          </w:tcPr>
          <w:p>
            <w:r/>
            <w:r>
              <w:rPr>
                <w:b w:val="0"/>
                <w:sz w:val="17"/>
              </w:rPr>
              <w:t>0</w:t>
            </w:r>
          </w:p>
        </w:tc>
        <w:tc>
          <w:tcPr>
            <w:tcW w:type="dxa" w:w="2045"/>
            <w:vAlign w:val="center"/>
          </w:tcPr>
          <w:p>
            <w:r/>
            <w:r>
              <w:rPr>
                <w:b w:val="0"/>
                <w:sz w:val="17"/>
              </w:rPr>
              <w:t>Transaction behaviour / rule intelligence</w:t>
            </w:r>
          </w:p>
        </w:tc>
      </w:tr>
    </w:tbl>
    <w:p>
      <w:r>
        <w:drawing>
          <wp:inline xmlns:a="http://schemas.openxmlformats.org/drawingml/2006/main" xmlns:pic="http://schemas.openxmlformats.org/drawingml/2006/picture">
            <wp:extent cx="6035040" cy="3185160"/>
            <wp:docPr id="1" name="Picture 1"/>
            <wp:cNvGraphicFramePr>
              <a:graphicFrameLocks noChangeAspect="1"/>
            </wp:cNvGraphicFramePr>
            <a:graphic>
              <a:graphicData uri="http://schemas.openxmlformats.org/drawingml/2006/picture">
                <pic:pic>
                  <pic:nvPicPr>
                    <pic:cNvPr id="0" name="status_distribution.png"/>
                    <pic:cNvPicPr/>
                  </pic:nvPicPr>
                  <pic:blipFill>
                    <a:blip r:embed="rId9"/>
                    <a:stretch>
                      <a:fillRect/>
                    </a:stretch>
                  </pic:blipFill>
                  <pic:spPr>
                    <a:xfrm>
                      <a:off x="0" y="0"/>
                      <a:ext cx="6035040" cy="3185160"/>
                    </a:xfrm>
                    <a:prstGeom prst="rect"/>
                  </pic:spPr>
                </pic:pic>
              </a:graphicData>
            </a:graphic>
          </wp:inline>
        </w:drawing>
      </w:r>
    </w:p>
    <w:p>
      <w:pPr>
        <w:jc w:val="center"/>
      </w:pPr>
      <w:r>
        <w:rPr>
          <w:i/>
        </w:rPr>
        <w:t>Figure 1. Historical operational status distribution. Status is not treated as ground truth.</w:t>
      </w:r>
    </w:p>
    <w:p>
      <w:pPr>
        <w:pStyle w:val="Heading2"/>
      </w:pPr>
      <w:r>
        <w:t>3.1 CustomerViolation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Measure</w:t>
            </w:r>
          </w:p>
        </w:tc>
        <w:tc>
          <w:tcPr>
            <w:tcW w:type="dxa" w:w="5112"/>
            <w:vAlign w:val="center"/>
            <w:shd w:fill="D9EAF7"/>
          </w:tcPr>
          <w:p>
            <w:r/>
            <w:r>
              <w:rPr>
                <w:b/>
                <w:sz w:val="16"/>
              </w:rPr>
              <w:t>Finding</w:t>
            </w:r>
          </w:p>
        </w:tc>
      </w:tr>
      <w:tr>
        <w:tc>
          <w:tcPr>
            <w:tcW w:type="dxa" w:w="5112"/>
            <w:vAlign w:val="center"/>
          </w:tcPr>
          <w:p>
            <w:r/>
            <w:r>
              <w:rPr>
                <w:b w:val="0"/>
                <w:sz w:val="16"/>
              </w:rPr>
              <w:t>Records</w:t>
            </w:r>
          </w:p>
        </w:tc>
        <w:tc>
          <w:tcPr>
            <w:tcW w:type="dxa" w:w="5112"/>
            <w:vAlign w:val="center"/>
          </w:tcPr>
          <w:p>
            <w:r/>
            <w:r>
              <w:rPr>
                <w:b w:val="0"/>
                <w:sz w:val="16"/>
              </w:rPr>
              <w:t>2,397</w:t>
            </w:r>
          </w:p>
        </w:tc>
      </w:tr>
      <w:tr>
        <w:tc>
          <w:tcPr>
            <w:tcW w:type="dxa" w:w="5112"/>
            <w:vAlign w:val="center"/>
          </w:tcPr>
          <w:p>
            <w:r/>
            <w:r>
              <w:rPr>
                <w:b w:val="0"/>
                <w:sz w:val="16"/>
              </w:rPr>
              <w:t>UINs</w:t>
            </w:r>
          </w:p>
        </w:tc>
        <w:tc>
          <w:tcPr>
            <w:tcW w:type="dxa" w:w="5112"/>
            <w:vAlign w:val="center"/>
          </w:tcPr>
          <w:p>
            <w:r/>
            <w:r>
              <w:rPr>
                <w:b w:val="0"/>
                <w:sz w:val="16"/>
              </w:rPr>
              <w:t>1,232 unique</w:t>
            </w:r>
          </w:p>
        </w:tc>
      </w:tr>
      <w:tr>
        <w:tc>
          <w:tcPr>
            <w:tcW w:type="dxa" w:w="5112"/>
            <w:vAlign w:val="center"/>
          </w:tcPr>
          <w:p>
            <w:r/>
            <w:r>
              <w:rPr>
                <w:b w:val="0"/>
                <w:sz w:val="16"/>
              </w:rPr>
              <w:t>Customer types</w:t>
            </w:r>
          </w:p>
        </w:tc>
        <w:tc>
          <w:tcPr>
            <w:tcW w:type="dxa" w:w="5112"/>
            <w:vAlign w:val="center"/>
          </w:tcPr>
          <w:p>
            <w:r/>
            <w:r>
              <w:rPr>
                <w:b w:val="0"/>
                <w:sz w:val="16"/>
              </w:rPr>
              <w:t>INDIVIDUAL 2,089; CORPORATE 308</w:t>
            </w:r>
          </w:p>
        </w:tc>
      </w:tr>
      <w:tr>
        <w:tc>
          <w:tcPr>
            <w:tcW w:type="dxa" w:w="5112"/>
            <w:vAlign w:val="center"/>
          </w:tcPr>
          <w:p>
            <w:r/>
            <w:r>
              <w:rPr>
                <w:b w:val="0"/>
                <w:sz w:val="16"/>
              </w:rPr>
              <w:t>Alert types</w:t>
            </w:r>
          </w:p>
        </w:tc>
        <w:tc>
          <w:tcPr>
            <w:tcW w:type="dxa" w:w="5112"/>
            <w:vAlign w:val="center"/>
          </w:tcPr>
          <w:p>
            <w:r/>
            <w:r>
              <w:rPr>
                <w:b w:val="0"/>
                <w:sz w:val="16"/>
              </w:rPr>
              <w:t>OnBoarding 1,342; OnGoing 904; Delta 151</w:t>
            </w:r>
          </w:p>
        </w:tc>
      </w:tr>
      <w:tr>
        <w:tc>
          <w:tcPr>
            <w:tcW w:type="dxa" w:w="5112"/>
            <w:vAlign w:val="center"/>
          </w:tcPr>
          <w:p>
            <w:r/>
            <w:r>
              <w:rPr>
                <w:b w:val="0"/>
                <w:sz w:val="16"/>
              </w:rPr>
              <w:t>Screening lists</w:t>
            </w:r>
          </w:p>
        </w:tc>
        <w:tc>
          <w:tcPr>
            <w:tcW w:type="dxa" w:w="5112"/>
            <w:vAlign w:val="center"/>
          </w:tcPr>
          <w:p>
            <w:r/>
            <w:r>
              <w:rPr>
                <w:b w:val="0"/>
                <w:sz w:val="16"/>
              </w:rPr>
              <w:t>11 distinct</w:t>
            </w:r>
          </w:p>
        </w:tc>
      </w:tr>
      <w:tr>
        <w:tc>
          <w:tcPr>
            <w:tcW w:type="dxa" w:w="5112"/>
            <w:vAlign w:val="center"/>
          </w:tcPr>
          <w:p>
            <w:r/>
            <w:r>
              <w:rPr>
                <w:b w:val="0"/>
                <w:sz w:val="16"/>
              </w:rPr>
              <w:t>Alerted Party</w:t>
            </w:r>
          </w:p>
        </w:tc>
        <w:tc>
          <w:tcPr>
            <w:tcW w:type="dxa" w:w="5112"/>
            <w:vAlign w:val="center"/>
          </w:tcPr>
          <w:p>
            <w:r/>
            <w:r>
              <w:rPr>
                <w:b w:val="0"/>
                <w:sz w:val="16"/>
              </w:rPr>
              <w:t>MemberName 2,151; RepresentativeName 246</w:t>
            </w:r>
          </w:p>
        </w:tc>
      </w:tr>
      <w:tr>
        <w:tc>
          <w:tcPr>
            <w:tcW w:type="dxa" w:w="5112"/>
            <w:vAlign w:val="center"/>
          </w:tcPr>
          <w:p>
            <w:r/>
            <w:r>
              <w:rPr>
                <w:b w:val="0"/>
                <w:sz w:val="16"/>
              </w:rPr>
              <w:t>Status</w:t>
            </w:r>
          </w:p>
        </w:tc>
        <w:tc>
          <w:tcPr>
            <w:tcW w:type="dxa" w:w="5112"/>
            <w:vAlign w:val="center"/>
          </w:tcPr>
          <w:p>
            <w:r/>
            <w:r>
              <w:rPr>
                <w:b w:val="0"/>
                <w:sz w:val="16"/>
              </w:rPr>
              <w:t>Released 2,204; UPS 193</w:t>
            </w:r>
          </w:p>
        </w:tc>
      </w:tr>
      <w:tr>
        <w:tc>
          <w:tcPr>
            <w:tcW w:type="dxa" w:w="5112"/>
            <w:vAlign w:val="center"/>
          </w:tcPr>
          <w:p>
            <w:r/>
            <w:r>
              <w:rPr>
                <w:b w:val="0"/>
                <w:sz w:val="16"/>
              </w:rPr>
              <w:t>Exact duplicates</w:t>
            </w:r>
          </w:p>
        </w:tc>
        <w:tc>
          <w:tcPr>
            <w:tcW w:type="dxa" w:w="5112"/>
            <w:vAlign w:val="center"/>
          </w:tcPr>
          <w:p>
            <w:r/>
            <w:r>
              <w:rPr>
                <w:b w:val="0"/>
                <w:sz w:val="16"/>
              </w:rPr>
              <w:t>8</w:t>
            </w:r>
          </w:p>
        </w:tc>
      </w:tr>
      <w:tr>
        <w:tc>
          <w:tcPr>
            <w:tcW w:type="dxa" w:w="5112"/>
            <w:vAlign w:val="center"/>
          </w:tcPr>
          <w:p>
            <w:r/>
            <w:r>
              <w:rPr>
                <w:b w:val="0"/>
                <w:sz w:val="16"/>
              </w:rPr>
              <w:t>Alerted Party DOB missing</w:t>
            </w:r>
          </w:p>
        </w:tc>
        <w:tc>
          <w:tcPr>
            <w:tcW w:type="dxa" w:w="5112"/>
            <w:vAlign w:val="center"/>
          </w:tcPr>
          <w:p>
            <w:r/>
            <w:r>
              <w:rPr>
                <w:b w:val="0"/>
                <w:sz w:val="16"/>
              </w:rPr>
              <w:t>1.8%</w:t>
            </w:r>
          </w:p>
        </w:tc>
      </w:tr>
      <w:tr>
        <w:tc>
          <w:tcPr>
            <w:tcW w:type="dxa" w:w="5112"/>
            <w:vAlign w:val="center"/>
          </w:tcPr>
          <w:p>
            <w:r/>
            <w:r>
              <w:rPr>
                <w:b w:val="0"/>
                <w:sz w:val="16"/>
              </w:rPr>
              <w:t>Hit DOB missing</w:t>
            </w:r>
          </w:p>
        </w:tc>
        <w:tc>
          <w:tcPr>
            <w:tcW w:type="dxa" w:w="5112"/>
            <w:vAlign w:val="center"/>
          </w:tcPr>
          <w:p>
            <w:r/>
            <w:r>
              <w:rPr>
                <w:b w:val="0"/>
                <w:sz w:val="16"/>
              </w:rPr>
              <w:t>30.2%</w:t>
            </w:r>
          </w:p>
        </w:tc>
      </w:tr>
      <w:tr>
        <w:tc>
          <w:tcPr>
            <w:tcW w:type="dxa" w:w="5112"/>
            <w:vAlign w:val="center"/>
          </w:tcPr>
          <w:p>
            <w:r/>
            <w:r>
              <w:rPr>
                <w:b w:val="0"/>
                <w:sz w:val="16"/>
              </w:rPr>
              <w:t>POB missing</w:t>
            </w:r>
          </w:p>
        </w:tc>
        <w:tc>
          <w:tcPr>
            <w:tcW w:type="dxa" w:w="5112"/>
            <w:vAlign w:val="center"/>
          </w:tcPr>
          <w:p>
            <w:r/>
            <w:r>
              <w:rPr>
                <w:b w:val="0"/>
                <w:sz w:val="16"/>
              </w:rPr>
              <w:t>100% for alerted party and hit</w:t>
            </w:r>
          </w:p>
        </w:tc>
      </w:tr>
      <w:tr>
        <w:tc>
          <w:tcPr>
            <w:tcW w:type="dxa" w:w="5112"/>
            <w:vAlign w:val="center"/>
          </w:tcPr>
          <w:p>
            <w:r/>
            <w:r>
              <w:rPr>
                <w:b w:val="0"/>
                <w:sz w:val="16"/>
              </w:rPr>
              <w:t>Additional information missing</w:t>
            </w:r>
          </w:p>
        </w:tc>
        <w:tc>
          <w:tcPr>
            <w:tcW w:type="dxa" w:w="5112"/>
            <w:vAlign w:val="center"/>
          </w:tcPr>
          <w:p>
            <w:r/>
            <w:r>
              <w:rPr>
                <w:b w:val="0"/>
                <w:sz w:val="16"/>
              </w:rPr>
              <w:t>100%</w:t>
            </w:r>
          </w:p>
        </w:tc>
      </w:tr>
    </w:tbl>
    <w:p>
      <w:pPr>
        <w:pStyle w:val="Heading2"/>
      </w:pPr>
      <w:r>
        <w:t>3.2 TransactionNameViolation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Measure</w:t>
            </w:r>
          </w:p>
        </w:tc>
        <w:tc>
          <w:tcPr>
            <w:tcW w:type="dxa" w:w="5112"/>
            <w:vAlign w:val="center"/>
            <w:shd w:fill="D9EAF7"/>
          </w:tcPr>
          <w:p>
            <w:r/>
            <w:r>
              <w:rPr>
                <w:b/>
                <w:sz w:val="16"/>
              </w:rPr>
              <w:t>Finding</w:t>
            </w:r>
          </w:p>
        </w:tc>
      </w:tr>
      <w:tr>
        <w:tc>
          <w:tcPr>
            <w:tcW w:type="dxa" w:w="5112"/>
            <w:vAlign w:val="center"/>
          </w:tcPr>
          <w:p>
            <w:r/>
            <w:r>
              <w:rPr>
                <w:b w:val="0"/>
                <w:sz w:val="16"/>
              </w:rPr>
              <w:t>Records</w:t>
            </w:r>
          </w:p>
        </w:tc>
        <w:tc>
          <w:tcPr>
            <w:tcW w:type="dxa" w:w="5112"/>
            <w:vAlign w:val="center"/>
          </w:tcPr>
          <w:p>
            <w:r/>
            <w:r>
              <w:rPr>
                <w:b w:val="0"/>
                <w:sz w:val="16"/>
              </w:rPr>
              <w:t>2,000</w:t>
            </w:r>
          </w:p>
        </w:tc>
      </w:tr>
      <w:tr>
        <w:tc>
          <w:tcPr>
            <w:tcW w:type="dxa" w:w="5112"/>
            <w:vAlign w:val="center"/>
          </w:tcPr>
          <w:p>
            <w:r/>
            <w:r>
              <w:rPr>
                <w:b w:val="0"/>
                <w:sz w:val="16"/>
              </w:rPr>
              <w:t>Unique UINs</w:t>
            </w:r>
          </w:p>
        </w:tc>
        <w:tc>
          <w:tcPr>
            <w:tcW w:type="dxa" w:w="5112"/>
            <w:vAlign w:val="center"/>
          </w:tcPr>
          <w:p>
            <w:r/>
            <w:r>
              <w:rPr>
                <w:b w:val="0"/>
                <w:sz w:val="16"/>
              </w:rPr>
              <w:t>373</w:t>
            </w:r>
          </w:p>
        </w:tc>
      </w:tr>
      <w:tr>
        <w:tc>
          <w:tcPr>
            <w:tcW w:type="dxa" w:w="5112"/>
            <w:vAlign w:val="center"/>
          </w:tcPr>
          <w:p>
            <w:r/>
            <w:r>
              <w:rPr>
                <w:b w:val="0"/>
                <w:sz w:val="16"/>
              </w:rPr>
              <w:t>Unique transaction references</w:t>
            </w:r>
          </w:p>
        </w:tc>
        <w:tc>
          <w:tcPr>
            <w:tcW w:type="dxa" w:w="5112"/>
            <w:vAlign w:val="center"/>
          </w:tcPr>
          <w:p>
            <w:r/>
            <w:r>
              <w:rPr>
                <w:b w:val="0"/>
                <w:sz w:val="16"/>
              </w:rPr>
              <w:t>402</w:t>
            </w:r>
          </w:p>
        </w:tc>
      </w:tr>
      <w:tr>
        <w:tc>
          <w:tcPr>
            <w:tcW w:type="dxa" w:w="5112"/>
            <w:vAlign w:val="center"/>
          </w:tcPr>
          <w:p>
            <w:r/>
            <w:r>
              <w:rPr>
                <w:b w:val="0"/>
                <w:sz w:val="16"/>
              </w:rPr>
              <w:t>Exact duplicate rows</w:t>
            </w:r>
          </w:p>
        </w:tc>
        <w:tc>
          <w:tcPr>
            <w:tcW w:type="dxa" w:w="5112"/>
            <w:vAlign w:val="center"/>
          </w:tcPr>
          <w:p>
            <w:r/>
            <w:r>
              <w:rPr>
                <w:b w:val="0"/>
                <w:sz w:val="16"/>
              </w:rPr>
              <w:t>537</w:t>
            </w:r>
          </w:p>
        </w:tc>
      </w:tr>
      <w:tr>
        <w:tc>
          <w:tcPr>
            <w:tcW w:type="dxa" w:w="5112"/>
            <w:vAlign w:val="center"/>
          </w:tcPr>
          <w:p>
            <w:r/>
            <w:r>
              <w:rPr>
                <w:b w:val="0"/>
                <w:sz w:val="16"/>
              </w:rPr>
              <w:t>Status</w:t>
            </w:r>
          </w:p>
        </w:tc>
        <w:tc>
          <w:tcPr>
            <w:tcW w:type="dxa" w:w="5112"/>
            <w:vAlign w:val="center"/>
          </w:tcPr>
          <w:p>
            <w:r/>
            <w:r>
              <w:rPr>
                <w:b w:val="0"/>
                <w:sz w:val="16"/>
              </w:rPr>
              <w:t>Released 1,970; UPS 28; blank 2</w:t>
            </w:r>
          </w:p>
        </w:tc>
      </w:tr>
      <w:tr>
        <w:tc>
          <w:tcPr>
            <w:tcW w:type="dxa" w:w="5112"/>
            <w:vAlign w:val="center"/>
          </w:tcPr>
          <w:p>
            <w:r/>
            <w:r>
              <w:rPr>
                <w:b w:val="0"/>
                <w:sz w:val="16"/>
              </w:rPr>
              <w:t>Alerted Party</w:t>
            </w:r>
          </w:p>
        </w:tc>
        <w:tc>
          <w:tcPr>
            <w:tcW w:type="dxa" w:w="5112"/>
            <w:vAlign w:val="center"/>
          </w:tcPr>
          <w:p>
            <w:r/>
            <w:r>
              <w:rPr>
                <w:b w:val="0"/>
                <w:sz w:val="16"/>
              </w:rPr>
              <w:t>BeneficiaryName 1,493; ByOrder 223; SenderName 201; BeneficiaryBankName 83</w:t>
            </w:r>
          </w:p>
        </w:tc>
      </w:tr>
      <w:tr>
        <w:tc>
          <w:tcPr>
            <w:tcW w:type="dxa" w:w="5112"/>
            <w:vAlign w:val="center"/>
          </w:tcPr>
          <w:p>
            <w:r/>
            <w:r>
              <w:rPr>
                <w:b w:val="0"/>
                <w:sz w:val="16"/>
              </w:rPr>
              <w:t>Alerted Party DOB missing</w:t>
            </w:r>
          </w:p>
        </w:tc>
        <w:tc>
          <w:tcPr>
            <w:tcW w:type="dxa" w:w="5112"/>
            <w:vAlign w:val="center"/>
          </w:tcPr>
          <w:p>
            <w:r/>
            <w:r>
              <w:rPr>
                <w:b w:val="0"/>
                <w:sz w:val="16"/>
              </w:rPr>
              <w:t>78.8%</w:t>
            </w:r>
          </w:p>
        </w:tc>
      </w:tr>
      <w:tr>
        <w:tc>
          <w:tcPr>
            <w:tcW w:type="dxa" w:w="5112"/>
            <w:vAlign w:val="center"/>
          </w:tcPr>
          <w:p>
            <w:r/>
            <w:r>
              <w:rPr>
                <w:b w:val="0"/>
                <w:sz w:val="16"/>
              </w:rPr>
              <w:t>Hit DOB missing</w:t>
            </w:r>
          </w:p>
        </w:tc>
        <w:tc>
          <w:tcPr>
            <w:tcW w:type="dxa" w:w="5112"/>
            <w:vAlign w:val="center"/>
          </w:tcPr>
          <w:p>
            <w:r/>
            <w:r>
              <w:rPr>
                <w:b w:val="0"/>
                <w:sz w:val="16"/>
              </w:rPr>
              <w:t>62.2%</w:t>
            </w:r>
          </w:p>
        </w:tc>
      </w:tr>
      <w:tr>
        <w:tc>
          <w:tcPr>
            <w:tcW w:type="dxa" w:w="5112"/>
            <w:vAlign w:val="center"/>
          </w:tcPr>
          <w:p>
            <w:r/>
            <w:r>
              <w:rPr>
                <w:b w:val="0"/>
                <w:sz w:val="16"/>
              </w:rPr>
              <w:t>POB missing</w:t>
            </w:r>
          </w:p>
        </w:tc>
        <w:tc>
          <w:tcPr>
            <w:tcW w:type="dxa" w:w="5112"/>
            <w:vAlign w:val="center"/>
          </w:tcPr>
          <w:p>
            <w:r/>
            <w:r>
              <w:rPr>
                <w:b w:val="0"/>
                <w:sz w:val="16"/>
              </w:rPr>
              <w:t>100% for alerted party and hit</w:t>
            </w:r>
          </w:p>
        </w:tc>
      </w:tr>
      <w:tr>
        <w:tc>
          <w:tcPr>
            <w:tcW w:type="dxa" w:w="5112"/>
            <w:vAlign w:val="center"/>
          </w:tcPr>
          <w:p>
            <w:r/>
            <w:r>
              <w:rPr>
                <w:b w:val="0"/>
                <w:sz w:val="16"/>
              </w:rPr>
              <w:t>Additional information missing</w:t>
            </w:r>
          </w:p>
        </w:tc>
        <w:tc>
          <w:tcPr>
            <w:tcW w:type="dxa" w:w="5112"/>
            <w:vAlign w:val="center"/>
          </w:tcPr>
          <w:p>
            <w:r/>
            <w:r>
              <w:rPr>
                <w:b w:val="0"/>
                <w:sz w:val="16"/>
              </w:rPr>
              <w:t>100%</w:t>
            </w:r>
          </w:p>
        </w:tc>
      </w:tr>
    </w:tbl>
    <w:p>
      <w:r>
        <w:drawing>
          <wp:inline xmlns:a="http://schemas.openxmlformats.org/drawingml/2006/main" xmlns:pic="http://schemas.openxmlformats.org/drawingml/2006/picture">
            <wp:extent cx="6035040" cy="3379622"/>
            <wp:docPr id="2" name="Picture 2"/>
            <wp:cNvGraphicFramePr>
              <a:graphicFrameLocks noChangeAspect="1"/>
            </wp:cNvGraphicFramePr>
            <a:graphic>
              <a:graphicData uri="http://schemas.openxmlformats.org/drawingml/2006/picture">
                <pic:pic>
                  <pic:nvPicPr>
                    <pic:cNvPr id="0" name="missingness.png"/>
                    <pic:cNvPicPr/>
                  </pic:nvPicPr>
                  <pic:blipFill>
                    <a:blip r:embed="rId10"/>
                    <a:stretch>
                      <a:fillRect/>
                    </a:stretch>
                  </pic:blipFill>
                  <pic:spPr>
                    <a:xfrm>
                      <a:off x="0" y="0"/>
                      <a:ext cx="6035040" cy="3379622"/>
                    </a:xfrm>
                    <a:prstGeom prst="rect"/>
                  </pic:spPr>
                </pic:pic>
              </a:graphicData>
            </a:graphic>
          </wp:inline>
        </w:drawing>
      </w:r>
    </w:p>
    <w:p>
      <w:pPr>
        <w:jc w:val="center"/>
      </w:pPr>
      <w:r>
        <w:rPr>
          <w:i/>
        </w:rPr>
        <w:t>Figure 2. Key missingness in identity fields. POB is unavailable in the current sample.</w:t>
      </w:r>
    </w:p>
    <w:p>
      <w:pPr>
        <w:pStyle w:val="Heading2"/>
      </w:pPr>
      <w:r>
        <w:t>3.3 Rule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Measure</w:t>
            </w:r>
          </w:p>
        </w:tc>
        <w:tc>
          <w:tcPr>
            <w:tcW w:type="dxa" w:w="5112"/>
            <w:vAlign w:val="center"/>
            <w:shd w:fill="D9EAF7"/>
          </w:tcPr>
          <w:p>
            <w:r/>
            <w:r>
              <w:rPr>
                <w:b/>
                <w:sz w:val="16"/>
              </w:rPr>
              <w:t>Finding</w:t>
            </w:r>
          </w:p>
        </w:tc>
      </w:tr>
      <w:tr>
        <w:tc>
          <w:tcPr>
            <w:tcW w:type="dxa" w:w="5112"/>
            <w:vAlign w:val="center"/>
          </w:tcPr>
          <w:p>
            <w:r/>
            <w:r>
              <w:rPr>
                <w:b w:val="0"/>
                <w:sz w:val="16"/>
              </w:rPr>
              <w:t>Records</w:t>
            </w:r>
          </w:p>
        </w:tc>
        <w:tc>
          <w:tcPr>
            <w:tcW w:type="dxa" w:w="5112"/>
            <w:vAlign w:val="center"/>
          </w:tcPr>
          <w:p>
            <w:r/>
            <w:r>
              <w:rPr>
                <w:b w:val="0"/>
                <w:sz w:val="16"/>
              </w:rPr>
              <w:t>2,244</w:t>
            </w:r>
          </w:p>
        </w:tc>
      </w:tr>
      <w:tr>
        <w:tc>
          <w:tcPr>
            <w:tcW w:type="dxa" w:w="5112"/>
            <w:vAlign w:val="center"/>
          </w:tcPr>
          <w:p>
            <w:r/>
            <w:r>
              <w:rPr>
                <w:b w:val="0"/>
                <w:sz w:val="16"/>
              </w:rPr>
              <w:t>Unique customers</w:t>
            </w:r>
          </w:p>
        </w:tc>
        <w:tc>
          <w:tcPr>
            <w:tcW w:type="dxa" w:w="5112"/>
            <w:vAlign w:val="center"/>
          </w:tcPr>
          <w:p>
            <w:r/>
            <w:r>
              <w:rPr>
                <w:b w:val="0"/>
                <w:sz w:val="16"/>
              </w:rPr>
              <w:t>1,106</w:t>
            </w:r>
          </w:p>
        </w:tc>
      </w:tr>
      <w:tr>
        <w:tc>
          <w:tcPr>
            <w:tcW w:type="dxa" w:w="5112"/>
            <w:vAlign w:val="center"/>
          </w:tcPr>
          <w:p>
            <w:r/>
            <w:r>
              <w:rPr>
                <w:b w:val="0"/>
                <w:sz w:val="16"/>
              </w:rPr>
              <w:t>Unique transaction references</w:t>
            </w:r>
          </w:p>
        </w:tc>
        <w:tc>
          <w:tcPr>
            <w:tcW w:type="dxa" w:w="5112"/>
            <w:vAlign w:val="center"/>
          </w:tcPr>
          <w:p>
            <w:r/>
            <w:r>
              <w:rPr>
                <w:b w:val="0"/>
                <w:sz w:val="16"/>
              </w:rPr>
              <w:t>1,619</w:t>
            </w:r>
          </w:p>
        </w:tc>
      </w:tr>
      <w:tr>
        <w:tc>
          <w:tcPr>
            <w:tcW w:type="dxa" w:w="5112"/>
            <w:vAlign w:val="center"/>
          </w:tcPr>
          <w:p>
            <w:r/>
            <w:r>
              <w:rPr>
                <w:b w:val="0"/>
                <w:sz w:val="16"/>
              </w:rPr>
              <w:t>Rule types</w:t>
            </w:r>
          </w:p>
        </w:tc>
        <w:tc>
          <w:tcPr>
            <w:tcW w:type="dxa" w:w="5112"/>
            <w:vAlign w:val="center"/>
          </w:tcPr>
          <w:p>
            <w:r/>
            <w:r>
              <w:rPr>
                <w:b w:val="0"/>
                <w:sz w:val="16"/>
              </w:rPr>
              <w:t>1 Rule Type value: AML</w:t>
            </w:r>
          </w:p>
        </w:tc>
      </w:tr>
      <w:tr>
        <w:tc>
          <w:tcPr>
            <w:tcW w:type="dxa" w:w="5112"/>
            <w:vAlign w:val="center"/>
          </w:tcPr>
          <w:p>
            <w:r/>
            <w:r>
              <w:rPr>
                <w:b w:val="0"/>
                <w:sz w:val="16"/>
              </w:rPr>
              <w:t>Rule names</w:t>
            </w:r>
          </w:p>
        </w:tc>
        <w:tc>
          <w:tcPr>
            <w:tcW w:type="dxa" w:w="5112"/>
            <w:vAlign w:val="center"/>
          </w:tcPr>
          <w:p>
            <w:r/>
            <w:r>
              <w:rPr>
                <w:b w:val="0"/>
                <w:sz w:val="16"/>
              </w:rPr>
              <w:t>18</w:t>
            </w:r>
          </w:p>
        </w:tc>
      </w:tr>
      <w:tr>
        <w:tc>
          <w:tcPr>
            <w:tcW w:type="dxa" w:w="5112"/>
            <w:vAlign w:val="center"/>
          </w:tcPr>
          <w:p>
            <w:r/>
            <w:r>
              <w:rPr>
                <w:b w:val="0"/>
                <w:sz w:val="16"/>
              </w:rPr>
              <w:t>Status</w:t>
            </w:r>
          </w:p>
        </w:tc>
        <w:tc>
          <w:tcPr>
            <w:tcW w:type="dxa" w:w="5112"/>
            <w:vAlign w:val="center"/>
          </w:tcPr>
          <w:p>
            <w:r/>
            <w:r>
              <w:rPr>
                <w:b w:val="0"/>
                <w:sz w:val="16"/>
              </w:rPr>
              <w:t>Released 1,983; UPS 260; Followup 1</w:t>
            </w:r>
          </w:p>
        </w:tc>
      </w:tr>
      <w:tr>
        <w:tc>
          <w:tcPr>
            <w:tcW w:type="dxa" w:w="5112"/>
            <w:vAlign w:val="center"/>
          </w:tcPr>
          <w:p>
            <w:r/>
            <w:r>
              <w:rPr>
                <w:b w:val="0"/>
                <w:sz w:val="16"/>
              </w:rPr>
              <w:t>Beneficiary ID missing</w:t>
            </w:r>
          </w:p>
        </w:tc>
        <w:tc>
          <w:tcPr>
            <w:tcW w:type="dxa" w:w="5112"/>
            <w:vAlign w:val="center"/>
          </w:tcPr>
          <w:p>
            <w:r/>
            <w:r>
              <w:rPr>
                <w:b w:val="0"/>
                <w:sz w:val="16"/>
              </w:rPr>
              <w:t>97.1%</w:t>
            </w:r>
          </w:p>
        </w:tc>
      </w:tr>
      <w:tr>
        <w:tc>
          <w:tcPr>
            <w:tcW w:type="dxa" w:w="5112"/>
            <w:vAlign w:val="center"/>
          </w:tcPr>
          <w:p>
            <w:r/>
            <w:r>
              <w:rPr>
                <w:b w:val="0"/>
                <w:sz w:val="16"/>
              </w:rPr>
              <w:t>Beneficiary name missing</w:t>
            </w:r>
          </w:p>
        </w:tc>
        <w:tc>
          <w:tcPr>
            <w:tcW w:type="dxa" w:w="5112"/>
            <w:vAlign w:val="center"/>
          </w:tcPr>
          <w:p>
            <w:r/>
            <w:r>
              <w:rPr>
                <w:b w:val="0"/>
                <w:sz w:val="16"/>
              </w:rPr>
              <w:t>22.9%</w:t>
            </w:r>
          </w:p>
        </w:tc>
      </w:tr>
      <w:tr>
        <w:tc>
          <w:tcPr>
            <w:tcW w:type="dxa" w:w="5112"/>
            <w:vAlign w:val="center"/>
          </w:tcPr>
          <w:p>
            <w:r/>
            <w:r>
              <w:rPr>
                <w:b w:val="0"/>
                <w:sz w:val="16"/>
              </w:rPr>
              <w:t>Beneficiary relationship missing</w:t>
            </w:r>
          </w:p>
        </w:tc>
        <w:tc>
          <w:tcPr>
            <w:tcW w:type="dxa" w:w="5112"/>
            <w:vAlign w:val="center"/>
          </w:tcPr>
          <w:p>
            <w:r/>
            <w:r>
              <w:rPr>
                <w:b w:val="0"/>
                <w:sz w:val="16"/>
              </w:rPr>
              <w:t>22.9%</w:t>
            </w:r>
          </w:p>
        </w:tc>
      </w:tr>
      <w:tr>
        <w:tc>
          <w:tcPr>
            <w:tcW w:type="dxa" w:w="5112"/>
            <w:vAlign w:val="center"/>
          </w:tcPr>
          <w:p>
            <w:r/>
            <w:r>
              <w:rPr>
                <w:b w:val="0"/>
                <w:sz w:val="16"/>
              </w:rPr>
              <w:t>Currency name missing</w:t>
            </w:r>
          </w:p>
        </w:tc>
        <w:tc>
          <w:tcPr>
            <w:tcW w:type="dxa" w:w="5112"/>
            <w:vAlign w:val="center"/>
          </w:tcPr>
          <w:p>
            <w:r/>
            <w:r>
              <w:rPr>
                <w:b w:val="0"/>
                <w:sz w:val="16"/>
              </w:rPr>
              <w:t>16.9%</w:t>
            </w:r>
          </w:p>
        </w:tc>
      </w:tr>
      <w:tr>
        <w:tc>
          <w:tcPr>
            <w:tcW w:type="dxa" w:w="5112"/>
            <w:vAlign w:val="center"/>
          </w:tcPr>
          <w:p>
            <w:r/>
            <w:r>
              <w:rPr>
                <w:b w:val="0"/>
                <w:sz w:val="16"/>
              </w:rPr>
              <w:t>Purpose missing</w:t>
            </w:r>
          </w:p>
        </w:tc>
        <w:tc>
          <w:tcPr>
            <w:tcW w:type="dxa" w:w="5112"/>
            <w:vAlign w:val="center"/>
          </w:tcPr>
          <w:p>
            <w:r/>
            <w:r>
              <w:rPr>
                <w:b w:val="0"/>
                <w:sz w:val="16"/>
              </w:rPr>
              <w:t>14.8%</w:t>
            </w:r>
          </w:p>
        </w:tc>
      </w:tr>
    </w:tbl>
    <w:p>
      <w:r>
        <w:drawing>
          <wp:inline xmlns:a="http://schemas.openxmlformats.org/drawingml/2006/main" xmlns:pic="http://schemas.openxmlformats.org/drawingml/2006/picture">
            <wp:extent cx="6035040" cy="3621024"/>
            <wp:docPr id="3" name="Picture 3"/>
            <wp:cNvGraphicFramePr>
              <a:graphicFrameLocks noChangeAspect="1"/>
            </wp:cNvGraphicFramePr>
            <a:graphic>
              <a:graphicData uri="http://schemas.openxmlformats.org/drawingml/2006/picture">
                <pic:pic>
                  <pic:nvPicPr>
                    <pic:cNvPr id="0" name="rule_distribution.png"/>
                    <pic:cNvPicPr/>
                  </pic:nvPicPr>
                  <pic:blipFill>
                    <a:blip r:embed="rId11"/>
                    <a:stretch>
                      <a:fillRect/>
                    </a:stretch>
                  </pic:blipFill>
                  <pic:spPr>
                    <a:xfrm>
                      <a:off x="0" y="0"/>
                      <a:ext cx="6035040" cy="3621024"/>
                    </a:xfrm>
                    <a:prstGeom prst="rect"/>
                  </pic:spPr>
                </pic:pic>
              </a:graphicData>
            </a:graphic>
          </wp:inline>
        </w:drawing>
      </w:r>
    </w:p>
    <w:p>
      <w:pPr>
        <w:jc w:val="center"/>
      </w:pPr>
      <w:r>
        <w:rPr>
          <w:i/>
        </w:rPr>
        <w:t>Figure 3. Top transaction rule types in the current sample.</w:t>
      </w:r>
    </w:p>
    <w:p>
      <w:pPr>
        <w:pStyle w:val="Heading1"/>
      </w:pPr>
      <w:r>
        <w:t>4. Data Quality Findings</w:t>
      </w:r>
    </w:p>
    <w:p>
      <w:pPr>
        <w:pStyle w:val="Heading2"/>
      </w:pPr>
      <w:r>
        <w:t>4.1 Missing fields</w:t>
      </w:r>
    </w:p>
    <w:p>
      <w:pPr>
        <w:pStyle w:val="ListBullet"/>
      </w:pPr>
      <w:r>
        <w:t>POB is 100% missing in both name-alert sheets. The first model must not depend on POB.</w:t>
      </w:r>
    </w:p>
    <w:p>
      <w:pPr>
        <w:pStyle w:val="ListBullet"/>
      </w:pPr>
      <w:r>
        <w:t>Hit nationality is only partially available in CustomerViolation and is substantially better populated in TransactionNameViolation.</w:t>
      </w:r>
    </w:p>
    <w:p>
      <w:pPr>
        <w:pStyle w:val="ListBullet"/>
      </w:pPr>
      <w:r>
        <w:t>Beneficiary ID is 97.1% missing in Rule, so it cannot be a primary feature in the initial model.</w:t>
      </w:r>
    </w:p>
    <w:p>
      <w:pPr>
        <w:pStyle w:val="ListBullet"/>
      </w:pPr>
      <w:r>
        <w:t>The Rule dataset has no clean structured transaction amount field. Amounts appear in comments for some alerts. This is unsuitable as the primary production feature and should be replaced by the source transaction amount field.</w:t>
      </w:r>
    </w:p>
    <w:p>
      <w:pPr>
        <w:pStyle w:val="Heading2"/>
      </w:pPr>
      <w:r>
        <w:t>4.2 Duplicate and repeated-entity structure</w:t>
      </w:r>
    </w:p>
    <w:p>
      <w:pPr>
        <w:pStyle w:val="ListBullet"/>
      </w:pPr>
      <w:r>
        <w:t>TransactionNameViolation contains 537 exact duplicate rows. These must be deduplicated or handled explicitly before training.</w:t>
      </w:r>
    </w:p>
    <w:p>
      <w:pPr>
        <w:pStyle w:val="ListBullet"/>
      </w:pPr>
      <w:r>
        <w:t>CustomerViolation contains 1,232 unique UINs across 2,397 rows, so repeated customer history is available.</w:t>
      </w:r>
    </w:p>
    <w:p>
      <w:pPr>
        <w:pStyle w:val="ListBullet"/>
      </w:pPr>
      <w:r>
        <w:t>TransactionNameViolation contains 373 unique UINs and 402 transaction references across 2,000 rows.</w:t>
      </w:r>
    </w:p>
    <w:p>
      <w:pPr>
        <w:pStyle w:val="ListBullet"/>
      </w:pPr>
      <w:r>
        <w:t>Rule contains 1,106 unique customers and 1,619 transaction references across 2,244 rows.</w:t>
      </w:r>
    </w:p>
    <w:p>
      <w:pPr>
        <w:pStyle w:val="ListBullet"/>
      </w:pPr>
      <w:r>
        <w:t>The same customer/transaction may appear in multiple alert records, so random row-level train/test splitting would create leakage.</w:t>
      </w:r>
    </w:p>
    <w:p>
      <w:pPr>
        <w:pStyle w:val="Heading2"/>
      </w:pPr>
      <w:r>
        <w:t>4.3 Temporal integrity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Dataset</w:t>
            </w:r>
          </w:p>
        </w:tc>
        <w:tc>
          <w:tcPr>
            <w:tcW w:type="dxa" w:w="2556"/>
            <w:vAlign w:val="center"/>
            <w:shd w:fill="D9EAF7"/>
          </w:tcPr>
          <w:p>
            <w:r/>
            <w:r>
              <w:rPr>
                <w:b/>
                <w:sz w:val="17"/>
              </w:rPr>
              <w:t>Check</w:t>
            </w:r>
          </w:p>
        </w:tc>
        <w:tc>
          <w:tcPr>
            <w:tcW w:type="dxa" w:w="2556"/>
            <w:vAlign w:val="center"/>
            <w:shd w:fill="D9EAF7"/>
          </w:tcPr>
          <w:p>
            <w:r/>
            <w:r>
              <w:rPr>
                <w:b/>
                <w:sz w:val="17"/>
              </w:rPr>
              <w:t>Rows</w:t>
            </w:r>
          </w:p>
        </w:tc>
        <w:tc>
          <w:tcPr>
            <w:tcW w:type="dxa" w:w="2556"/>
            <w:vAlign w:val="center"/>
            <w:shd w:fill="D9EAF7"/>
          </w:tcPr>
          <w:p>
            <w:r/>
            <w:r>
              <w:rPr>
                <w:b/>
                <w:sz w:val="17"/>
              </w:rPr>
              <w:t>Share</w:t>
            </w:r>
          </w:p>
        </w:tc>
      </w:tr>
      <w:tr>
        <w:tc>
          <w:tcPr>
            <w:tcW w:type="dxa" w:w="2556"/>
            <w:vAlign w:val="center"/>
          </w:tcPr>
          <w:p>
            <w:r/>
            <w:r>
              <w:rPr>
                <w:b w:val="0"/>
                <w:sz w:val="17"/>
              </w:rPr>
              <w:t>TransactionNameViolation</w:t>
            </w:r>
          </w:p>
        </w:tc>
        <w:tc>
          <w:tcPr>
            <w:tcW w:type="dxa" w:w="2556"/>
            <w:vAlign w:val="center"/>
          </w:tcPr>
          <w:p>
            <w:r/>
            <w:r>
              <w:rPr>
                <w:b w:val="0"/>
                <w:sz w:val="17"/>
              </w:rPr>
              <w:t>Alert generated earlier than transaction date</w:t>
            </w:r>
          </w:p>
        </w:tc>
        <w:tc>
          <w:tcPr>
            <w:tcW w:type="dxa" w:w="2556"/>
            <w:vAlign w:val="center"/>
          </w:tcPr>
          <w:p>
            <w:r/>
            <w:r>
              <w:rPr>
                <w:b w:val="0"/>
                <w:sz w:val="17"/>
              </w:rPr>
              <w:t>1605</w:t>
            </w:r>
          </w:p>
        </w:tc>
        <w:tc>
          <w:tcPr>
            <w:tcW w:type="dxa" w:w="2556"/>
            <w:vAlign w:val="center"/>
          </w:tcPr>
          <w:p>
            <w:r/>
            <w:r>
              <w:rPr>
                <w:b w:val="0"/>
                <w:sz w:val="17"/>
              </w:rPr>
              <w:t>80.2%</w:t>
            </w:r>
          </w:p>
        </w:tc>
      </w:tr>
      <w:tr>
        <w:tc>
          <w:tcPr>
            <w:tcW w:type="dxa" w:w="2556"/>
            <w:vAlign w:val="center"/>
          </w:tcPr>
          <w:p>
            <w:r/>
            <w:r>
              <w:rPr>
                <w:b w:val="0"/>
                <w:sz w:val="17"/>
              </w:rPr>
              <w:t>Rule</w:t>
            </w:r>
          </w:p>
        </w:tc>
        <w:tc>
          <w:tcPr>
            <w:tcW w:type="dxa" w:w="2556"/>
            <w:vAlign w:val="center"/>
          </w:tcPr>
          <w:p>
            <w:r/>
            <w:r>
              <w:rPr>
                <w:b w:val="0"/>
                <w:sz w:val="17"/>
              </w:rPr>
              <w:t>Scan date earlier than transaction date</w:t>
            </w:r>
          </w:p>
        </w:tc>
        <w:tc>
          <w:tcPr>
            <w:tcW w:type="dxa" w:w="2556"/>
            <w:vAlign w:val="center"/>
          </w:tcPr>
          <w:p>
            <w:r/>
            <w:r>
              <w:rPr>
                <w:b w:val="0"/>
                <w:sz w:val="17"/>
              </w:rPr>
              <w:t>328</w:t>
            </w:r>
          </w:p>
        </w:tc>
        <w:tc>
          <w:tcPr>
            <w:tcW w:type="dxa" w:w="2556"/>
            <w:vAlign w:val="center"/>
          </w:tcPr>
          <w:p>
            <w:r/>
            <w:r>
              <w:rPr>
                <w:b w:val="0"/>
                <w:sz w:val="17"/>
              </w:rPr>
              <w:t>14.6%</w:t>
            </w:r>
          </w:p>
        </w:tc>
      </w:tr>
      <w:tr>
        <w:tc>
          <w:tcPr>
            <w:tcW w:type="dxa" w:w="2556"/>
            <w:vAlign w:val="center"/>
          </w:tcPr>
          <w:p>
            <w:r/>
            <w:r>
              <w:rPr>
                <w:b w:val="0"/>
                <w:sz w:val="17"/>
              </w:rPr>
              <w:t>CustomerViolation</w:t>
            </w:r>
          </w:p>
        </w:tc>
        <w:tc>
          <w:tcPr>
            <w:tcW w:type="dxa" w:w="2556"/>
            <w:vAlign w:val="center"/>
          </w:tcPr>
          <w:p>
            <w:r/>
            <w:r>
              <w:rPr>
                <w:b w:val="0"/>
                <w:sz w:val="17"/>
              </w:rPr>
              <w:t>Closure date earlier than alert generation</w:t>
            </w:r>
          </w:p>
        </w:tc>
        <w:tc>
          <w:tcPr>
            <w:tcW w:type="dxa" w:w="2556"/>
            <w:vAlign w:val="center"/>
          </w:tcPr>
          <w:p>
            <w:r/>
            <w:r>
              <w:rPr>
                <w:b w:val="0"/>
                <w:sz w:val="17"/>
              </w:rPr>
              <w:t>3</w:t>
            </w:r>
          </w:p>
        </w:tc>
        <w:tc>
          <w:tcPr>
            <w:tcW w:type="dxa" w:w="2556"/>
            <w:vAlign w:val="center"/>
          </w:tcPr>
          <w:p>
            <w:r/>
            <w:r>
              <w:rPr>
                <w:b w:val="0"/>
                <w:sz w:val="17"/>
              </w:rPr>
              <w:t>0.1%</w:t>
            </w:r>
          </w:p>
        </w:tc>
      </w:tr>
    </w:tbl>
    <w:p>
      <w:r>
        <w:t>These timestamp relationships must be clarified with the client before using temporal features. They may reflect business processing semantics, source-system timestamps, or data-quality issues. The PoC should not silently correct them.</w:t>
      </w:r>
    </w:p>
    <w:p>
      <w:pPr>
        <w:pStyle w:val="Heading1"/>
      </w:pPr>
      <w:r>
        <w:t>5. Label and Outcome Audit</w:t>
      </w:r>
    </w:p>
    <w:p>
      <w:r>
        <w:t>The most important finding is that the workbook is not a clean supervised learning dataset. The operational status fields do not reliably represent the desired ML target.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Dataset</w:t>
            </w:r>
          </w:p>
        </w:tc>
        <w:tc>
          <w:tcPr>
            <w:tcW w:type="dxa" w:w="2045"/>
            <w:vAlign w:val="center"/>
            <w:shd w:fill="D9EAF7"/>
          </w:tcPr>
          <w:p>
            <w:r/>
            <w:r>
              <w:rPr>
                <w:b/>
                <w:sz w:val="16"/>
              </w:rPr>
              <w:t>Released</w:t>
            </w:r>
          </w:p>
        </w:tc>
        <w:tc>
          <w:tcPr>
            <w:tcW w:type="dxa" w:w="2045"/>
            <w:vAlign w:val="center"/>
            <w:shd w:fill="D9EAF7"/>
          </w:tcPr>
          <w:p>
            <w:r/>
            <w:r>
              <w:rPr>
                <w:b/>
                <w:sz w:val="16"/>
              </w:rPr>
              <w:t>UPS</w:t>
            </w:r>
          </w:p>
        </w:tc>
        <w:tc>
          <w:tcPr>
            <w:tcW w:type="dxa" w:w="2045"/>
            <w:vAlign w:val="center"/>
            <w:shd w:fill="D9EAF7"/>
          </w:tcPr>
          <w:p>
            <w:r/>
            <w:r>
              <w:rPr>
                <w:b/>
                <w:sz w:val="16"/>
              </w:rPr>
              <w:t>Other</w:t>
            </w:r>
          </w:p>
        </w:tc>
        <w:tc>
          <w:tcPr>
            <w:tcW w:type="dxa" w:w="2045"/>
            <w:vAlign w:val="center"/>
            <w:shd w:fill="D9EAF7"/>
          </w:tcPr>
          <w:p>
            <w:r/>
            <w:r>
              <w:rPr>
                <w:b/>
                <w:sz w:val="16"/>
              </w:rPr>
              <w:t>Comment contains 'false positive'</w:t>
            </w:r>
          </w:p>
        </w:tc>
      </w:tr>
      <w:tr>
        <w:tc>
          <w:tcPr>
            <w:tcW w:type="dxa" w:w="2045"/>
            <w:vAlign w:val="center"/>
          </w:tcPr>
          <w:p>
            <w:r/>
            <w:r>
              <w:rPr>
                <w:b w:val="0"/>
                <w:sz w:val="16"/>
              </w:rPr>
              <w:t>CustomerViolation</w:t>
            </w:r>
          </w:p>
        </w:tc>
        <w:tc>
          <w:tcPr>
            <w:tcW w:type="dxa" w:w="2045"/>
            <w:vAlign w:val="center"/>
          </w:tcPr>
          <w:p>
            <w:r/>
            <w:r>
              <w:rPr>
                <w:b w:val="0"/>
                <w:sz w:val="16"/>
              </w:rPr>
              <w:t>2,204</w:t>
            </w:r>
          </w:p>
        </w:tc>
        <w:tc>
          <w:tcPr>
            <w:tcW w:type="dxa" w:w="2045"/>
            <w:vAlign w:val="center"/>
          </w:tcPr>
          <w:p>
            <w:r/>
            <w:r>
              <w:rPr>
                <w:b w:val="0"/>
                <w:sz w:val="16"/>
              </w:rPr>
              <w:t>193</w:t>
            </w:r>
          </w:p>
        </w:tc>
        <w:tc>
          <w:tcPr>
            <w:tcW w:type="dxa" w:w="2045"/>
            <w:vAlign w:val="center"/>
          </w:tcPr>
          <w:p>
            <w:r/>
            <w:r>
              <w:rPr>
                <w:b w:val="0"/>
                <w:sz w:val="16"/>
              </w:rPr>
              <w:t>-</w:t>
            </w:r>
          </w:p>
        </w:tc>
        <w:tc>
          <w:tcPr>
            <w:tcW w:type="dxa" w:w="2045"/>
            <w:vAlign w:val="center"/>
          </w:tcPr>
          <w:p>
            <w:r/>
            <w:r>
              <w:rPr>
                <w:b w:val="0"/>
                <w:sz w:val="16"/>
              </w:rPr>
              <w:t>2,155 / 2,397 (89.9%)</w:t>
            </w:r>
          </w:p>
        </w:tc>
      </w:tr>
      <w:tr>
        <w:tc>
          <w:tcPr>
            <w:tcW w:type="dxa" w:w="2045"/>
            <w:vAlign w:val="center"/>
          </w:tcPr>
          <w:p>
            <w:r/>
            <w:r>
              <w:rPr>
                <w:b w:val="0"/>
                <w:sz w:val="16"/>
              </w:rPr>
              <w:t>TransactionNameViolation</w:t>
            </w:r>
          </w:p>
        </w:tc>
        <w:tc>
          <w:tcPr>
            <w:tcW w:type="dxa" w:w="2045"/>
            <w:vAlign w:val="center"/>
          </w:tcPr>
          <w:p>
            <w:r/>
            <w:r>
              <w:rPr>
                <w:b w:val="0"/>
                <w:sz w:val="16"/>
              </w:rPr>
              <w:t>1,970</w:t>
            </w:r>
          </w:p>
        </w:tc>
        <w:tc>
          <w:tcPr>
            <w:tcW w:type="dxa" w:w="2045"/>
            <w:vAlign w:val="center"/>
          </w:tcPr>
          <w:p>
            <w:r/>
            <w:r>
              <w:rPr>
                <w:b w:val="0"/>
                <w:sz w:val="16"/>
              </w:rPr>
              <w:t>28</w:t>
            </w:r>
          </w:p>
        </w:tc>
        <w:tc>
          <w:tcPr>
            <w:tcW w:type="dxa" w:w="2045"/>
            <w:vAlign w:val="center"/>
          </w:tcPr>
          <w:p>
            <w:r/>
            <w:r>
              <w:rPr>
                <w:b w:val="0"/>
                <w:sz w:val="16"/>
              </w:rPr>
              <w:t>2 blank</w:t>
            </w:r>
          </w:p>
        </w:tc>
        <w:tc>
          <w:tcPr>
            <w:tcW w:type="dxa" w:w="2045"/>
            <w:vAlign w:val="center"/>
          </w:tcPr>
          <w:p>
            <w:r/>
            <w:r>
              <w:rPr>
                <w:b w:val="0"/>
                <w:sz w:val="16"/>
              </w:rPr>
              <w:t>1,881 / 2,000 (94.0%)</w:t>
            </w:r>
          </w:p>
        </w:tc>
      </w:tr>
      <w:tr>
        <w:tc>
          <w:tcPr>
            <w:tcW w:type="dxa" w:w="2045"/>
            <w:vAlign w:val="center"/>
          </w:tcPr>
          <w:p>
            <w:r/>
            <w:r>
              <w:rPr>
                <w:b w:val="0"/>
                <w:sz w:val="16"/>
              </w:rPr>
              <w:t>Rule</w:t>
            </w:r>
          </w:p>
        </w:tc>
        <w:tc>
          <w:tcPr>
            <w:tcW w:type="dxa" w:w="2045"/>
            <w:vAlign w:val="center"/>
          </w:tcPr>
          <w:p>
            <w:r/>
            <w:r>
              <w:rPr>
                <w:b w:val="0"/>
                <w:sz w:val="16"/>
              </w:rPr>
              <w:t>1,983</w:t>
            </w:r>
          </w:p>
        </w:tc>
        <w:tc>
          <w:tcPr>
            <w:tcW w:type="dxa" w:w="2045"/>
            <w:vAlign w:val="center"/>
          </w:tcPr>
          <w:p>
            <w:r/>
            <w:r>
              <w:rPr>
                <w:b w:val="0"/>
                <w:sz w:val="16"/>
              </w:rPr>
              <w:t>260</w:t>
            </w:r>
          </w:p>
        </w:tc>
        <w:tc>
          <w:tcPr>
            <w:tcW w:type="dxa" w:w="2045"/>
            <w:vAlign w:val="center"/>
          </w:tcPr>
          <w:p>
            <w:r/>
            <w:r>
              <w:rPr>
                <w:b w:val="0"/>
                <w:sz w:val="16"/>
              </w:rPr>
              <w:t>1 Followup</w:t>
            </w:r>
          </w:p>
        </w:tc>
        <w:tc>
          <w:tcPr>
            <w:tcW w:type="dxa" w:w="2045"/>
            <w:vAlign w:val="center"/>
          </w:tcPr>
          <w:p>
            <w:r/>
            <w:r>
              <w:rPr>
                <w:b w:val="0"/>
                <w:sz w:val="16"/>
              </w:rPr>
              <w:t>74 / 2,244 (3.3%)</w:t>
            </w:r>
          </w:p>
        </w:tc>
      </w:tr>
    </w:tbl>
    <w:p>
      <w:r>
        <w:t>The presence of 'false positive' language in many UPS records is direct evidence that UPS cannot safely be mapped to a positive class. Therefore the initial system must use UNKNOWN/RESOLVED/CONFIRMED outcome semantics instead of manufacturing binary labels.</w:t>
      </w:r>
    </w:p>
    <w:p>
      <w:pPr>
        <w:pStyle w:val="Heading2"/>
      </w:pPr>
      <w:r>
        <w:t>5.1 Recommended outcome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Internal outcome</w:t>
            </w:r>
          </w:p>
        </w:tc>
        <w:tc>
          <w:tcPr>
            <w:tcW w:type="dxa" w:w="3408"/>
            <w:vAlign w:val="center"/>
            <w:shd w:fill="D9EAF7"/>
          </w:tcPr>
          <w:p>
            <w:r/>
            <w:r>
              <w:rPr>
                <w:b/>
                <w:sz w:val="16"/>
              </w:rPr>
              <w:t>Meaning</w:t>
            </w:r>
          </w:p>
        </w:tc>
        <w:tc>
          <w:tcPr>
            <w:tcW w:type="dxa" w:w="3408"/>
            <w:vAlign w:val="center"/>
            <w:shd w:fill="D9EAF7"/>
          </w:tcPr>
          <w:p>
            <w:r/>
            <w:r>
              <w:rPr>
                <w:b/>
                <w:sz w:val="16"/>
              </w:rPr>
              <w:t>Use initially</w:t>
            </w:r>
          </w:p>
        </w:tc>
      </w:tr>
      <w:tr>
        <w:tc>
          <w:tcPr>
            <w:tcW w:type="dxa" w:w="3408"/>
            <w:vAlign w:val="center"/>
          </w:tcPr>
          <w:p>
            <w:r/>
            <w:r>
              <w:rPr>
                <w:b w:val="0"/>
                <w:sz w:val="16"/>
              </w:rPr>
              <w:t>UNKNOWN</w:t>
            </w:r>
          </w:p>
        </w:tc>
        <w:tc>
          <w:tcPr>
            <w:tcW w:type="dxa" w:w="3408"/>
            <w:vAlign w:val="center"/>
          </w:tcPr>
          <w:p>
            <w:r/>
            <w:r>
              <w:rPr>
                <w:b w:val="0"/>
                <w:sz w:val="16"/>
              </w:rPr>
              <w:t>No trustworthy outcome established</w:t>
            </w:r>
          </w:p>
        </w:tc>
        <w:tc>
          <w:tcPr>
            <w:tcW w:type="dxa" w:w="3408"/>
            <w:vAlign w:val="center"/>
          </w:tcPr>
          <w:p>
            <w:r/>
            <w:r>
              <w:rPr>
                <w:b w:val="0"/>
                <w:sz w:val="16"/>
              </w:rPr>
              <w:t>Do not use as supervised target</w:t>
            </w:r>
          </w:p>
        </w:tc>
      </w:tr>
      <w:tr>
        <w:tc>
          <w:tcPr>
            <w:tcW w:type="dxa" w:w="3408"/>
            <w:vAlign w:val="center"/>
          </w:tcPr>
          <w:p>
            <w:r/>
            <w:r>
              <w:rPr>
                <w:b w:val="0"/>
                <w:sz w:val="16"/>
              </w:rPr>
              <w:t>HISTORICALLY_RELEASED</w:t>
            </w:r>
          </w:p>
        </w:tc>
        <w:tc>
          <w:tcPr>
            <w:tcW w:type="dxa" w:w="3408"/>
            <w:vAlign w:val="center"/>
          </w:tcPr>
          <w:p>
            <w:r/>
            <w:r>
              <w:rPr>
                <w:b w:val="0"/>
                <w:sz w:val="16"/>
              </w:rPr>
              <w:t>Operationally released</w:t>
            </w:r>
          </w:p>
        </w:tc>
        <w:tc>
          <w:tcPr>
            <w:tcW w:type="dxa" w:w="3408"/>
            <w:vAlign w:val="center"/>
          </w:tcPr>
          <w:p>
            <w:r/>
            <w:r>
              <w:rPr>
                <w:b w:val="0"/>
                <w:sz w:val="16"/>
              </w:rPr>
              <w:t>Useful for historical context, not proof of false positive</w:t>
            </w:r>
          </w:p>
        </w:tc>
      </w:tr>
      <w:tr>
        <w:tc>
          <w:tcPr>
            <w:tcW w:type="dxa" w:w="3408"/>
            <w:vAlign w:val="center"/>
          </w:tcPr>
          <w:p>
            <w:r/>
            <w:r>
              <w:rPr>
                <w:b w:val="0"/>
                <w:sz w:val="16"/>
              </w:rPr>
              <w:t>CONFIRMED_FALSE_POSITIVE</w:t>
            </w:r>
          </w:p>
        </w:tc>
        <w:tc>
          <w:tcPr>
            <w:tcW w:type="dxa" w:w="3408"/>
            <w:vAlign w:val="center"/>
          </w:tcPr>
          <w:p>
            <w:r/>
            <w:r>
              <w:rPr>
                <w:b w:val="0"/>
                <w:sz w:val="16"/>
              </w:rPr>
              <w:t>Explicitly confirmed by reliable evidence</w:t>
            </w:r>
          </w:p>
        </w:tc>
        <w:tc>
          <w:tcPr>
            <w:tcW w:type="dxa" w:w="3408"/>
            <w:vAlign w:val="center"/>
          </w:tcPr>
          <w:p>
            <w:r/>
            <w:r>
              <w:rPr>
                <w:b w:val="0"/>
                <w:sz w:val="16"/>
              </w:rPr>
              <w:t>Candidate supervised negative label</w:t>
            </w:r>
          </w:p>
        </w:tc>
      </w:tr>
      <w:tr>
        <w:tc>
          <w:tcPr>
            <w:tcW w:type="dxa" w:w="3408"/>
            <w:vAlign w:val="center"/>
          </w:tcPr>
          <w:p>
            <w:r/>
            <w:r>
              <w:rPr>
                <w:b w:val="0"/>
                <w:sz w:val="16"/>
              </w:rPr>
              <w:t>CONFIRMED_TRUE_MATCH</w:t>
            </w:r>
          </w:p>
        </w:tc>
        <w:tc>
          <w:tcPr>
            <w:tcW w:type="dxa" w:w="3408"/>
            <w:vAlign w:val="center"/>
          </w:tcPr>
          <w:p>
            <w:r/>
            <w:r>
              <w:rPr>
                <w:b w:val="0"/>
                <w:sz w:val="16"/>
              </w:rPr>
              <w:t>Confirmed genuine match</w:t>
            </w:r>
          </w:p>
        </w:tc>
        <w:tc>
          <w:tcPr>
            <w:tcW w:type="dxa" w:w="3408"/>
            <w:vAlign w:val="center"/>
          </w:tcPr>
          <w:p>
            <w:r/>
            <w:r>
              <w:rPr>
                <w:b w:val="0"/>
                <w:sz w:val="16"/>
              </w:rPr>
              <w:t>Candidate supervised positive label</w:t>
            </w:r>
          </w:p>
        </w:tc>
      </w:tr>
      <w:tr>
        <w:tc>
          <w:tcPr>
            <w:tcW w:type="dxa" w:w="3408"/>
            <w:vAlign w:val="center"/>
          </w:tcPr>
          <w:p>
            <w:r/>
            <w:r>
              <w:rPr>
                <w:b w:val="0"/>
                <w:sz w:val="16"/>
              </w:rPr>
              <w:t>ESCALATED / FOLLOW_UP</w:t>
            </w:r>
          </w:p>
        </w:tc>
        <w:tc>
          <w:tcPr>
            <w:tcW w:type="dxa" w:w="3408"/>
            <w:vAlign w:val="center"/>
          </w:tcPr>
          <w:p>
            <w:r/>
            <w:r>
              <w:rPr>
                <w:b w:val="0"/>
                <w:sz w:val="16"/>
              </w:rPr>
              <w:t>Requires additional review</w:t>
            </w:r>
          </w:p>
        </w:tc>
        <w:tc>
          <w:tcPr>
            <w:tcW w:type="dxa" w:w="3408"/>
            <w:vAlign w:val="center"/>
          </w:tcPr>
          <w:p>
            <w:r/>
            <w:r>
              <w:rPr>
                <w:b w:val="0"/>
                <w:sz w:val="16"/>
              </w:rPr>
              <w:t>Keep separate from positive/negative</w:t>
            </w:r>
          </w:p>
        </w:tc>
      </w:tr>
    </w:tbl>
    <w:p>
      <w:pPr>
        <w:pStyle w:val="Heading1"/>
      </w:pPr>
      <w:r>
        <w:t>6. Unsupervised / Self-Supervised Problem Formulation</w:t>
      </w:r>
    </w:p>
    <w:p>
      <w:r>
        <w:t>The recommended initial formulation is novelty and anomaly detection. The engine learns the distribution of historical entity relationships and transaction behaviour without requiring a complete TRUE/FALSE label set.</w:t>
      </w:r>
    </w:p>
    <w:p>
      <w:pPr>
        <w:pStyle w:val="Heading2"/>
      </w:pPr>
      <w:r>
        <w:t>6.1 Entity intelligence objective</w:t>
      </w:r>
    </w:p>
    <w:p>
      <w:pPr>
        <w:spacing w:after="120"/>
      </w:pPr>
      <w:r>
        <w:rPr>
          <w:rFonts w:ascii="Courier New" w:hAnsi="Courier New"/>
          <w:sz w:val="17"/>
        </w:rPr>
        <w:t>Alerted entity + watchlist entity + historical entity context</w:t>
        <w:br/>
        <w:t xml:space="preserve">                         |</w:t>
        <w:br/>
        <w:t xml:space="preserve">                         v</w:t>
        <w:br/>
        <w:t xml:space="preserve">              Learned entity representation</w:t>
        <w:br/>
        <w:t xml:space="preserve">                         |</w:t>
        <w:br/>
        <w:t xml:space="preserve">              +----------+----------+</w:t>
        <w:br/>
        <w:t xml:space="preserve">              |                     |</w:t>
        <w:br/>
        <w:t xml:space="preserve">              v                     v</w:t>
        <w:br/>
        <w:t xml:space="preserve">       Global population       Customer-specific</w:t>
        <w:br/>
        <w:t xml:space="preserve">          baseline                baseline</w:t>
        <w:br/>
        <w:t xml:space="preserve">              |                     |</w:t>
        <w:br/>
        <w:t xml:space="preserve">              +----------+----------+</w:t>
        <w:br/>
        <w:t xml:space="preserve">                         |</w:t>
        <w:br/>
        <w:t xml:space="preserve">                         v</w:t>
        <w:br/>
        <w:t xml:space="preserve">                 Novelty / anomaly</w:t>
        <w:br/>
        <w:t xml:space="preserve">                     assessment</w:t>
      </w:r>
    </w:p>
    <w:p>
      <w:r>
        <w:t>Customer Name Alerts and Transaction Name Alerts share the entity-intelligence problem, but their transaction context differs. A shared representation layer can be used while retaining alert-type context.</w:t>
      </w:r>
    </w:p>
    <w:p>
      <w:pPr>
        <w:pStyle w:val="Heading2"/>
      </w:pPr>
      <w:r>
        <w:t>6.2 Transaction intelligence objective</w:t>
      </w:r>
    </w:p>
    <w:p>
      <w:pPr>
        <w:spacing w:after="120"/>
      </w:pPr>
      <w:r>
        <w:rPr>
          <w:rFonts w:ascii="Courier New" w:hAnsi="Courier New"/>
          <w:sz w:val="17"/>
        </w:rPr>
        <w:t>Customer + transaction + rule context + historical behaviour</w:t>
        <w:br/>
        <w:t xml:space="preserve">                         |</w:t>
        <w:br/>
        <w:t xml:space="preserve">                         v</w:t>
        <w:br/>
        <w:t xml:space="preserve">              Learned transaction representation</w:t>
        <w:br/>
        <w:t xml:space="preserve">                         |</w:t>
        <w:br/>
        <w:t xml:space="preserve">              +----------+----------+</w:t>
        <w:br/>
        <w:t xml:space="preserve">              |                     |</w:t>
        <w:br/>
        <w:t xml:space="preserve">              v                     v</w:t>
        <w:br/>
        <w:t xml:space="preserve">       Global transaction      Customer-specific</w:t>
        <w:br/>
        <w:t xml:space="preserve">          baseline                baseline</w:t>
        <w:br/>
        <w:t xml:space="preserve">              |                     |</w:t>
        <w:br/>
        <w:t xml:space="preserve">              +----------+----------+</w:t>
        <w:br/>
        <w:t xml:space="preserve">                         |</w:t>
        <w:br/>
        <w:t xml:space="preserve">                         v</w:t>
        <w:br/>
        <w:t xml:space="preserve">                  Anomaly score</w:t>
      </w:r>
    </w:p>
    <w:p>
      <w:r>
        <w:t>The Rule dataset should therefore use a separate transaction intelligence pipeline rather than the same model used for name/watchlist entity resolution.</w:t>
      </w:r>
    </w:p>
    <w:p>
      <w:pPr>
        <w:pStyle w:val="Heading2"/>
      </w:pPr>
      <w:r>
        <w:t>6.3 Why self-supervised learning is useful</w:t>
      </w:r>
    </w:p>
    <w:p>
      <w:pPr>
        <w:pStyle w:val="ListBullet"/>
      </w:pPr>
      <w:r>
        <w:t>Repeated UIN/customer identifiers provide natural relationships between historical records.</w:t>
      </w:r>
    </w:p>
    <w:p>
      <w:pPr>
        <w:pStyle w:val="ListBullet"/>
      </w:pPr>
      <w:r>
        <w:t>Repeated transaction references provide natural transaction-group structure.</w:t>
      </w:r>
    </w:p>
    <w:p>
      <w:pPr>
        <w:pStyle w:val="ListBullet"/>
      </w:pPr>
      <w:r>
        <w:t>Historical rule types provide context for learning rule-specific transaction distributions.</w:t>
      </w:r>
    </w:p>
    <w:p>
      <w:pPr>
        <w:pStyle w:val="ListBullet"/>
      </w:pPr>
      <w:r>
        <w:t>The model can learn representations from these relationships without treating operational status as ground truth.</w:t>
      </w:r>
    </w:p>
    <w:p>
      <w:pPr>
        <w:pStyle w:val="ListBullet"/>
      </w:pPr>
      <w:r>
        <w:t>This makes the architecture suitable even if future production data remains mostly unlabeled.</w:t>
      </w:r>
    </w:p>
    <w:p>
      <w:pPr>
        <w:pStyle w:val="Heading1"/>
      </w:pPr>
      <w:r>
        <w:t>7. Feature and Representation Design</w:t>
      </w:r>
    </w:p>
    <w:p>
      <w:pPr>
        <w:pStyle w:val="Heading2"/>
      </w:pPr>
      <w:r>
        <w:t>7.1 Entity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Feature group</w:t>
            </w:r>
          </w:p>
        </w:tc>
        <w:tc>
          <w:tcPr>
            <w:tcW w:type="dxa" w:w="3408"/>
            <w:vAlign w:val="center"/>
            <w:shd w:fill="D9EAF7"/>
          </w:tcPr>
          <w:p>
            <w:r/>
            <w:r>
              <w:rPr>
                <w:b/>
                <w:sz w:val="16"/>
              </w:rPr>
              <w:t>Current availability</w:t>
            </w:r>
          </w:p>
        </w:tc>
        <w:tc>
          <w:tcPr>
            <w:tcW w:type="dxa" w:w="3408"/>
            <w:vAlign w:val="center"/>
            <w:shd w:fill="D9EAF7"/>
          </w:tcPr>
          <w:p>
            <w:r/>
            <w:r>
              <w:rPr>
                <w:b/>
                <w:sz w:val="16"/>
              </w:rPr>
              <w:t>Design</w:t>
            </w:r>
          </w:p>
        </w:tc>
      </w:tr>
      <w:tr>
        <w:tc>
          <w:tcPr>
            <w:tcW w:type="dxa" w:w="3408"/>
            <w:vAlign w:val="center"/>
          </w:tcPr>
          <w:p>
            <w:r/>
            <w:r>
              <w:rPr>
                <w:b w:val="0"/>
                <w:sz w:val="16"/>
              </w:rPr>
              <w:t>Name</w:t>
            </w:r>
          </w:p>
        </w:tc>
        <w:tc>
          <w:tcPr>
            <w:tcW w:type="dxa" w:w="3408"/>
            <w:vAlign w:val="center"/>
          </w:tcPr>
          <w:p>
            <w:r/>
            <w:r>
              <w:rPr>
                <w:b w:val="0"/>
                <w:sz w:val="16"/>
              </w:rPr>
              <w:t>Strong</w:t>
            </w:r>
          </w:p>
        </w:tc>
        <w:tc>
          <w:tcPr>
            <w:tcW w:type="dxa" w:w="3408"/>
            <w:vAlign w:val="center"/>
          </w:tcPr>
          <w:p>
            <w:r/>
            <w:r>
              <w:rPr>
                <w:b w:val="0"/>
                <w:sz w:val="16"/>
              </w:rPr>
              <w:t>Learned character/token representation; no hardcoded decision weights</w:t>
            </w:r>
          </w:p>
        </w:tc>
      </w:tr>
      <w:tr>
        <w:tc>
          <w:tcPr>
            <w:tcW w:type="dxa" w:w="3408"/>
            <w:vAlign w:val="center"/>
          </w:tcPr>
          <w:p>
            <w:r/>
            <w:r>
              <w:rPr>
                <w:b w:val="0"/>
                <w:sz w:val="16"/>
              </w:rPr>
              <w:t>DOB</w:t>
            </w:r>
          </w:p>
        </w:tc>
        <w:tc>
          <w:tcPr>
            <w:tcW w:type="dxa" w:w="3408"/>
            <w:vAlign w:val="center"/>
          </w:tcPr>
          <w:p>
            <w:r/>
            <w:r>
              <w:rPr>
                <w:b w:val="0"/>
                <w:sz w:val="16"/>
              </w:rPr>
              <w:t>Partial</w:t>
            </w:r>
          </w:p>
        </w:tc>
        <w:tc>
          <w:tcPr>
            <w:tcW w:type="dxa" w:w="3408"/>
            <w:vAlign w:val="center"/>
          </w:tcPr>
          <w:p>
            <w:r/>
            <w:r>
              <w:rPr>
                <w:b w:val="0"/>
                <w:sz w:val="16"/>
              </w:rPr>
              <w:t>Encode when present; missingness is explicit</w:t>
            </w:r>
          </w:p>
        </w:tc>
      </w:tr>
      <w:tr>
        <w:tc>
          <w:tcPr>
            <w:tcW w:type="dxa" w:w="3408"/>
            <w:vAlign w:val="center"/>
          </w:tcPr>
          <w:p>
            <w:r/>
            <w:r>
              <w:rPr>
                <w:b w:val="0"/>
                <w:sz w:val="16"/>
              </w:rPr>
              <w:t>POB</w:t>
            </w:r>
          </w:p>
        </w:tc>
        <w:tc>
          <w:tcPr>
            <w:tcW w:type="dxa" w:w="3408"/>
            <w:vAlign w:val="center"/>
          </w:tcPr>
          <w:p>
            <w:r/>
            <w:r>
              <w:rPr>
                <w:b w:val="0"/>
                <w:sz w:val="16"/>
              </w:rPr>
              <w:t>Unavailable</w:t>
            </w:r>
          </w:p>
        </w:tc>
        <w:tc>
          <w:tcPr>
            <w:tcW w:type="dxa" w:w="3408"/>
            <w:vAlign w:val="center"/>
          </w:tcPr>
          <w:p>
            <w:r/>
            <w:r>
              <w:rPr>
                <w:b w:val="0"/>
                <w:sz w:val="16"/>
              </w:rPr>
              <w:t>Exclude from current model; add when source data becomes available</w:t>
            </w:r>
          </w:p>
        </w:tc>
      </w:tr>
      <w:tr>
        <w:tc>
          <w:tcPr>
            <w:tcW w:type="dxa" w:w="3408"/>
            <w:vAlign w:val="center"/>
          </w:tcPr>
          <w:p>
            <w:r/>
            <w:r>
              <w:rPr>
                <w:b w:val="0"/>
                <w:sz w:val="16"/>
              </w:rPr>
              <w:t>Nationality</w:t>
            </w:r>
          </w:p>
        </w:tc>
        <w:tc>
          <w:tcPr>
            <w:tcW w:type="dxa" w:w="3408"/>
            <w:vAlign w:val="center"/>
          </w:tcPr>
          <w:p>
            <w:r/>
            <w:r>
              <w:rPr>
                <w:b w:val="0"/>
                <w:sz w:val="16"/>
              </w:rPr>
              <w:t>Moderate/strong depending on sheet</w:t>
            </w:r>
          </w:p>
        </w:tc>
        <w:tc>
          <w:tcPr>
            <w:tcW w:type="dxa" w:w="3408"/>
            <w:vAlign w:val="center"/>
          </w:tcPr>
          <w:p>
            <w:r/>
            <w:r>
              <w:rPr>
                <w:b w:val="0"/>
                <w:sz w:val="16"/>
              </w:rPr>
              <w:t>Normalized categorical representation</w:t>
            </w:r>
          </w:p>
        </w:tc>
      </w:tr>
      <w:tr>
        <w:tc>
          <w:tcPr>
            <w:tcW w:type="dxa" w:w="3408"/>
            <w:vAlign w:val="center"/>
          </w:tcPr>
          <w:p>
            <w:r/>
            <w:r>
              <w:rPr>
                <w:b w:val="0"/>
                <w:sz w:val="16"/>
              </w:rPr>
              <w:t>Screening match %</w:t>
            </w:r>
          </w:p>
        </w:tc>
        <w:tc>
          <w:tcPr>
            <w:tcW w:type="dxa" w:w="3408"/>
            <w:vAlign w:val="center"/>
          </w:tcPr>
          <w:p>
            <w:r/>
            <w:r>
              <w:rPr>
                <w:b w:val="0"/>
                <w:sz w:val="16"/>
              </w:rPr>
              <w:t>Available</w:t>
            </w:r>
          </w:p>
        </w:tc>
        <w:tc>
          <w:tcPr>
            <w:tcW w:type="dxa" w:w="3408"/>
            <w:vAlign w:val="center"/>
          </w:tcPr>
          <w:p>
            <w:r/>
            <w:r>
              <w:rPr>
                <w:b w:val="0"/>
                <w:sz w:val="16"/>
              </w:rPr>
              <w:t>Use as a model feature, not a hardcoded threshold</w:t>
            </w:r>
          </w:p>
        </w:tc>
      </w:tr>
      <w:tr>
        <w:tc>
          <w:tcPr>
            <w:tcW w:type="dxa" w:w="3408"/>
            <w:vAlign w:val="center"/>
          </w:tcPr>
          <w:p>
            <w:r/>
            <w:r>
              <w:rPr>
                <w:b w:val="0"/>
                <w:sz w:val="16"/>
              </w:rPr>
              <w:t>Screening list</w:t>
            </w:r>
          </w:p>
        </w:tc>
        <w:tc>
          <w:tcPr>
            <w:tcW w:type="dxa" w:w="3408"/>
            <w:vAlign w:val="center"/>
          </w:tcPr>
          <w:p>
            <w:r/>
            <w:r>
              <w:rPr>
                <w:b w:val="0"/>
                <w:sz w:val="16"/>
              </w:rPr>
              <w:t>Available</w:t>
            </w:r>
          </w:p>
        </w:tc>
        <w:tc>
          <w:tcPr>
            <w:tcW w:type="dxa" w:w="3408"/>
            <w:vAlign w:val="center"/>
          </w:tcPr>
          <w:p>
            <w:r/>
            <w:r>
              <w:rPr>
                <w:b w:val="0"/>
                <w:sz w:val="16"/>
              </w:rPr>
              <w:t>Categorical/context feature</w:t>
            </w:r>
          </w:p>
        </w:tc>
      </w:tr>
      <w:tr>
        <w:tc>
          <w:tcPr>
            <w:tcW w:type="dxa" w:w="3408"/>
            <w:vAlign w:val="center"/>
          </w:tcPr>
          <w:p>
            <w:r/>
            <w:r>
              <w:rPr>
                <w:b w:val="0"/>
                <w:sz w:val="16"/>
              </w:rPr>
              <w:t>Alerted party type</w:t>
            </w:r>
          </w:p>
        </w:tc>
        <w:tc>
          <w:tcPr>
            <w:tcW w:type="dxa" w:w="3408"/>
            <w:vAlign w:val="center"/>
          </w:tcPr>
          <w:p>
            <w:r/>
            <w:r>
              <w:rPr>
                <w:b w:val="0"/>
                <w:sz w:val="16"/>
              </w:rPr>
              <w:t>Available</w:t>
            </w:r>
          </w:p>
        </w:tc>
        <w:tc>
          <w:tcPr>
            <w:tcW w:type="dxa" w:w="3408"/>
            <w:vAlign w:val="center"/>
          </w:tcPr>
          <w:p>
            <w:r/>
            <w:r>
              <w:rPr>
                <w:b w:val="0"/>
                <w:sz w:val="16"/>
              </w:rPr>
              <w:t>Context feature</w:t>
            </w:r>
          </w:p>
        </w:tc>
      </w:tr>
      <w:tr>
        <w:tc>
          <w:tcPr>
            <w:tcW w:type="dxa" w:w="3408"/>
            <w:vAlign w:val="center"/>
          </w:tcPr>
          <w:p>
            <w:r/>
            <w:r>
              <w:rPr>
                <w:b w:val="0"/>
                <w:sz w:val="16"/>
              </w:rPr>
              <w:t>Customer type</w:t>
            </w:r>
          </w:p>
        </w:tc>
        <w:tc>
          <w:tcPr>
            <w:tcW w:type="dxa" w:w="3408"/>
            <w:vAlign w:val="center"/>
          </w:tcPr>
          <w:p>
            <w:r/>
            <w:r>
              <w:rPr>
                <w:b w:val="0"/>
                <w:sz w:val="16"/>
              </w:rPr>
              <w:t>Available</w:t>
            </w:r>
          </w:p>
        </w:tc>
        <w:tc>
          <w:tcPr>
            <w:tcW w:type="dxa" w:w="3408"/>
            <w:vAlign w:val="center"/>
          </w:tcPr>
          <w:p>
            <w:r/>
            <w:r>
              <w:rPr>
                <w:b w:val="0"/>
                <w:sz w:val="16"/>
              </w:rPr>
              <w:t>Context feature</w:t>
            </w:r>
          </w:p>
        </w:tc>
      </w:tr>
      <w:tr>
        <w:tc>
          <w:tcPr>
            <w:tcW w:type="dxa" w:w="3408"/>
            <w:vAlign w:val="center"/>
          </w:tcPr>
          <w:p>
            <w:r/>
            <w:r>
              <w:rPr>
                <w:b w:val="0"/>
                <w:sz w:val="16"/>
              </w:rPr>
              <w:t>Historical customer alerts</w:t>
            </w:r>
          </w:p>
        </w:tc>
        <w:tc>
          <w:tcPr>
            <w:tcW w:type="dxa" w:w="3408"/>
            <w:vAlign w:val="center"/>
          </w:tcPr>
          <w:p>
            <w:r/>
            <w:r>
              <w:rPr>
                <w:b w:val="0"/>
                <w:sz w:val="16"/>
              </w:rPr>
              <w:t>Available</w:t>
            </w:r>
          </w:p>
        </w:tc>
        <w:tc>
          <w:tcPr>
            <w:tcW w:type="dxa" w:w="3408"/>
            <w:vAlign w:val="center"/>
          </w:tcPr>
          <w:p>
            <w:r/>
            <w:r>
              <w:rPr>
                <w:b w:val="0"/>
                <w:sz w:val="16"/>
              </w:rPr>
              <w:t>Aggregate/customer representation</w:t>
            </w:r>
          </w:p>
        </w:tc>
      </w:tr>
    </w:tbl>
    <w:p>
      <w:pPr>
        <w:pStyle w:val="Heading2"/>
      </w:pPr>
      <w:r>
        <w:t>7.2 Transaction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Feature group</w:t>
            </w:r>
          </w:p>
        </w:tc>
        <w:tc>
          <w:tcPr>
            <w:tcW w:type="dxa" w:w="3408"/>
            <w:vAlign w:val="center"/>
            <w:shd w:fill="D9EAF7"/>
          </w:tcPr>
          <w:p>
            <w:r/>
            <w:r>
              <w:rPr>
                <w:b/>
                <w:sz w:val="16"/>
              </w:rPr>
              <w:t>Current sample</w:t>
            </w:r>
          </w:p>
        </w:tc>
        <w:tc>
          <w:tcPr>
            <w:tcW w:type="dxa" w:w="3408"/>
            <w:vAlign w:val="center"/>
            <w:shd w:fill="D9EAF7"/>
          </w:tcPr>
          <w:p>
            <w:r/>
            <w:r>
              <w:rPr>
                <w:b/>
                <w:sz w:val="16"/>
              </w:rPr>
              <w:t>Production recommendation</w:t>
            </w:r>
          </w:p>
        </w:tc>
      </w:tr>
      <w:tr>
        <w:tc>
          <w:tcPr>
            <w:tcW w:type="dxa" w:w="3408"/>
            <w:vAlign w:val="center"/>
          </w:tcPr>
          <w:p>
            <w:r/>
            <w:r>
              <w:rPr>
                <w:b w:val="0"/>
                <w:sz w:val="16"/>
              </w:rPr>
              <w:t>Transaction type</w:t>
            </w:r>
          </w:p>
        </w:tc>
        <w:tc>
          <w:tcPr>
            <w:tcW w:type="dxa" w:w="3408"/>
            <w:vAlign w:val="center"/>
          </w:tcPr>
          <w:p>
            <w:r/>
            <w:r>
              <w:rPr>
                <w:b w:val="0"/>
                <w:sz w:val="16"/>
              </w:rPr>
              <w:t>Available</w:t>
            </w:r>
          </w:p>
        </w:tc>
        <w:tc>
          <w:tcPr>
            <w:tcW w:type="dxa" w:w="3408"/>
            <w:vAlign w:val="center"/>
          </w:tcPr>
          <w:p>
            <w:r/>
            <w:r>
              <w:rPr>
                <w:b w:val="0"/>
                <w:sz w:val="16"/>
              </w:rPr>
              <w:t>Use</w:t>
            </w:r>
          </w:p>
        </w:tc>
      </w:tr>
      <w:tr>
        <w:tc>
          <w:tcPr>
            <w:tcW w:type="dxa" w:w="3408"/>
            <w:vAlign w:val="center"/>
          </w:tcPr>
          <w:p>
            <w:r/>
            <w:r>
              <w:rPr>
                <w:b w:val="0"/>
                <w:sz w:val="16"/>
              </w:rPr>
              <w:t>Transaction amount</w:t>
            </w:r>
          </w:p>
        </w:tc>
        <w:tc>
          <w:tcPr>
            <w:tcW w:type="dxa" w:w="3408"/>
            <w:vAlign w:val="center"/>
          </w:tcPr>
          <w:p>
            <w:r/>
            <w:r>
              <w:rPr>
                <w:b w:val="0"/>
                <w:sz w:val="16"/>
              </w:rPr>
              <w:t>Not cleanly structured in Rule</w:t>
            </w:r>
          </w:p>
        </w:tc>
        <w:tc>
          <w:tcPr>
            <w:tcW w:type="dxa" w:w="3408"/>
            <w:vAlign w:val="center"/>
          </w:tcPr>
          <w:p>
            <w:r/>
            <w:r>
              <w:rPr>
                <w:b w:val="0"/>
                <w:sz w:val="16"/>
              </w:rPr>
              <w:t>Obtain structured source field</w:t>
            </w:r>
          </w:p>
        </w:tc>
      </w:tr>
      <w:tr>
        <w:tc>
          <w:tcPr>
            <w:tcW w:type="dxa" w:w="3408"/>
            <w:vAlign w:val="center"/>
          </w:tcPr>
          <w:p>
            <w:r/>
            <w:r>
              <w:rPr>
                <w:b w:val="0"/>
                <w:sz w:val="16"/>
              </w:rPr>
              <w:t>Currency</w:t>
            </w:r>
          </w:p>
        </w:tc>
        <w:tc>
          <w:tcPr>
            <w:tcW w:type="dxa" w:w="3408"/>
            <w:vAlign w:val="center"/>
          </w:tcPr>
          <w:p>
            <w:r/>
            <w:r>
              <w:rPr>
                <w:b w:val="0"/>
                <w:sz w:val="16"/>
              </w:rPr>
              <w:t>Partially available</w:t>
            </w:r>
          </w:p>
        </w:tc>
        <w:tc>
          <w:tcPr>
            <w:tcW w:type="dxa" w:w="3408"/>
            <w:vAlign w:val="center"/>
          </w:tcPr>
          <w:p>
            <w:r/>
            <w:r>
              <w:rPr>
                <w:b w:val="0"/>
                <w:sz w:val="16"/>
              </w:rPr>
              <w:t>Use normalized currency</w:t>
            </w:r>
          </w:p>
        </w:tc>
      </w:tr>
      <w:tr>
        <w:tc>
          <w:tcPr>
            <w:tcW w:type="dxa" w:w="3408"/>
            <w:vAlign w:val="center"/>
          </w:tcPr>
          <w:p>
            <w:r/>
            <w:r>
              <w:rPr>
                <w:b w:val="0"/>
                <w:sz w:val="16"/>
              </w:rPr>
              <w:t>Beneficiary</w:t>
            </w:r>
          </w:p>
        </w:tc>
        <w:tc>
          <w:tcPr>
            <w:tcW w:type="dxa" w:w="3408"/>
            <w:vAlign w:val="center"/>
          </w:tcPr>
          <w:p>
            <w:r/>
            <w:r>
              <w:rPr>
                <w:b w:val="0"/>
                <w:sz w:val="16"/>
              </w:rPr>
              <w:t>Partially available</w:t>
            </w:r>
          </w:p>
        </w:tc>
        <w:tc>
          <w:tcPr>
            <w:tcW w:type="dxa" w:w="3408"/>
            <w:vAlign w:val="center"/>
          </w:tcPr>
          <w:p>
            <w:r/>
            <w:r>
              <w:rPr>
                <w:b w:val="0"/>
                <w:sz w:val="16"/>
              </w:rPr>
              <w:t>Use when present</w:t>
            </w:r>
          </w:p>
        </w:tc>
      </w:tr>
      <w:tr>
        <w:tc>
          <w:tcPr>
            <w:tcW w:type="dxa" w:w="3408"/>
            <w:vAlign w:val="center"/>
          </w:tcPr>
          <w:p>
            <w:r/>
            <w:r>
              <w:rPr>
                <w:b w:val="0"/>
                <w:sz w:val="16"/>
              </w:rPr>
              <w:t>Purpose</w:t>
            </w:r>
          </w:p>
        </w:tc>
        <w:tc>
          <w:tcPr>
            <w:tcW w:type="dxa" w:w="3408"/>
            <w:vAlign w:val="center"/>
          </w:tcPr>
          <w:p>
            <w:r/>
            <w:r>
              <w:rPr>
                <w:b w:val="0"/>
                <w:sz w:val="16"/>
              </w:rPr>
              <w:t>Partially available</w:t>
            </w:r>
          </w:p>
        </w:tc>
        <w:tc>
          <w:tcPr>
            <w:tcW w:type="dxa" w:w="3408"/>
            <w:vAlign w:val="center"/>
          </w:tcPr>
          <w:p>
            <w:r/>
            <w:r>
              <w:rPr>
                <w:b w:val="0"/>
                <w:sz w:val="16"/>
              </w:rPr>
              <w:t>Use when present</w:t>
            </w:r>
          </w:p>
        </w:tc>
      </w:tr>
      <w:tr>
        <w:tc>
          <w:tcPr>
            <w:tcW w:type="dxa" w:w="3408"/>
            <w:vAlign w:val="center"/>
          </w:tcPr>
          <w:p>
            <w:r/>
            <w:r>
              <w:rPr>
                <w:b w:val="0"/>
                <w:sz w:val="16"/>
              </w:rPr>
              <w:t>Country</w:t>
            </w:r>
          </w:p>
        </w:tc>
        <w:tc>
          <w:tcPr>
            <w:tcW w:type="dxa" w:w="3408"/>
            <w:vAlign w:val="center"/>
          </w:tcPr>
          <w:p>
            <w:r/>
            <w:r>
              <w:rPr>
                <w:b w:val="0"/>
                <w:sz w:val="16"/>
              </w:rPr>
              <w:t>Present in some contextual fields/comments</w:t>
            </w:r>
          </w:p>
        </w:tc>
        <w:tc>
          <w:tcPr>
            <w:tcW w:type="dxa" w:w="3408"/>
            <w:vAlign w:val="center"/>
          </w:tcPr>
          <w:p>
            <w:r/>
            <w:r>
              <w:rPr>
                <w:b w:val="0"/>
                <w:sz w:val="16"/>
              </w:rPr>
              <w:t>Prefer structured source fields</w:t>
            </w:r>
          </w:p>
        </w:tc>
      </w:tr>
      <w:tr>
        <w:tc>
          <w:tcPr>
            <w:tcW w:type="dxa" w:w="3408"/>
            <w:vAlign w:val="center"/>
          </w:tcPr>
          <w:p>
            <w:r/>
            <w:r>
              <w:rPr>
                <w:b w:val="0"/>
                <w:sz w:val="16"/>
              </w:rPr>
              <w:t>Historical transaction behaviour</w:t>
            </w:r>
          </w:p>
        </w:tc>
        <w:tc>
          <w:tcPr>
            <w:tcW w:type="dxa" w:w="3408"/>
            <w:vAlign w:val="center"/>
          </w:tcPr>
          <w:p>
            <w:r/>
            <w:r>
              <w:rPr>
                <w:b w:val="0"/>
                <w:sz w:val="16"/>
              </w:rPr>
              <w:t>Partially inferable</w:t>
            </w:r>
          </w:p>
        </w:tc>
        <w:tc>
          <w:tcPr>
            <w:tcW w:type="dxa" w:w="3408"/>
            <w:vAlign w:val="center"/>
          </w:tcPr>
          <w:p>
            <w:r/>
            <w:r>
              <w:rPr>
                <w:b w:val="0"/>
                <w:sz w:val="16"/>
              </w:rPr>
              <w:t>Obtain full transaction history</w:t>
            </w:r>
          </w:p>
        </w:tc>
      </w:tr>
      <w:tr>
        <w:tc>
          <w:tcPr>
            <w:tcW w:type="dxa" w:w="3408"/>
            <w:vAlign w:val="center"/>
          </w:tcPr>
          <w:p>
            <w:r/>
            <w:r>
              <w:rPr>
                <w:b w:val="0"/>
                <w:sz w:val="16"/>
              </w:rPr>
              <w:t>Rule type/name</w:t>
            </w:r>
          </w:p>
        </w:tc>
        <w:tc>
          <w:tcPr>
            <w:tcW w:type="dxa" w:w="3408"/>
            <w:vAlign w:val="center"/>
          </w:tcPr>
          <w:p>
            <w:r/>
            <w:r>
              <w:rPr>
                <w:b w:val="0"/>
                <w:sz w:val="16"/>
              </w:rPr>
              <w:t>Strong</w:t>
            </w:r>
          </w:p>
        </w:tc>
        <w:tc>
          <w:tcPr>
            <w:tcW w:type="dxa" w:w="3408"/>
            <w:vAlign w:val="center"/>
          </w:tcPr>
          <w:p>
            <w:r/>
            <w:r>
              <w:rPr>
                <w:b w:val="0"/>
                <w:sz w:val="16"/>
              </w:rPr>
              <w:t>Use as context; do not replace rule logic with ML</w:t>
            </w:r>
          </w:p>
        </w:tc>
      </w:tr>
      <w:tr>
        <w:tc>
          <w:tcPr>
            <w:tcW w:type="dxa" w:w="3408"/>
            <w:vAlign w:val="center"/>
          </w:tcPr>
          <w:p>
            <w:r/>
            <w:r>
              <w:rPr>
                <w:b w:val="0"/>
                <w:sz w:val="16"/>
              </w:rPr>
              <w:t>Post-review comments</w:t>
            </w:r>
          </w:p>
        </w:tc>
        <w:tc>
          <w:tcPr>
            <w:tcW w:type="dxa" w:w="3408"/>
            <w:vAlign w:val="center"/>
          </w:tcPr>
          <w:p>
            <w:r/>
            <w:r>
              <w:rPr>
                <w:b w:val="0"/>
                <w:sz w:val="16"/>
              </w:rPr>
              <w:t>Available</w:t>
            </w:r>
          </w:p>
        </w:tc>
        <w:tc>
          <w:tcPr>
            <w:tcW w:type="dxa" w:w="3408"/>
            <w:vAlign w:val="center"/>
          </w:tcPr>
          <w:p>
            <w:r/>
            <w:r>
              <w:rPr>
                <w:b w:val="0"/>
                <w:sz w:val="16"/>
              </w:rPr>
              <w:t>Training/outcome analysis only; never live input</w:t>
            </w:r>
          </w:p>
        </w:tc>
      </w:tr>
    </w:tbl>
    <w:p>
      <w:pPr>
        <w:pStyle w:val="Heading1"/>
      </w:pPr>
      <w:r>
        <w:t>8. Target ML Architecture</w:t>
      </w:r>
    </w:p>
    <w:p>
      <w:pPr>
        <w:spacing w:after="120"/>
      </w:pPr>
      <w:r>
        <w:rPr>
          <w:rFonts w:ascii="Courier New" w:hAnsi="Courier New"/>
          <w:sz w:val="17"/>
        </w:rPr>
        <w:t xml:space="preserve">                         ALERT INTELLIGENCE ENGINE</w:t>
        <w:br/>
        <w:t xml:space="preserve">                                  |</w:t>
        <w:br/>
        <w:t xml:space="preserve">                            Alert Intake API</w:t>
        <w:br/>
        <w:t xml:space="preserve">                                  |</w:t>
        <w:br/>
        <w:t xml:space="preserve">                         Normalization Layer</w:t>
        <w:br/>
        <w:t xml:space="preserve">                                  |</w:t>
        <w:br/>
        <w:t xml:space="preserve">                +-----------------+-----------------+</w:t>
        <w:br/>
        <w:t xml:space="preserve">                |                                   |</w:t>
        <w:br/>
        <w:t xml:space="preserve">          ENTITY PIPELINE                    TRANSACTION PIPELINE</w:t>
        <w:br/>
        <w:t xml:space="preserve">                |                                   |</w:t>
        <w:br/>
        <w:t xml:space="preserve">      Customer + Transaction Name              Rule Alerts</w:t>
        <w:br/>
        <w:t xml:space="preserve">                |                                   |</w:t>
        <w:br/>
        <w:t xml:space="preserve">                v                                   v</w:t>
        <w:br/>
        <w:t xml:space="preserve">       Self-supervised entity             Self-supervised /</w:t>
        <w:br/>
        <w:t xml:space="preserve">          representation                    learned transaction</w:t>
        <w:br/>
        <w:t xml:space="preserve">                |                             representation</w:t>
        <w:br/>
        <w:t xml:space="preserve">                v                                   v</w:t>
        <w:br/>
        <w:t xml:space="preserve">       Global anomaly model                Global anomaly model</w:t>
        <w:br/>
        <w:t xml:space="preserve">                |                                   |</w:t>
        <w:br/>
        <w:t xml:space="preserve">       Customer-specific baseline            Customer baseline</w:t>
        <w:br/>
        <w:t xml:space="preserve">                |                                   |</w:t>
        <w:br/>
        <w:t xml:space="preserve">                +-----------------+-----------------+</w:t>
        <w:br/>
        <w:t xml:space="preserve">                                  |</w:t>
        <w:br/>
        <w:t xml:space="preserve">                           Decision Support</w:t>
        <w:br/>
        <w:t xml:space="preserve">                                  |</w:t>
        <w:br/>
        <w:t xml:space="preserve">                     +------------+------------+</w:t>
        <w:br/>
        <w:t xml:space="preserve">                     |                         |</w:t>
        <w:br/>
        <w:t xml:space="preserve">                 Lower novelty             High novelty</w:t>
        <w:br/>
        <w:t xml:space="preserve">                     |                         |</w:t>
        <w:br/>
        <w:t xml:space="preserve">              Candidate handling          Compliance review</w:t>
        <w:br/>
        <w:t xml:space="preserve">                     |                         |</w:t>
        <w:br/>
        <w:t xml:space="preserve">                     +------------+------------+</w:t>
        <w:br/>
        <w:t xml:space="preserve">                                  |</w:t>
        <w:br/>
        <w:t xml:space="preserve">                          Outcome / Feedback</w:t>
        <w:br/>
        <w:t xml:space="preserve">                                  |</w:t>
        <w:br/>
        <w:t xml:space="preserve">                          Model versioning</w:t>
        <w:br/>
        <w:t xml:space="preserve">                                  |</w:t>
        <w:br/>
        <w:t xml:space="preserve">                      Future supervised layer</w:t>
      </w:r>
    </w:p>
    <w:p>
      <w:pPr>
        <w:pStyle w:val="Heading2"/>
      </w:pPr>
      <w:r>
        <w:t>8.1 No-LLM implementation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Layer</w:t>
            </w:r>
          </w:p>
        </w:tc>
        <w:tc>
          <w:tcPr>
            <w:tcW w:type="dxa" w:w="3408"/>
            <w:vAlign w:val="center"/>
            <w:shd w:fill="D9EAF7"/>
          </w:tcPr>
          <w:p>
            <w:r/>
            <w:r>
              <w:rPr>
                <w:b/>
                <w:sz w:val="16"/>
              </w:rPr>
              <w:t>Recommended technology</w:t>
            </w:r>
          </w:p>
        </w:tc>
        <w:tc>
          <w:tcPr>
            <w:tcW w:type="dxa" w:w="3408"/>
            <w:vAlign w:val="center"/>
            <w:shd w:fill="D9EAF7"/>
          </w:tcPr>
          <w:p>
            <w:r/>
            <w:r>
              <w:rPr>
                <w:b/>
                <w:sz w:val="16"/>
              </w:rPr>
              <w:t>Cost model</w:t>
            </w:r>
          </w:p>
        </w:tc>
      </w:tr>
      <w:tr>
        <w:tc>
          <w:tcPr>
            <w:tcW w:type="dxa" w:w="3408"/>
            <w:vAlign w:val="center"/>
          </w:tcPr>
          <w:p>
            <w:r/>
            <w:r>
              <w:rPr>
                <w:b w:val="0"/>
                <w:sz w:val="16"/>
              </w:rPr>
              <w:t>API</w:t>
            </w:r>
          </w:p>
        </w:tc>
        <w:tc>
          <w:tcPr>
            <w:tcW w:type="dxa" w:w="3408"/>
            <w:vAlign w:val="center"/>
          </w:tcPr>
          <w:p>
            <w:r/>
            <w:r>
              <w:rPr>
                <w:b w:val="0"/>
                <w:sz w:val="16"/>
              </w:rPr>
              <w:t>Python + FastAPI</w:t>
            </w:r>
          </w:p>
        </w:tc>
        <w:tc>
          <w:tcPr>
            <w:tcW w:type="dxa" w:w="3408"/>
            <w:vAlign w:val="center"/>
          </w:tcPr>
          <w:p>
            <w:r/>
            <w:r>
              <w:rPr>
                <w:b w:val="0"/>
                <w:sz w:val="16"/>
              </w:rPr>
              <w:t>Open-source</w:t>
            </w:r>
          </w:p>
        </w:tc>
      </w:tr>
      <w:tr>
        <w:tc>
          <w:tcPr>
            <w:tcW w:type="dxa" w:w="3408"/>
            <w:vAlign w:val="center"/>
          </w:tcPr>
          <w:p>
            <w:r/>
            <w:r>
              <w:rPr>
                <w:b w:val="0"/>
                <w:sz w:val="16"/>
              </w:rPr>
              <w:t>Data processing</w:t>
            </w:r>
          </w:p>
        </w:tc>
        <w:tc>
          <w:tcPr>
            <w:tcW w:type="dxa" w:w="3408"/>
            <w:vAlign w:val="center"/>
          </w:tcPr>
          <w:p>
            <w:r/>
            <w:r>
              <w:rPr>
                <w:b w:val="0"/>
                <w:sz w:val="16"/>
              </w:rPr>
              <w:t>Pandas + NumPy</w:t>
            </w:r>
          </w:p>
        </w:tc>
        <w:tc>
          <w:tcPr>
            <w:tcW w:type="dxa" w:w="3408"/>
            <w:vAlign w:val="center"/>
          </w:tcPr>
          <w:p>
            <w:r/>
            <w:r>
              <w:rPr>
                <w:b w:val="0"/>
                <w:sz w:val="16"/>
              </w:rPr>
              <w:t>Open-source</w:t>
            </w:r>
          </w:p>
        </w:tc>
      </w:tr>
      <w:tr>
        <w:tc>
          <w:tcPr>
            <w:tcW w:type="dxa" w:w="3408"/>
            <w:vAlign w:val="center"/>
          </w:tcPr>
          <w:p>
            <w:r/>
            <w:r>
              <w:rPr>
                <w:b w:val="0"/>
                <w:sz w:val="16"/>
              </w:rPr>
              <w:t>ML</w:t>
            </w:r>
          </w:p>
        </w:tc>
        <w:tc>
          <w:tcPr>
            <w:tcW w:type="dxa" w:w="3408"/>
            <w:vAlign w:val="center"/>
          </w:tcPr>
          <w:p>
            <w:r/>
            <w:r>
              <w:rPr>
                <w:b w:val="0"/>
                <w:sz w:val="16"/>
              </w:rPr>
              <w:t>scikit-learn + PyTorch</w:t>
            </w:r>
          </w:p>
        </w:tc>
        <w:tc>
          <w:tcPr>
            <w:tcW w:type="dxa" w:w="3408"/>
            <w:vAlign w:val="center"/>
          </w:tcPr>
          <w:p>
            <w:r/>
            <w:r>
              <w:rPr>
                <w:b w:val="0"/>
                <w:sz w:val="16"/>
              </w:rPr>
              <w:t>Open-source</w:t>
            </w:r>
          </w:p>
        </w:tc>
      </w:tr>
      <w:tr>
        <w:tc>
          <w:tcPr>
            <w:tcW w:type="dxa" w:w="3408"/>
            <w:vAlign w:val="center"/>
          </w:tcPr>
          <w:p>
            <w:r/>
            <w:r>
              <w:rPr>
                <w:b w:val="0"/>
                <w:sz w:val="16"/>
              </w:rPr>
              <w:t>Feature/representation storage</w:t>
            </w:r>
          </w:p>
        </w:tc>
        <w:tc>
          <w:tcPr>
            <w:tcW w:type="dxa" w:w="3408"/>
            <w:vAlign w:val="center"/>
          </w:tcPr>
          <w:p>
            <w:r/>
            <w:r>
              <w:rPr>
                <w:b w:val="0"/>
                <w:sz w:val="16"/>
              </w:rPr>
              <w:t>PostgreSQL</w:t>
            </w:r>
          </w:p>
        </w:tc>
        <w:tc>
          <w:tcPr>
            <w:tcW w:type="dxa" w:w="3408"/>
            <w:vAlign w:val="center"/>
          </w:tcPr>
          <w:p>
            <w:r/>
            <w:r>
              <w:rPr>
                <w:b w:val="0"/>
                <w:sz w:val="16"/>
              </w:rPr>
              <w:t>Open-source / client-hosted</w:t>
            </w:r>
          </w:p>
        </w:tc>
      </w:tr>
      <w:tr>
        <w:tc>
          <w:tcPr>
            <w:tcW w:type="dxa" w:w="3408"/>
            <w:vAlign w:val="center"/>
          </w:tcPr>
          <w:p>
            <w:r/>
            <w:r>
              <w:rPr>
                <w:b w:val="0"/>
                <w:sz w:val="16"/>
              </w:rPr>
              <w:t>Vector/search layer if needed</w:t>
            </w:r>
          </w:p>
        </w:tc>
        <w:tc>
          <w:tcPr>
            <w:tcW w:type="dxa" w:w="3408"/>
            <w:vAlign w:val="center"/>
          </w:tcPr>
          <w:p>
            <w:r/>
            <w:r>
              <w:rPr>
                <w:b w:val="0"/>
                <w:sz w:val="16"/>
              </w:rPr>
              <w:t>PostgreSQL extensions or open-source search</w:t>
            </w:r>
          </w:p>
        </w:tc>
        <w:tc>
          <w:tcPr>
            <w:tcW w:type="dxa" w:w="3408"/>
            <w:vAlign w:val="center"/>
          </w:tcPr>
          <w:p>
            <w:r/>
            <w:r>
              <w:rPr>
                <w:b w:val="0"/>
                <w:sz w:val="16"/>
              </w:rPr>
              <w:t>Client-hosted</w:t>
            </w:r>
          </w:p>
        </w:tc>
      </w:tr>
      <w:tr>
        <w:tc>
          <w:tcPr>
            <w:tcW w:type="dxa" w:w="3408"/>
            <w:vAlign w:val="center"/>
          </w:tcPr>
          <w:p>
            <w:r/>
            <w:r>
              <w:rPr>
                <w:b w:val="0"/>
                <w:sz w:val="16"/>
              </w:rPr>
              <w:t>Cache</w:t>
            </w:r>
          </w:p>
        </w:tc>
        <w:tc>
          <w:tcPr>
            <w:tcW w:type="dxa" w:w="3408"/>
            <w:vAlign w:val="center"/>
          </w:tcPr>
          <w:p>
            <w:r/>
            <w:r>
              <w:rPr>
                <w:b w:val="0"/>
                <w:sz w:val="16"/>
              </w:rPr>
              <w:t>Redis, only if required</w:t>
            </w:r>
          </w:p>
        </w:tc>
        <w:tc>
          <w:tcPr>
            <w:tcW w:type="dxa" w:w="3408"/>
            <w:vAlign w:val="center"/>
          </w:tcPr>
          <w:p>
            <w:r/>
            <w:r>
              <w:rPr>
                <w:b w:val="0"/>
                <w:sz w:val="16"/>
              </w:rPr>
              <w:t>Open-source / client-hosted</w:t>
            </w:r>
          </w:p>
        </w:tc>
      </w:tr>
      <w:tr>
        <w:tc>
          <w:tcPr>
            <w:tcW w:type="dxa" w:w="3408"/>
            <w:vAlign w:val="center"/>
          </w:tcPr>
          <w:p>
            <w:r/>
            <w:r>
              <w:rPr>
                <w:b w:val="0"/>
                <w:sz w:val="16"/>
              </w:rPr>
              <w:t>Model registry</w:t>
            </w:r>
          </w:p>
        </w:tc>
        <w:tc>
          <w:tcPr>
            <w:tcW w:type="dxa" w:w="3408"/>
            <w:vAlign w:val="center"/>
          </w:tcPr>
          <w:p>
            <w:r/>
            <w:r>
              <w:rPr>
                <w:b w:val="0"/>
                <w:sz w:val="16"/>
              </w:rPr>
              <w:t>MLflow or equivalent</w:t>
            </w:r>
          </w:p>
        </w:tc>
        <w:tc>
          <w:tcPr>
            <w:tcW w:type="dxa" w:w="3408"/>
            <w:vAlign w:val="center"/>
          </w:tcPr>
          <w:p>
            <w:r/>
            <w:r>
              <w:rPr>
                <w:b w:val="0"/>
                <w:sz w:val="16"/>
              </w:rPr>
              <w:t>Open-source / client-hosted</w:t>
            </w:r>
          </w:p>
        </w:tc>
      </w:tr>
      <w:tr>
        <w:tc>
          <w:tcPr>
            <w:tcW w:type="dxa" w:w="3408"/>
            <w:vAlign w:val="center"/>
          </w:tcPr>
          <w:p>
            <w:r/>
            <w:r>
              <w:rPr>
                <w:b w:val="0"/>
                <w:sz w:val="16"/>
              </w:rPr>
              <w:t>Deployment</w:t>
            </w:r>
          </w:p>
        </w:tc>
        <w:tc>
          <w:tcPr>
            <w:tcW w:type="dxa" w:w="3408"/>
            <w:vAlign w:val="center"/>
          </w:tcPr>
          <w:p>
            <w:r/>
            <w:r>
              <w:rPr>
                <w:b w:val="0"/>
                <w:sz w:val="16"/>
              </w:rPr>
              <w:t>Docker</w:t>
            </w:r>
          </w:p>
        </w:tc>
        <w:tc>
          <w:tcPr>
            <w:tcW w:type="dxa" w:w="3408"/>
            <w:vAlign w:val="center"/>
          </w:tcPr>
          <w:p>
            <w:r/>
            <w:r>
              <w:rPr>
                <w:b w:val="0"/>
                <w:sz w:val="16"/>
              </w:rPr>
              <w:t>Open-source / client-hosted</w:t>
            </w:r>
          </w:p>
        </w:tc>
      </w:tr>
      <w:tr>
        <w:tc>
          <w:tcPr>
            <w:tcW w:type="dxa" w:w="3408"/>
            <w:vAlign w:val="center"/>
          </w:tcPr>
          <w:p>
            <w:r/>
            <w:r>
              <w:rPr>
                <w:b w:val="0"/>
                <w:sz w:val="16"/>
              </w:rPr>
              <w:t>Monitoring</w:t>
            </w:r>
          </w:p>
        </w:tc>
        <w:tc>
          <w:tcPr>
            <w:tcW w:type="dxa" w:w="3408"/>
            <w:vAlign w:val="center"/>
          </w:tcPr>
          <w:p>
            <w:r/>
            <w:r>
              <w:rPr>
                <w:b w:val="0"/>
                <w:sz w:val="16"/>
              </w:rPr>
              <w:t>Application + ML metrics</w:t>
            </w:r>
          </w:p>
        </w:tc>
        <w:tc>
          <w:tcPr>
            <w:tcW w:type="dxa" w:w="3408"/>
            <w:vAlign w:val="center"/>
          </w:tcPr>
          <w:p>
            <w:r/>
            <w:r>
              <w:rPr>
                <w:b w:val="0"/>
                <w:sz w:val="16"/>
              </w:rPr>
              <w:t>Client-hosted</w:t>
            </w:r>
          </w:p>
        </w:tc>
      </w:tr>
    </w:tbl>
    <w:p>
      <w:pPr>
        <w:pStyle w:val="Heading1"/>
      </w:pPr>
      <w:r>
        <w:t>9. PoC Experiment Plan</w:t>
      </w:r>
    </w:p>
    <w:p>
      <w:r>
        <w:t>The PoC should prove capability rather than manufacture a supervised accuracy claim. The experiment must be reproducible, leakage-controlled, and based only on information available at alert time.</w:t>
      </w:r>
    </w:p>
    <w:p>
      <w:pPr>
        <w:pStyle w:val="Heading2"/>
      </w:pPr>
      <w:r>
        <w:t>Experiment A - Data normalization</w:t>
      </w:r>
    </w:p>
    <w:p>
      <w:pPr>
        <w:pStyle w:val="ListNumber"/>
      </w:pPr>
      <w:r>
        <w:t>Standardize missing values and data types.</w:t>
      </w:r>
    </w:p>
    <w:p>
      <w:pPr>
        <w:pStyle w:val="ListNumber"/>
      </w:pPr>
      <w:r>
        <w:t>Normalize country/nationality representations such as IN-INDIA versus INDIA.</w:t>
      </w:r>
    </w:p>
    <w:p>
      <w:pPr>
        <w:pStyle w:val="ListNumber"/>
      </w:pPr>
      <w:r>
        <w:t>Normalize names for representation generation without using the normalized string as a deterministic decision.</w:t>
      </w:r>
    </w:p>
    <w:p>
      <w:pPr>
        <w:pStyle w:val="ListNumber"/>
      </w:pPr>
      <w:r>
        <w:t>Remove exact duplicates from the training population and retain duplicate counts as a data-quality metric.</w:t>
      </w:r>
    </w:p>
    <w:p>
      <w:pPr>
        <w:pStyle w:val="ListNumber"/>
      </w:pPr>
      <w:r>
        <w:t>Create entity, customer, transaction and rule identifiers for grouped validation.</w:t>
      </w:r>
    </w:p>
    <w:p>
      <w:pPr>
        <w:pStyle w:val="Heading2"/>
      </w:pPr>
      <w:r>
        <w:t>Experiment B - Entity representation</w:t>
      </w:r>
    </w:p>
    <w:p>
      <w:pPr>
        <w:pStyle w:val="ListNumber"/>
      </w:pPr>
      <w:r>
        <w:t>Build a baseline character/token representation for names and contextual categorical fields.</w:t>
      </w:r>
    </w:p>
    <w:p>
      <w:pPr>
        <w:pStyle w:val="ListNumber"/>
      </w:pPr>
      <w:r>
        <w:t>Add DOB and nationality only where present, with explicit missingness indicators.</w:t>
      </w:r>
    </w:p>
    <w:p>
      <w:pPr>
        <w:pStyle w:val="ListNumber"/>
      </w:pPr>
      <w:r>
        <w:t>Use repeated UIN/entity relationships for self-supervised representation learning where appropriate.</w:t>
      </w:r>
    </w:p>
    <w:p>
      <w:pPr>
        <w:pStyle w:val="ListNumber"/>
      </w:pPr>
      <w:r>
        <w:t>Generate an embedding/feature representation for each alerted entity-watchlist relationship.</w:t>
      </w:r>
    </w:p>
    <w:p>
      <w:pPr>
        <w:pStyle w:val="ListNumber"/>
      </w:pPr>
      <w:r>
        <w:t>Compare global and customer-specific novelty.</w:t>
      </w:r>
    </w:p>
    <w:p>
      <w:pPr>
        <w:pStyle w:val="Heading2"/>
      </w:pPr>
      <w:r>
        <w:t>Experiment C - Entity anomaly detection</w:t>
      </w:r>
    </w:p>
    <w:p>
      <w:pPr>
        <w:pStyle w:val="ListNumber"/>
      </w:pPr>
      <w:r>
        <w:t>Benchmark Isolation Forest and at least one neural/representation-based anomaly method.</w:t>
      </w:r>
    </w:p>
    <w:p>
      <w:pPr>
        <w:pStyle w:val="ListNumber"/>
      </w:pPr>
      <w:r>
        <w:t>Do not use Alert Status, Maker Comment, Maker Name or closure information as live features.</w:t>
      </w:r>
    </w:p>
    <w:p>
      <w:pPr>
        <w:pStyle w:val="ListNumber"/>
      </w:pPr>
      <w:r>
        <w:t>Evaluate score stability across customer groups, watchlist lists, branches and time periods.</w:t>
      </w:r>
    </w:p>
    <w:p>
      <w:pPr>
        <w:pStyle w:val="ListNumber"/>
      </w:pPr>
      <w:r>
        <w:t>Inspect the highest-novelty and lowest-novelty historical alerts manually.</w:t>
      </w:r>
    </w:p>
    <w:p>
      <w:pPr>
        <w:pStyle w:val="ListNumber"/>
      </w:pPr>
      <w:r>
        <w:t>Compare anomaly rankings with historical operational outcomes only as an exploratory analysis, not as ground-truth accuracy.</w:t>
      </w:r>
    </w:p>
    <w:p>
      <w:pPr>
        <w:pStyle w:val="Heading2"/>
      </w:pPr>
      <w:r>
        <w:t>Experiment D - Transaction/rule representation</w:t>
      </w:r>
    </w:p>
    <w:p>
      <w:pPr>
        <w:pStyle w:val="ListNumber"/>
      </w:pPr>
      <w:r>
        <w:t>Create structured transaction features from fields available before review.</w:t>
      </w:r>
    </w:p>
    <w:p>
      <w:pPr>
        <w:pStyle w:val="ListNumber"/>
      </w:pPr>
      <w:r>
        <w:t>Build customer-level behavioural aggregates using only prior transactions when performing prospective validation.</w:t>
      </w:r>
    </w:p>
    <w:p>
      <w:pPr>
        <w:pStyle w:val="ListNumber"/>
      </w:pPr>
      <w:r>
        <w:t>Represent rule type as context rather than assuming every rule has the same distribution.</w:t>
      </w:r>
    </w:p>
    <w:p>
      <w:pPr>
        <w:pStyle w:val="ListNumber"/>
      </w:pPr>
      <w:r>
        <w:t>Benchmark anomaly methods separately by rule family where sample size permits.</w:t>
      </w:r>
    </w:p>
    <w:p>
      <w:pPr>
        <w:pStyle w:val="ListNumber"/>
      </w:pPr>
      <w:r>
        <w:t>Inspect high-novelty transactions and determine whether the reason is data quality, a legitimate rare pattern, or a potentially meaningful compliance signal.</w:t>
      </w:r>
    </w:p>
    <w:p>
      <w:pPr>
        <w:pStyle w:val="Heading2"/>
      </w:pPr>
      <w:r>
        <w:t>Experiment E - Prospective validation simulation</w:t>
      </w:r>
    </w:p>
    <w:p>
      <w:pPr>
        <w:pStyle w:val="ListNumber"/>
      </w:pPr>
      <w:r>
        <w:t>Order records chronologically where timestamps are semantically valid.</w:t>
      </w:r>
    </w:p>
    <w:p>
      <w:pPr>
        <w:pStyle w:val="ListNumber"/>
      </w:pPr>
      <w:r>
        <w:t>Train on an earlier period and score a later period.</w:t>
      </w:r>
    </w:p>
    <w:p>
      <w:pPr>
        <w:pStyle w:val="ListNumber"/>
      </w:pPr>
      <w:r>
        <w:t>Prevent the same customer or transaction from leaking between train and evaluation populations where the experiment requires unseen entities.</w:t>
      </w:r>
    </w:p>
    <w:p>
      <w:pPr>
        <w:pStyle w:val="ListNumber"/>
      </w:pPr>
      <w:r>
        <w:t>Run a second experiment where the same customer is allowed but only prior customer history is available, representing a realistic repeat-customer scenario.</w:t>
      </w:r>
    </w:p>
    <w:p>
      <w:pPr>
        <w:pStyle w:val="ListNumber"/>
      </w:pPr>
      <w:r>
        <w:t>Report both scenarios separately.</w:t>
      </w:r>
    </w:p>
    <w:p>
      <w:pPr>
        <w:pStyle w:val="Heading1"/>
      </w:pPr>
      <w:r>
        <w:t>10. Validation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Validation objective</w:t>
            </w:r>
          </w:p>
        </w:tc>
        <w:tc>
          <w:tcPr>
            <w:tcW w:type="dxa" w:w="3408"/>
            <w:vAlign w:val="center"/>
            <w:shd w:fill="D9EAF7"/>
          </w:tcPr>
          <w:p>
            <w:r/>
            <w:r>
              <w:rPr>
                <w:b/>
                <w:sz w:val="16"/>
              </w:rPr>
              <w:t>Method</w:t>
            </w:r>
          </w:p>
        </w:tc>
        <w:tc>
          <w:tcPr>
            <w:tcW w:type="dxa" w:w="3408"/>
            <w:vAlign w:val="center"/>
            <w:shd w:fill="D9EAF7"/>
          </w:tcPr>
          <w:p>
            <w:r/>
            <w:r>
              <w:rPr>
                <w:b/>
                <w:sz w:val="16"/>
              </w:rPr>
              <w:t>Why</w:t>
            </w:r>
          </w:p>
        </w:tc>
      </w:tr>
      <w:tr>
        <w:tc>
          <w:tcPr>
            <w:tcW w:type="dxa" w:w="3408"/>
            <w:vAlign w:val="center"/>
          </w:tcPr>
          <w:p>
            <w:r/>
            <w:r>
              <w:rPr>
                <w:b w:val="0"/>
                <w:sz w:val="16"/>
              </w:rPr>
              <w:t>Unseen customers</w:t>
            </w:r>
          </w:p>
        </w:tc>
        <w:tc>
          <w:tcPr>
            <w:tcW w:type="dxa" w:w="3408"/>
            <w:vAlign w:val="center"/>
          </w:tcPr>
          <w:p>
            <w:r/>
            <w:r>
              <w:rPr>
                <w:b w:val="0"/>
                <w:sz w:val="16"/>
              </w:rPr>
              <w:t>Group split by customer/UIN</w:t>
            </w:r>
          </w:p>
        </w:tc>
        <w:tc>
          <w:tcPr>
            <w:tcW w:type="dxa" w:w="3408"/>
            <w:vAlign w:val="center"/>
          </w:tcPr>
          <w:p>
            <w:r/>
            <w:r>
              <w:rPr>
                <w:b w:val="0"/>
                <w:sz w:val="16"/>
              </w:rPr>
              <w:t>Tests generalization to new entities</w:t>
            </w:r>
          </w:p>
        </w:tc>
      </w:tr>
      <w:tr>
        <w:tc>
          <w:tcPr>
            <w:tcW w:type="dxa" w:w="3408"/>
            <w:vAlign w:val="center"/>
          </w:tcPr>
          <w:p>
            <w:r/>
            <w:r>
              <w:rPr>
                <w:b w:val="0"/>
                <w:sz w:val="16"/>
              </w:rPr>
              <w:t>Repeat customers</w:t>
            </w:r>
          </w:p>
        </w:tc>
        <w:tc>
          <w:tcPr>
            <w:tcW w:type="dxa" w:w="3408"/>
            <w:vAlign w:val="center"/>
          </w:tcPr>
          <w:p>
            <w:r/>
            <w:r>
              <w:rPr>
                <w:b w:val="0"/>
                <w:sz w:val="16"/>
              </w:rPr>
              <w:t>Time-forward split within customer history</w:t>
            </w:r>
          </w:p>
        </w:tc>
        <w:tc>
          <w:tcPr>
            <w:tcW w:type="dxa" w:w="3408"/>
            <w:vAlign w:val="center"/>
          </w:tcPr>
          <w:p>
            <w:r/>
            <w:r>
              <w:rPr>
                <w:b w:val="0"/>
                <w:sz w:val="16"/>
              </w:rPr>
              <w:t>Tests realistic ongoing monitoring</w:t>
            </w:r>
          </w:p>
        </w:tc>
      </w:tr>
      <w:tr>
        <w:tc>
          <w:tcPr>
            <w:tcW w:type="dxa" w:w="3408"/>
            <w:vAlign w:val="center"/>
          </w:tcPr>
          <w:p>
            <w:r/>
            <w:r>
              <w:rPr>
                <w:b w:val="0"/>
                <w:sz w:val="16"/>
              </w:rPr>
              <w:t>Transaction generalization</w:t>
            </w:r>
          </w:p>
        </w:tc>
        <w:tc>
          <w:tcPr>
            <w:tcW w:type="dxa" w:w="3408"/>
            <w:vAlign w:val="center"/>
          </w:tcPr>
          <w:p>
            <w:r/>
            <w:r>
              <w:rPr>
                <w:b w:val="0"/>
                <w:sz w:val="16"/>
              </w:rPr>
              <w:t>Group by transaction reference</w:t>
            </w:r>
          </w:p>
        </w:tc>
        <w:tc>
          <w:tcPr>
            <w:tcW w:type="dxa" w:w="3408"/>
            <w:vAlign w:val="center"/>
          </w:tcPr>
          <w:p>
            <w:r/>
            <w:r>
              <w:rPr>
                <w:b w:val="0"/>
                <w:sz w:val="16"/>
              </w:rPr>
              <w:t>Prevents duplicated transaction leakage</w:t>
            </w:r>
          </w:p>
        </w:tc>
      </w:tr>
      <w:tr>
        <w:tc>
          <w:tcPr>
            <w:tcW w:type="dxa" w:w="3408"/>
            <w:vAlign w:val="center"/>
          </w:tcPr>
          <w:p>
            <w:r/>
            <w:r>
              <w:rPr>
                <w:b w:val="0"/>
                <w:sz w:val="16"/>
              </w:rPr>
              <w:t>Future behaviour</w:t>
            </w:r>
          </w:p>
        </w:tc>
        <w:tc>
          <w:tcPr>
            <w:tcW w:type="dxa" w:w="3408"/>
            <w:vAlign w:val="center"/>
          </w:tcPr>
          <w:p>
            <w:r/>
            <w:r>
              <w:rPr>
                <w:b w:val="0"/>
                <w:sz w:val="16"/>
              </w:rPr>
              <w:t>Time-based holdout</w:t>
            </w:r>
          </w:p>
        </w:tc>
        <w:tc>
          <w:tcPr>
            <w:tcW w:type="dxa" w:w="3408"/>
            <w:vAlign w:val="center"/>
          </w:tcPr>
          <w:p>
            <w:r/>
            <w:r>
              <w:rPr>
                <w:b w:val="0"/>
                <w:sz w:val="16"/>
              </w:rPr>
              <w:t>Approximates production deployment</w:t>
            </w:r>
          </w:p>
        </w:tc>
      </w:tr>
      <w:tr>
        <w:tc>
          <w:tcPr>
            <w:tcW w:type="dxa" w:w="3408"/>
            <w:vAlign w:val="center"/>
          </w:tcPr>
          <w:p>
            <w:r/>
            <w:r>
              <w:rPr>
                <w:b w:val="0"/>
                <w:sz w:val="16"/>
              </w:rPr>
              <w:t>Rule stability</w:t>
            </w:r>
          </w:p>
        </w:tc>
        <w:tc>
          <w:tcPr>
            <w:tcW w:type="dxa" w:w="3408"/>
            <w:vAlign w:val="center"/>
          </w:tcPr>
          <w:p>
            <w:r/>
            <w:r>
              <w:rPr>
                <w:b w:val="0"/>
                <w:sz w:val="16"/>
              </w:rPr>
              <w:t>Per-rule evaluation</w:t>
            </w:r>
          </w:p>
        </w:tc>
        <w:tc>
          <w:tcPr>
            <w:tcW w:type="dxa" w:w="3408"/>
            <w:vAlign w:val="center"/>
          </w:tcPr>
          <w:p>
            <w:r/>
            <w:r>
              <w:rPr>
                <w:b w:val="0"/>
                <w:sz w:val="16"/>
              </w:rPr>
              <w:t>Prevents dominant rules hiding weak rules</w:t>
            </w:r>
          </w:p>
        </w:tc>
      </w:tr>
      <w:tr>
        <w:tc>
          <w:tcPr>
            <w:tcW w:type="dxa" w:w="3408"/>
            <w:vAlign w:val="center"/>
          </w:tcPr>
          <w:p>
            <w:r/>
            <w:r>
              <w:rPr>
                <w:b w:val="0"/>
                <w:sz w:val="16"/>
              </w:rPr>
              <w:t>Data drift</w:t>
            </w:r>
          </w:p>
        </w:tc>
        <w:tc>
          <w:tcPr>
            <w:tcW w:type="dxa" w:w="3408"/>
            <w:vAlign w:val="center"/>
          </w:tcPr>
          <w:p>
            <w:r/>
            <w:r>
              <w:rPr>
                <w:b w:val="0"/>
                <w:sz w:val="16"/>
              </w:rPr>
              <w:t>Period-over-period distribution checks</w:t>
            </w:r>
          </w:p>
        </w:tc>
        <w:tc>
          <w:tcPr>
            <w:tcW w:type="dxa" w:w="3408"/>
            <w:vAlign w:val="center"/>
          </w:tcPr>
          <w:p>
            <w:r/>
            <w:r>
              <w:rPr>
                <w:b w:val="0"/>
                <w:sz w:val="16"/>
              </w:rPr>
              <w:t>Detects changing customer/rule populations</w:t>
            </w:r>
          </w:p>
        </w:tc>
      </w:tr>
    </w:tbl>
    <w:p>
      <w:pPr>
        <w:pStyle w:val="Heading2"/>
      </w:pPr>
      <w:r>
        <w:t>10.1 Metrics for an unsupervised PoC</w:t>
      </w:r>
    </w:p>
    <w:p>
      <w:pPr>
        <w:pStyle w:val="ListBullet"/>
      </w:pPr>
      <w:r>
        <w:t>Alert ranking quality during manual review of top-n novel alerts.</w:t>
      </w:r>
    </w:p>
    <w:p>
      <w:pPr>
        <w:pStyle w:val="ListBullet"/>
      </w:pPr>
      <w:r>
        <w:t>Novelty concentration by rule, watchlist, branch and customer segment.</w:t>
      </w:r>
    </w:p>
    <w:p>
      <w:pPr>
        <w:pStyle w:val="ListBullet"/>
      </w:pPr>
      <w:r>
        <w:t>Stability of anomaly rankings across time windows.</w:t>
      </w:r>
    </w:p>
    <w:p>
      <w:pPr>
        <w:pStyle w:val="ListBullet"/>
      </w:pPr>
      <w:r>
        <w:t>Percentage of historical alerts represented by low-novelty clusters.</w:t>
      </w:r>
    </w:p>
    <w:p>
      <w:pPr>
        <w:pStyle w:val="ListBullet"/>
      </w:pPr>
      <w:r>
        <w:t>Cluster/representation consistency for repeated customers and repeated transactions.</w:t>
      </w:r>
    </w:p>
    <w:p>
      <w:pPr>
        <w:pStyle w:val="ListBullet"/>
      </w:pPr>
      <w:r>
        <w:t>Manual compliance review rate reduction in a shadow-mode simulation.</w:t>
      </w:r>
    </w:p>
    <w:p>
      <w:pPr>
        <w:pStyle w:val="ListBullet"/>
      </w:pPr>
      <w:r>
        <w:t>False-negative analysis once trustworthy confirmed outcomes become available.</w:t>
      </w:r>
    </w:p>
    <w:p>
      <w:r>
        <w:t>Do not use overall accuracy as the primary PoC metric. In an unlabeled anomaly-detection problem, accuracy is not defined without a trustworthy target. A supervised precision/recall/AUC report should be introduced only after confirmed outcomes exist.</w:t>
      </w:r>
    </w:p>
    <w:p>
      <w:pPr>
        <w:pStyle w:val="Heading1"/>
      </w:pPr>
      <w:r>
        <w:t>11. Client Demonstration Plan</w:t>
      </w:r>
    </w:p>
    <w:p>
      <w:r>
        <w:t>The client demonstration should prove the following sequence:</w:t>
      </w:r>
    </w:p>
    <w:p>
      <w:pPr>
        <w:pStyle w:val="ListNumber"/>
      </w:pPr>
      <w:r>
        <w:t>Load the supplied XLSX into the engine.</w:t>
      </w:r>
    </w:p>
    <w:p>
      <w:pPr>
        <w:pStyle w:val="ListNumber"/>
      </w:pPr>
      <w:r>
        <w:t>Show the three alert families and their normalized schemas.</w:t>
      </w:r>
    </w:p>
    <w:p>
      <w:pPr>
        <w:pStyle w:val="ListNumber"/>
      </w:pPr>
      <w:r>
        <w:t>Show data-quality findings transparently, including missing POB and duplicate transaction alerts.</w:t>
      </w:r>
    </w:p>
    <w:p>
      <w:pPr>
        <w:pStyle w:val="ListNumber"/>
      </w:pPr>
      <w:r>
        <w:t>Train the initial unsupervised/self-supervised representations.</w:t>
      </w:r>
    </w:p>
    <w:p>
      <w:pPr>
        <w:pStyle w:val="ListNumber"/>
      </w:pPr>
      <w:r>
        <w:t>Show the historical baseline learned by the model.</w:t>
      </w:r>
    </w:p>
    <w:p>
      <w:pPr>
        <w:pStyle w:val="ListNumber"/>
      </w:pPr>
      <w:r>
        <w:t>Submit a previously unseen historical alert to the scoring API.</w:t>
      </w:r>
    </w:p>
    <w:p>
      <w:pPr>
        <w:pStyle w:val="ListNumber"/>
      </w:pPr>
      <w:r>
        <w:t>Display its anomaly/novelty assessment and historical context.</w:t>
      </w:r>
    </w:p>
    <w:p>
      <w:pPr>
        <w:pStyle w:val="ListNumber"/>
      </w:pPr>
      <w:r>
        <w:t>Show similar/nearby historical representation groups without using an LLM.</w:t>
      </w:r>
    </w:p>
    <w:p>
      <w:pPr>
        <w:pStyle w:val="ListNumber"/>
      </w:pPr>
      <w:r>
        <w:t>Show why the alert is recommended for lower-touch handling or compliance review.</w:t>
      </w:r>
    </w:p>
    <w:p>
      <w:pPr>
        <w:pStyle w:val="ListNumber"/>
      </w:pPr>
      <w:r>
        <w:t>Repeat the demonstration for a transaction rule alert.</w:t>
      </w:r>
    </w:p>
    <w:p>
      <w:pPr>
        <w:pStyle w:val="ListNumber"/>
      </w:pPr>
      <w:r>
        <w:t>Show the feedback record that would be stored after a compliance decision.</w:t>
      </w:r>
    </w:p>
    <w:p>
      <w:pPr>
        <w:pStyle w:val="Heading2"/>
      </w:pPr>
      <w:r>
        <w:t>11.1 What the demo should NOT claim</w:t>
      </w:r>
    </w:p>
    <w:p>
      <w:pPr>
        <w:pStyle w:val="ListBullet"/>
      </w:pPr>
      <w:r>
        <w:t>Do not claim that the current sample proves true-match detection.</w:t>
      </w:r>
    </w:p>
    <w:p>
      <w:pPr>
        <w:pStyle w:val="ListBullet"/>
      </w:pPr>
      <w:r>
        <w:t>Do not claim that anomaly score equals probability of guilt or false positive.</w:t>
      </w:r>
    </w:p>
    <w:p>
      <w:pPr>
        <w:pStyle w:val="ListBullet"/>
      </w:pPr>
      <w:r>
        <w:t>Do not claim autonomous release is production-safe from this workbook alone.</w:t>
      </w:r>
    </w:p>
    <w:p>
      <w:pPr>
        <w:pStyle w:val="ListBullet"/>
      </w:pPr>
      <w:r>
        <w:t>Do not hide the lack of confirmed labels; present it as an explicit design condition.</w:t>
      </w:r>
    </w:p>
    <w:p>
      <w:pPr>
        <w:pStyle w:val="Heading1"/>
      </w:pPr>
      <w:r>
        <w:t>12. Production Learning Strategy</w:t>
      </w:r>
    </w:p>
    <w:p>
      <w:pPr>
        <w:spacing w:after="120"/>
      </w:pPr>
      <w:r>
        <w:rPr>
          <w:rFonts w:ascii="Courier New" w:hAnsi="Courier New"/>
          <w:sz w:val="17"/>
        </w:rPr>
        <w:t>TODAY</w:t>
        <w:br/>
        <w:t>Unlabeled / weakly labeled historical alerts</w:t>
        <w:br/>
        <w:t xml:space="preserve">        |</w:t>
        <w:br/>
        <w:t xml:space="preserve">        v</w:t>
        <w:br/>
        <w:t>Self-supervised representations</w:t>
        <w:br/>
        <w:t xml:space="preserve">        |</w:t>
        <w:br/>
        <w:t xml:space="preserve">        v</w:t>
        <w:br/>
        <w:t>Unsupervised anomaly detection</w:t>
        <w:br/>
        <w:t xml:space="preserve">        |</w:t>
        <w:br/>
        <w:t xml:space="preserve">        v</w:t>
        <w:br/>
        <w:t>ML-assisted review</w:t>
        <w:br/>
        <w:br/>
        <w:t>FUTURE</w:t>
        <w:br/>
        <w:t>New production alerts</w:t>
        <w:br/>
        <w:t xml:space="preserve">        |</w:t>
        <w:br/>
        <w:t xml:space="preserve">        v</w:t>
        <w:br/>
        <w:t>ML recommendation</w:t>
        <w:br/>
        <w:t xml:space="preserve">        |</w:t>
        <w:br/>
        <w:t xml:space="preserve">        v</w:t>
        <w:br/>
        <w:t>Compliance outcome</w:t>
        <w:br/>
        <w:t xml:space="preserve">        |</w:t>
        <w:br/>
        <w:t xml:space="preserve">        v</w:t>
        <w:br/>
        <w:t>Validated feedback dataset</w:t>
        <w:br/>
        <w:t xml:space="preserve">        |</w:t>
        <w:br/>
        <w:t xml:space="preserve">        v</w:t>
        <w:br/>
        <w:t>Supervised calibration layer</w:t>
        <w:br/>
        <w:t xml:space="preserve">        |</w:t>
        <w:br/>
        <w:t xml:space="preserve">        v</w:t>
        <w:br/>
        <w:t>Controlled automation</w:t>
      </w:r>
    </w:p>
    <w:p>
      <w:r>
        <w:t>The future supervised layer should be additive. The unsupervised representation and anomaly layer remains useful for detecting novel patterns, emerging behaviour and data populations not represented in the labelled training set.</w:t>
      </w:r>
    </w:p>
    <w:p>
      <w:pPr>
        <w:pStyle w:val="Heading1"/>
      </w:pPr>
      <w:r>
        <w:t>13. Production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Control</w:t>
            </w:r>
          </w:p>
        </w:tc>
        <w:tc>
          <w:tcPr>
            <w:tcW w:type="dxa" w:w="5112"/>
            <w:vAlign w:val="center"/>
            <w:shd w:fill="D9EAF7"/>
          </w:tcPr>
          <w:p>
            <w:r/>
            <w:r>
              <w:rPr>
                <w:b/>
                <w:sz w:val="16"/>
              </w:rPr>
              <w:t>Requirement</w:t>
            </w:r>
          </w:p>
        </w:tc>
      </w:tr>
      <w:tr>
        <w:tc>
          <w:tcPr>
            <w:tcW w:type="dxa" w:w="5112"/>
            <w:vAlign w:val="center"/>
          </w:tcPr>
          <w:p>
            <w:r/>
            <w:r>
              <w:rPr>
                <w:b w:val="0"/>
                <w:sz w:val="16"/>
              </w:rPr>
              <w:t>Model versioning</w:t>
            </w:r>
          </w:p>
        </w:tc>
        <w:tc>
          <w:tcPr>
            <w:tcW w:type="dxa" w:w="5112"/>
            <w:vAlign w:val="center"/>
          </w:tcPr>
          <w:p>
            <w:r/>
            <w:r>
              <w:rPr>
                <w:b w:val="0"/>
                <w:sz w:val="16"/>
              </w:rPr>
              <w:t>Every score must record model version and feature/schema version.</w:t>
            </w:r>
          </w:p>
        </w:tc>
      </w:tr>
      <w:tr>
        <w:tc>
          <w:tcPr>
            <w:tcW w:type="dxa" w:w="5112"/>
            <w:vAlign w:val="center"/>
          </w:tcPr>
          <w:p>
            <w:r/>
            <w:r>
              <w:rPr>
                <w:b w:val="0"/>
                <w:sz w:val="16"/>
              </w:rPr>
              <w:t>Auditability</w:t>
            </w:r>
          </w:p>
        </w:tc>
        <w:tc>
          <w:tcPr>
            <w:tcW w:type="dxa" w:w="5112"/>
            <w:vAlign w:val="center"/>
          </w:tcPr>
          <w:p>
            <w:r/>
            <w:r>
              <w:rPr>
                <w:b w:val="0"/>
                <w:sz w:val="16"/>
              </w:rPr>
              <w:t>Persist alert ID, inputs used, score, recommendation, model version and final compliance outcome.</w:t>
            </w:r>
          </w:p>
        </w:tc>
      </w:tr>
      <w:tr>
        <w:tc>
          <w:tcPr>
            <w:tcW w:type="dxa" w:w="5112"/>
            <w:vAlign w:val="center"/>
          </w:tcPr>
          <w:p>
            <w:r/>
            <w:r>
              <w:rPr>
                <w:b w:val="0"/>
                <w:sz w:val="16"/>
              </w:rPr>
              <w:t>Feature leakage prevention</w:t>
            </w:r>
          </w:p>
        </w:tc>
        <w:tc>
          <w:tcPr>
            <w:tcW w:type="dxa" w:w="5112"/>
            <w:vAlign w:val="center"/>
          </w:tcPr>
          <w:p>
            <w:r/>
            <w:r>
              <w:rPr>
                <w:b w:val="0"/>
                <w:sz w:val="16"/>
              </w:rPr>
              <w:t>Only pre-decision fields may enter live inference.</w:t>
            </w:r>
          </w:p>
        </w:tc>
      </w:tr>
      <w:tr>
        <w:tc>
          <w:tcPr>
            <w:tcW w:type="dxa" w:w="5112"/>
            <w:vAlign w:val="center"/>
          </w:tcPr>
          <w:p>
            <w:r/>
            <w:r>
              <w:rPr>
                <w:b w:val="0"/>
                <w:sz w:val="16"/>
              </w:rPr>
              <w:t>Threshold governance</w:t>
            </w:r>
          </w:p>
        </w:tc>
        <w:tc>
          <w:tcPr>
            <w:tcW w:type="dxa" w:w="5112"/>
            <w:vAlign w:val="center"/>
          </w:tcPr>
          <w:p>
            <w:r/>
            <w:r>
              <w:rPr>
                <w:b w:val="0"/>
                <w:sz w:val="16"/>
              </w:rPr>
              <w:t>Any operational routing threshold must be calibrated and approved; not hardcoded from a sample guess.</w:t>
            </w:r>
          </w:p>
        </w:tc>
      </w:tr>
      <w:tr>
        <w:tc>
          <w:tcPr>
            <w:tcW w:type="dxa" w:w="5112"/>
            <w:vAlign w:val="center"/>
          </w:tcPr>
          <w:p>
            <w:r/>
            <w:r>
              <w:rPr>
                <w:b w:val="0"/>
                <w:sz w:val="16"/>
              </w:rPr>
              <w:t>Shadow mode</w:t>
            </w:r>
          </w:p>
        </w:tc>
        <w:tc>
          <w:tcPr>
            <w:tcW w:type="dxa" w:w="5112"/>
            <w:vAlign w:val="center"/>
          </w:tcPr>
          <w:p>
            <w:r/>
            <w:r>
              <w:rPr>
                <w:b w:val="0"/>
                <w:sz w:val="16"/>
              </w:rPr>
              <w:t>Initial production deployment should observe ML recommendations without autonomous release.</w:t>
            </w:r>
          </w:p>
        </w:tc>
      </w:tr>
      <w:tr>
        <w:tc>
          <w:tcPr>
            <w:tcW w:type="dxa" w:w="5112"/>
            <w:vAlign w:val="center"/>
          </w:tcPr>
          <w:p>
            <w:r/>
            <w:r>
              <w:rPr>
                <w:b w:val="0"/>
                <w:sz w:val="16"/>
              </w:rPr>
              <w:t>Drift monitoring</w:t>
            </w:r>
          </w:p>
        </w:tc>
        <w:tc>
          <w:tcPr>
            <w:tcW w:type="dxa" w:w="5112"/>
            <w:vAlign w:val="center"/>
          </w:tcPr>
          <w:p>
            <w:r/>
            <w:r>
              <w:rPr>
                <w:b w:val="0"/>
                <w:sz w:val="16"/>
              </w:rPr>
              <w:t>Monitor feature and score distributions over time.</w:t>
            </w:r>
          </w:p>
        </w:tc>
      </w:tr>
      <w:tr>
        <w:tc>
          <w:tcPr>
            <w:tcW w:type="dxa" w:w="5112"/>
            <w:vAlign w:val="center"/>
          </w:tcPr>
          <w:p>
            <w:r/>
            <w:r>
              <w:rPr>
                <w:b w:val="0"/>
                <w:sz w:val="16"/>
              </w:rPr>
              <w:t>Retraining</w:t>
            </w:r>
          </w:p>
        </w:tc>
        <w:tc>
          <w:tcPr>
            <w:tcW w:type="dxa" w:w="5112"/>
            <w:vAlign w:val="center"/>
          </w:tcPr>
          <w:p>
            <w:r/>
            <w:r>
              <w:rPr>
                <w:b w:val="0"/>
                <w:sz w:val="16"/>
              </w:rPr>
              <w:t>Scheduled retraining with data-quality checks and model comparison before promotion.</w:t>
            </w:r>
          </w:p>
        </w:tc>
      </w:tr>
      <w:tr>
        <w:tc>
          <w:tcPr>
            <w:tcW w:type="dxa" w:w="5112"/>
            <w:vAlign w:val="center"/>
          </w:tcPr>
          <w:p>
            <w:r/>
            <w:r>
              <w:rPr>
                <w:b w:val="0"/>
                <w:sz w:val="16"/>
              </w:rPr>
              <w:t>Rollback</w:t>
            </w:r>
          </w:p>
        </w:tc>
        <w:tc>
          <w:tcPr>
            <w:tcW w:type="dxa" w:w="5112"/>
            <w:vAlign w:val="center"/>
          </w:tcPr>
          <w:p>
            <w:r/>
            <w:r>
              <w:rPr>
                <w:b w:val="0"/>
                <w:sz w:val="16"/>
              </w:rPr>
              <w:t>Maintain previous approved model version.</w:t>
            </w:r>
          </w:p>
        </w:tc>
      </w:tr>
      <w:tr>
        <w:tc>
          <w:tcPr>
            <w:tcW w:type="dxa" w:w="5112"/>
            <w:vAlign w:val="center"/>
          </w:tcPr>
          <w:p>
            <w:r/>
            <w:r>
              <w:rPr>
                <w:b w:val="0"/>
                <w:sz w:val="16"/>
              </w:rPr>
              <w:t>Security</w:t>
            </w:r>
          </w:p>
        </w:tc>
        <w:tc>
          <w:tcPr>
            <w:tcW w:type="dxa" w:w="5112"/>
            <w:vAlign w:val="center"/>
          </w:tcPr>
          <w:p>
            <w:r/>
            <w:r>
              <w:rPr>
                <w:b w:val="0"/>
                <w:sz w:val="16"/>
              </w:rPr>
              <w:t>Run on client-controlled infrastructure; no third-party LLM/API required.</w:t>
            </w:r>
          </w:p>
        </w:tc>
      </w:tr>
    </w:tbl>
    <w:p>
      <w:pPr>
        <w:pStyle w:val="Heading1"/>
      </w:pPr>
      <w:r>
        <w:t>14. Additional Production Data Required</w:t>
      </w:r>
    </w:p>
    <w:p>
      <w:r>
        <w:t>The current XLSX is sufficient for a PoC, but the production engine should consume structured source-system data. The following fields should be requested where available:</w:t>
      </w:r>
    </w:p>
    <w:p>
      <w:pPr>
        <w:pStyle w:val="ListBullet"/>
      </w:pPr>
      <w:r>
        <w:t>Full customer master/profile fields and stable customer identifiers.</w:t>
      </w:r>
    </w:p>
    <w:p>
      <w:pPr>
        <w:pStyle w:val="ListBullet"/>
      </w:pPr>
      <w:r>
        <w:t>Structured transaction amount and currency.</w:t>
      </w:r>
    </w:p>
    <w:p>
      <w:pPr>
        <w:pStyle w:val="ListBullet"/>
      </w:pPr>
      <w:r>
        <w:t>Sender and beneficiary country.</w:t>
      </w:r>
    </w:p>
    <w:p>
      <w:pPr>
        <w:pStyle w:val="ListBullet"/>
      </w:pPr>
      <w:r>
        <w:t>Customer risk rating and relevant KYC profile attributes.</w:t>
      </w:r>
    </w:p>
    <w:p>
      <w:pPr>
        <w:pStyle w:val="ListBullet"/>
      </w:pPr>
      <w:r>
        <w:t>Historical transaction history for behavioural baselines.</w:t>
      </w:r>
    </w:p>
    <w:p>
      <w:pPr>
        <w:pStyle w:val="ListBullet"/>
      </w:pPr>
      <w:r>
        <w:t>Beneficiary identifiers and relationship history.</w:t>
      </w:r>
    </w:p>
    <w:p>
      <w:pPr>
        <w:pStyle w:val="ListBullet"/>
      </w:pPr>
      <w:r>
        <w:t>Structured rule-trigger information.</w:t>
      </w:r>
    </w:p>
    <w:p>
      <w:pPr>
        <w:pStyle w:val="ListBullet"/>
      </w:pPr>
      <w:r>
        <w:t>Confirmed compliance outcomes and outcome timestamps.</w:t>
      </w:r>
    </w:p>
    <w:p>
      <w:pPr>
        <w:pStyle w:val="ListBullet"/>
      </w:pPr>
      <w:r>
        <w:t>Watchlist/screening source identifiers and available entity attributes.</w:t>
      </w:r>
    </w:p>
    <w:p>
      <w:pPr>
        <w:pStyle w:val="ListBullet"/>
      </w:pPr>
      <w:r>
        <w:t>Clear timestamp semantics and timezone definitions.</w:t>
      </w:r>
    </w:p>
    <w:p>
      <w:pPr>
        <w:pStyle w:val="Heading1"/>
      </w:pPr>
      <w:r>
        <w:t>15.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Risk</w:t>
            </w:r>
          </w:p>
        </w:tc>
        <w:tc>
          <w:tcPr>
            <w:tcW w:type="dxa" w:w="3408"/>
            <w:vAlign w:val="center"/>
            <w:shd w:fill="D9EAF7"/>
          </w:tcPr>
          <w:p>
            <w:r/>
            <w:r>
              <w:rPr>
                <w:b/>
                <w:sz w:val="16"/>
              </w:rPr>
              <w:t>Impact</w:t>
            </w:r>
          </w:p>
        </w:tc>
        <w:tc>
          <w:tcPr>
            <w:tcW w:type="dxa" w:w="3408"/>
            <w:vAlign w:val="center"/>
            <w:shd w:fill="D9EAF7"/>
          </w:tcPr>
          <w:p>
            <w:r/>
            <w:r>
              <w:rPr>
                <w:b/>
                <w:sz w:val="16"/>
              </w:rPr>
              <w:t>Mitigation</w:t>
            </w:r>
          </w:p>
        </w:tc>
      </w:tr>
      <w:tr>
        <w:tc>
          <w:tcPr>
            <w:tcW w:type="dxa" w:w="3408"/>
            <w:vAlign w:val="center"/>
          </w:tcPr>
          <w:p>
            <w:r/>
            <w:r>
              <w:rPr>
                <w:b w:val="0"/>
                <w:sz w:val="16"/>
              </w:rPr>
              <w:t>No confirmed true-match labels</w:t>
            </w:r>
          </w:p>
        </w:tc>
        <w:tc>
          <w:tcPr>
            <w:tcW w:type="dxa" w:w="3408"/>
            <w:vAlign w:val="center"/>
          </w:tcPr>
          <w:p>
            <w:r/>
            <w:r>
              <w:rPr>
                <w:b w:val="0"/>
                <w:sz w:val="16"/>
              </w:rPr>
              <w:t>Cannot honestly train binary classifier</w:t>
            </w:r>
          </w:p>
        </w:tc>
        <w:tc>
          <w:tcPr>
            <w:tcW w:type="dxa" w:w="3408"/>
            <w:vAlign w:val="center"/>
          </w:tcPr>
          <w:p>
            <w:r/>
            <w:r>
              <w:rPr>
                <w:b w:val="0"/>
                <w:sz w:val="16"/>
              </w:rPr>
              <w:t>Unsupervised/self-supervised first; collect confirmed outcomes</w:t>
            </w:r>
          </w:p>
        </w:tc>
      </w:tr>
      <w:tr>
        <w:tc>
          <w:tcPr>
            <w:tcW w:type="dxa" w:w="3408"/>
            <w:vAlign w:val="center"/>
          </w:tcPr>
          <w:p>
            <w:r/>
            <w:r>
              <w:rPr>
                <w:b w:val="0"/>
                <w:sz w:val="16"/>
              </w:rPr>
              <w:t>UPS misinterpreted as positive</w:t>
            </w:r>
          </w:p>
        </w:tc>
        <w:tc>
          <w:tcPr>
            <w:tcW w:type="dxa" w:w="3408"/>
            <w:vAlign w:val="center"/>
          </w:tcPr>
          <w:p>
            <w:r/>
            <w:r>
              <w:rPr>
                <w:b w:val="0"/>
                <w:sz w:val="16"/>
              </w:rPr>
              <w:t>Wrong model target</w:t>
            </w:r>
          </w:p>
        </w:tc>
        <w:tc>
          <w:tcPr>
            <w:tcW w:type="dxa" w:w="3408"/>
            <w:vAlign w:val="center"/>
          </w:tcPr>
          <w:p>
            <w:r/>
            <w:r>
              <w:rPr>
                <w:b w:val="0"/>
                <w:sz w:val="16"/>
              </w:rPr>
              <w:t>Treat UPS as operational/unknown unless independently confirmed</w:t>
            </w:r>
          </w:p>
        </w:tc>
      </w:tr>
      <w:tr>
        <w:tc>
          <w:tcPr>
            <w:tcW w:type="dxa" w:w="3408"/>
            <w:vAlign w:val="center"/>
          </w:tcPr>
          <w:p>
            <w:r/>
            <w:r>
              <w:rPr>
                <w:b w:val="0"/>
                <w:sz w:val="16"/>
              </w:rPr>
              <w:t>Comments used as features</w:t>
            </w:r>
          </w:p>
        </w:tc>
        <w:tc>
          <w:tcPr>
            <w:tcW w:type="dxa" w:w="3408"/>
            <w:vAlign w:val="center"/>
          </w:tcPr>
          <w:p>
            <w:r/>
            <w:r>
              <w:rPr>
                <w:b w:val="0"/>
                <w:sz w:val="16"/>
              </w:rPr>
              <w:t>Severe leakage</w:t>
            </w:r>
          </w:p>
        </w:tc>
        <w:tc>
          <w:tcPr>
            <w:tcW w:type="dxa" w:w="3408"/>
            <w:vAlign w:val="center"/>
          </w:tcPr>
          <w:p>
            <w:r/>
            <w:r>
              <w:rPr>
                <w:b w:val="0"/>
                <w:sz w:val="16"/>
              </w:rPr>
              <w:t>Comments only for outcome analysis/training-label validation</w:t>
            </w:r>
          </w:p>
        </w:tc>
      </w:tr>
      <w:tr>
        <w:tc>
          <w:tcPr>
            <w:tcW w:type="dxa" w:w="3408"/>
            <w:vAlign w:val="center"/>
          </w:tcPr>
          <w:p>
            <w:r/>
            <w:r>
              <w:rPr>
                <w:b w:val="0"/>
                <w:sz w:val="16"/>
              </w:rPr>
              <w:t>Duplicate transaction alerts</w:t>
            </w:r>
          </w:p>
        </w:tc>
        <w:tc>
          <w:tcPr>
            <w:tcW w:type="dxa" w:w="3408"/>
            <w:vAlign w:val="center"/>
          </w:tcPr>
          <w:p>
            <w:r/>
            <w:r>
              <w:rPr>
                <w:b w:val="0"/>
                <w:sz w:val="16"/>
              </w:rPr>
              <w:t>Inflated evaluation</w:t>
            </w:r>
          </w:p>
        </w:tc>
        <w:tc>
          <w:tcPr>
            <w:tcW w:type="dxa" w:w="3408"/>
            <w:vAlign w:val="center"/>
          </w:tcPr>
          <w:p>
            <w:r/>
            <w:r>
              <w:rPr>
                <w:b w:val="0"/>
                <w:sz w:val="16"/>
              </w:rPr>
              <w:t>Deduplicate and group-split</w:t>
            </w:r>
          </w:p>
        </w:tc>
      </w:tr>
      <w:tr>
        <w:tc>
          <w:tcPr>
            <w:tcW w:type="dxa" w:w="3408"/>
            <w:vAlign w:val="center"/>
          </w:tcPr>
          <w:p>
            <w:r/>
            <w:r>
              <w:rPr>
                <w:b w:val="0"/>
                <w:sz w:val="16"/>
              </w:rPr>
              <w:t>Timestamp semantics unclear</w:t>
            </w:r>
          </w:p>
        </w:tc>
        <w:tc>
          <w:tcPr>
            <w:tcW w:type="dxa" w:w="3408"/>
            <w:vAlign w:val="center"/>
          </w:tcPr>
          <w:p>
            <w:r/>
            <w:r>
              <w:rPr>
                <w:b w:val="0"/>
                <w:sz w:val="16"/>
              </w:rPr>
              <w:t>Invalid temporal validation</w:t>
            </w:r>
          </w:p>
        </w:tc>
        <w:tc>
          <w:tcPr>
            <w:tcW w:type="dxa" w:w="3408"/>
            <w:vAlign w:val="center"/>
          </w:tcPr>
          <w:p>
            <w:r/>
            <w:r>
              <w:rPr>
                <w:b w:val="0"/>
                <w:sz w:val="16"/>
              </w:rPr>
              <w:t>Confirm business meaning before time-based features</w:t>
            </w:r>
          </w:p>
        </w:tc>
      </w:tr>
      <w:tr>
        <w:tc>
          <w:tcPr>
            <w:tcW w:type="dxa" w:w="3408"/>
            <w:vAlign w:val="center"/>
          </w:tcPr>
          <w:p>
            <w:r/>
            <w:r>
              <w:rPr>
                <w:b w:val="0"/>
                <w:sz w:val="16"/>
              </w:rPr>
              <w:t>POB absent</w:t>
            </w:r>
          </w:p>
        </w:tc>
        <w:tc>
          <w:tcPr>
            <w:tcW w:type="dxa" w:w="3408"/>
            <w:vAlign w:val="center"/>
          </w:tcPr>
          <w:p>
            <w:r/>
            <w:r>
              <w:rPr>
                <w:b w:val="0"/>
                <w:sz w:val="16"/>
              </w:rPr>
              <w:t>Model cannot learn POB signal</w:t>
            </w:r>
          </w:p>
        </w:tc>
        <w:tc>
          <w:tcPr>
            <w:tcW w:type="dxa" w:w="3408"/>
            <w:vAlign w:val="center"/>
          </w:tcPr>
          <w:p>
            <w:r/>
            <w:r>
              <w:rPr>
                <w:b w:val="0"/>
                <w:sz w:val="16"/>
              </w:rPr>
              <w:t>Exclude until source provides it</w:t>
            </w:r>
          </w:p>
        </w:tc>
      </w:tr>
      <w:tr>
        <w:tc>
          <w:tcPr>
            <w:tcW w:type="dxa" w:w="3408"/>
            <w:vAlign w:val="center"/>
          </w:tcPr>
          <w:p>
            <w:r/>
            <w:r>
              <w:rPr>
                <w:b w:val="0"/>
                <w:sz w:val="16"/>
              </w:rPr>
              <w:t>Rule amounts only in comments</w:t>
            </w:r>
          </w:p>
        </w:tc>
        <w:tc>
          <w:tcPr>
            <w:tcW w:type="dxa" w:w="3408"/>
            <w:vAlign w:val="center"/>
          </w:tcPr>
          <w:p>
            <w:r/>
            <w:r>
              <w:rPr>
                <w:b w:val="0"/>
                <w:sz w:val="16"/>
              </w:rPr>
              <w:t>Weak transaction model</w:t>
            </w:r>
          </w:p>
        </w:tc>
        <w:tc>
          <w:tcPr>
            <w:tcW w:type="dxa" w:w="3408"/>
            <w:vAlign w:val="center"/>
          </w:tcPr>
          <w:p>
            <w:r/>
            <w:r>
              <w:rPr>
                <w:b w:val="0"/>
                <w:sz w:val="16"/>
              </w:rPr>
              <w:t>Obtain structured transaction amount</w:t>
            </w:r>
          </w:p>
        </w:tc>
      </w:tr>
      <w:tr>
        <w:tc>
          <w:tcPr>
            <w:tcW w:type="dxa" w:w="3408"/>
            <w:vAlign w:val="center"/>
          </w:tcPr>
          <w:p>
            <w:r/>
            <w:r>
              <w:rPr>
                <w:b w:val="0"/>
                <w:sz w:val="16"/>
              </w:rPr>
              <w:t>Rare rules</w:t>
            </w:r>
          </w:p>
        </w:tc>
        <w:tc>
          <w:tcPr>
            <w:tcW w:type="dxa" w:w="3408"/>
            <w:vAlign w:val="center"/>
          </w:tcPr>
          <w:p>
            <w:r/>
            <w:r>
              <w:rPr>
                <w:b w:val="0"/>
                <w:sz w:val="16"/>
              </w:rPr>
              <w:t>Overfitting</w:t>
            </w:r>
          </w:p>
        </w:tc>
        <w:tc>
          <w:tcPr>
            <w:tcW w:type="dxa" w:w="3408"/>
            <w:vAlign w:val="center"/>
          </w:tcPr>
          <w:p>
            <w:r/>
            <w:r>
              <w:rPr>
                <w:b w:val="0"/>
                <w:sz w:val="16"/>
              </w:rPr>
              <w:t>Shared representation; specialize only when sample size supports it</w:t>
            </w:r>
          </w:p>
        </w:tc>
      </w:tr>
      <w:tr>
        <w:tc>
          <w:tcPr>
            <w:tcW w:type="dxa" w:w="3408"/>
            <w:vAlign w:val="center"/>
          </w:tcPr>
          <w:p>
            <w:r/>
            <w:r>
              <w:rPr>
                <w:b w:val="0"/>
                <w:sz w:val="16"/>
              </w:rPr>
              <w:t>Anomaly interpreted as guilt</w:t>
            </w:r>
          </w:p>
        </w:tc>
        <w:tc>
          <w:tcPr>
            <w:tcW w:type="dxa" w:w="3408"/>
            <w:vAlign w:val="center"/>
          </w:tcPr>
          <w:p>
            <w:r/>
            <w:r>
              <w:rPr>
                <w:b w:val="0"/>
                <w:sz w:val="16"/>
              </w:rPr>
              <w:t>Unsafe compliance decision</w:t>
            </w:r>
          </w:p>
        </w:tc>
        <w:tc>
          <w:tcPr>
            <w:tcW w:type="dxa" w:w="3408"/>
            <w:vAlign w:val="center"/>
          </w:tcPr>
          <w:p>
            <w:r/>
            <w:r>
              <w:rPr>
                <w:b w:val="0"/>
                <w:sz w:val="16"/>
              </w:rPr>
              <w:t>Position as novelty/review signal; validate with compliance outcomes</w:t>
            </w:r>
          </w:p>
        </w:tc>
      </w:tr>
    </w:tbl>
    <w:p>
      <w:pPr>
        <w:pStyle w:val="Heading1"/>
      </w:pPr>
      <w:r>
        <w:t>16. Recommended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Phase</w:t>
            </w:r>
          </w:p>
        </w:tc>
        <w:tc>
          <w:tcPr>
            <w:tcW w:type="dxa" w:w="3408"/>
            <w:vAlign w:val="center"/>
            <w:shd w:fill="D9EAF7"/>
          </w:tcPr>
          <w:p>
            <w:r/>
            <w:r>
              <w:rPr>
                <w:b/>
                <w:sz w:val="16"/>
              </w:rPr>
              <w:t>Duration</w:t>
            </w:r>
          </w:p>
        </w:tc>
        <w:tc>
          <w:tcPr>
            <w:tcW w:type="dxa" w:w="3408"/>
            <w:vAlign w:val="center"/>
            <w:shd w:fill="D9EAF7"/>
          </w:tcPr>
          <w:p>
            <w:r/>
            <w:r>
              <w:rPr>
                <w:b/>
                <w:sz w:val="16"/>
              </w:rPr>
              <w:t>Primary outcome</w:t>
            </w:r>
          </w:p>
        </w:tc>
      </w:tr>
      <w:tr>
        <w:tc>
          <w:tcPr>
            <w:tcW w:type="dxa" w:w="3408"/>
            <w:vAlign w:val="center"/>
          </w:tcPr>
          <w:p>
            <w:r/>
            <w:r>
              <w:rPr>
                <w:b w:val="0"/>
                <w:sz w:val="16"/>
              </w:rPr>
              <w:t>Phase 0 - Data Science Audit</w:t>
            </w:r>
          </w:p>
        </w:tc>
        <w:tc>
          <w:tcPr>
            <w:tcW w:type="dxa" w:w="3408"/>
            <w:vAlign w:val="center"/>
          </w:tcPr>
          <w:p>
            <w:r/>
            <w:r>
              <w:rPr>
                <w:b w:val="0"/>
                <w:sz w:val="16"/>
              </w:rPr>
              <w:t>1-2 weeks</w:t>
            </w:r>
          </w:p>
        </w:tc>
        <w:tc>
          <w:tcPr>
            <w:tcW w:type="dxa" w:w="3408"/>
            <w:vAlign w:val="center"/>
          </w:tcPr>
          <w:p>
            <w:r/>
            <w:r>
              <w:rPr>
                <w:b w:val="0"/>
                <w:sz w:val="16"/>
              </w:rPr>
              <w:t>Validated schema, leakage rules, outcome taxonomy, PoC dataset</w:t>
            </w:r>
          </w:p>
        </w:tc>
      </w:tr>
      <w:tr>
        <w:tc>
          <w:tcPr>
            <w:tcW w:type="dxa" w:w="3408"/>
            <w:vAlign w:val="center"/>
          </w:tcPr>
          <w:p>
            <w:r/>
            <w:r>
              <w:rPr>
                <w:b w:val="0"/>
                <w:sz w:val="16"/>
              </w:rPr>
              <w:t>Phase 1 - Unsupervised PoC</w:t>
            </w:r>
          </w:p>
        </w:tc>
        <w:tc>
          <w:tcPr>
            <w:tcW w:type="dxa" w:w="3408"/>
            <w:vAlign w:val="center"/>
          </w:tcPr>
          <w:p>
            <w:r/>
            <w:r>
              <w:rPr>
                <w:b w:val="0"/>
                <w:sz w:val="16"/>
              </w:rPr>
              <w:t>2-3 weeks</w:t>
            </w:r>
          </w:p>
        </w:tc>
        <w:tc>
          <w:tcPr>
            <w:tcW w:type="dxa" w:w="3408"/>
            <w:vAlign w:val="center"/>
          </w:tcPr>
          <w:p>
            <w:r/>
            <w:r>
              <w:rPr>
                <w:b w:val="0"/>
                <w:sz w:val="16"/>
              </w:rPr>
              <w:t>Entity + transaction anomaly models and reproducible evaluation</w:t>
            </w:r>
          </w:p>
        </w:tc>
      </w:tr>
      <w:tr>
        <w:tc>
          <w:tcPr>
            <w:tcW w:type="dxa" w:w="3408"/>
            <w:vAlign w:val="center"/>
          </w:tcPr>
          <w:p>
            <w:r/>
            <w:r>
              <w:rPr>
                <w:b w:val="0"/>
                <w:sz w:val="16"/>
              </w:rPr>
              <w:t>Phase 2 - Shadow API</w:t>
            </w:r>
          </w:p>
        </w:tc>
        <w:tc>
          <w:tcPr>
            <w:tcW w:type="dxa" w:w="3408"/>
            <w:vAlign w:val="center"/>
          </w:tcPr>
          <w:p>
            <w:r/>
            <w:r>
              <w:rPr>
                <w:b w:val="0"/>
                <w:sz w:val="16"/>
              </w:rPr>
              <w:t>2-3 weeks</w:t>
            </w:r>
          </w:p>
        </w:tc>
        <w:tc>
          <w:tcPr>
            <w:tcW w:type="dxa" w:w="3408"/>
            <w:vAlign w:val="center"/>
          </w:tcPr>
          <w:p>
            <w:r/>
            <w:r>
              <w:rPr>
                <w:b w:val="0"/>
                <w:sz w:val="16"/>
              </w:rPr>
              <w:t>FastAPI scoring, audit storage, review dashboard, no autonomous release</w:t>
            </w:r>
          </w:p>
        </w:tc>
      </w:tr>
      <w:tr>
        <w:tc>
          <w:tcPr>
            <w:tcW w:type="dxa" w:w="3408"/>
            <w:vAlign w:val="center"/>
          </w:tcPr>
          <w:p>
            <w:r/>
            <w:r>
              <w:rPr>
                <w:b w:val="0"/>
                <w:sz w:val="16"/>
              </w:rPr>
              <w:t>Phase 3 - Production Integration</w:t>
            </w:r>
          </w:p>
        </w:tc>
        <w:tc>
          <w:tcPr>
            <w:tcW w:type="dxa" w:w="3408"/>
            <w:vAlign w:val="center"/>
          </w:tcPr>
          <w:p>
            <w:r/>
            <w:r>
              <w:rPr>
                <w:b w:val="0"/>
                <w:sz w:val="16"/>
              </w:rPr>
              <w:t>3-5 weeks</w:t>
            </w:r>
          </w:p>
        </w:tc>
        <w:tc>
          <w:tcPr>
            <w:tcW w:type="dxa" w:w="3408"/>
            <w:vAlign w:val="center"/>
          </w:tcPr>
          <w:p>
            <w:r/>
            <w:r>
              <w:rPr>
                <w:b w:val="0"/>
                <w:sz w:val="16"/>
              </w:rPr>
              <w:t>Client source integration, monitoring, model registry and controlled rollout</w:t>
            </w:r>
          </w:p>
        </w:tc>
      </w:tr>
      <w:tr>
        <w:tc>
          <w:tcPr>
            <w:tcW w:type="dxa" w:w="3408"/>
            <w:vAlign w:val="center"/>
          </w:tcPr>
          <w:p>
            <w:r/>
            <w:r>
              <w:rPr>
                <w:b w:val="0"/>
                <w:sz w:val="16"/>
              </w:rPr>
              <w:t>Phase 4 - Feedback Learning</w:t>
            </w:r>
          </w:p>
        </w:tc>
        <w:tc>
          <w:tcPr>
            <w:tcW w:type="dxa" w:w="3408"/>
            <w:vAlign w:val="center"/>
          </w:tcPr>
          <w:p>
            <w:r/>
            <w:r>
              <w:rPr>
                <w:b w:val="0"/>
                <w:sz w:val="16"/>
              </w:rPr>
              <w:t>Ongoing</w:t>
            </w:r>
          </w:p>
        </w:tc>
        <w:tc>
          <w:tcPr>
            <w:tcW w:type="dxa" w:w="3408"/>
            <w:vAlign w:val="center"/>
          </w:tcPr>
          <w:p>
            <w:r/>
            <w:r>
              <w:rPr>
                <w:b w:val="0"/>
                <w:sz w:val="16"/>
              </w:rPr>
              <w:t>Confirmed outcomes, model retraining and future supervised calibration</w:t>
            </w:r>
          </w:p>
        </w:tc>
      </w:tr>
    </w:tbl>
    <w:p>
      <w:pPr>
        <w:pStyle w:val="Heading1"/>
      </w:pPr>
      <w:r>
        <w:t>17. PoC Acceptance Criteria</w:t>
      </w:r>
    </w:p>
    <w:p>
      <w:pPr>
        <w:pStyle w:val="ListBullet"/>
      </w:pPr>
      <w:r>
        <w:t>All three workbook sheets can be ingested and normalized without manual row editing.</w:t>
      </w:r>
    </w:p>
    <w:p>
      <w:pPr>
        <w:pStyle w:val="ListBullet"/>
      </w:pPr>
      <w:r>
        <w:t>Exact duplicates are identified and handled deterministically.</w:t>
      </w:r>
    </w:p>
    <w:p>
      <w:pPr>
        <w:pStyle w:val="ListBullet"/>
      </w:pPr>
      <w:r>
        <w:t>No post-review fields are used in live model inference.</w:t>
      </w:r>
    </w:p>
    <w:p>
      <w:pPr>
        <w:pStyle w:val="ListBullet"/>
      </w:pPr>
      <w:r>
        <w:t>Entity and transaction pipelines are separately evaluated.</w:t>
      </w:r>
    </w:p>
    <w:p>
      <w:pPr>
        <w:pStyle w:val="ListBullet"/>
      </w:pPr>
      <w:r>
        <w:t>Customer-grouped and time-forward validation runs reproducibly.</w:t>
      </w:r>
    </w:p>
    <w:p>
      <w:pPr>
        <w:pStyle w:val="ListBullet"/>
      </w:pPr>
      <w:r>
        <w:t>The system produces a ranked anomaly/novelty list for each alert family.</w:t>
      </w:r>
    </w:p>
    <w:p>
      <w:pPr>
        <w:pStyle w:val="ListBullet"/>
      </w:pPr>
      <w:r>
        <w:t>The system can show historical context for repeated customers/transactions.</w:t>
      </w:r>
    </w:p>
    <w:p>
      <w:pPr>
        <w:pStyle w:val="ListBullet"/>
      </w:pPr>
      <w:r>
        <w:t>Model scores are reproducible for a fixed model and feature version.</w:t>
      </w:r>
    </w:p>
    <w:p>
      <w:pPr>
        <w:pStyle w:val="ListBullet"/>
      </w:pPr>
      <w:r>
        <w:t>The PoC produces an auditable score record.</w:t>
      </w:r>
    </w:p>
    <w:p>
      <w:pPr>
        <w:pStyle w:val="ListBullet"/>
      </w:pPr>
      <w:r>
        <w:t>The report clearly separates exploratory anomaly findings from confirmed supervised performance.</w:t>
      </w:r>
    </w:p>
    <w:p>
      <w:pPr>
        <w:pStyle w:val="Heading1"/>
      </w:pPr>
      <w:r>
        <w:t>18. Final Recommendation</w:t>
      </w:r>
    </w:p>
    <w:p>
      <w:r>
        <w:rPr>
          <w:b/>
        </w:rPr>
        <w:t>Proceed with an unsupervised-first Alert Intelligence Engine. Do not treat the current workbook as a binary classification dataset.</w:t>
      </w:r>
    </w:p>
    <w:p>
      <w:r>
        <w:t>The strongest technical proposition is a no-LLM, client-hosted ML system that learns entity and transaction representations, models global and customer-specific historical behaviour, detects novelty/anomaly, and provides an auditable review recommendation. As confirmed compliance outcomes accumulate, a supervised calibration layer can be added without replacing the unsupervised foundation.</w:t>
      </w:r>
    </w:p>
    <w:p>
      <w:r>
        <w:t>This approach fits the client's current data, remains useful if future production data continues to be weakly labelled, and creates a credible path from PoC to controlled automation.</w:t>
      </w:r>
    </w:p>
    <w:p>
      <w:pPr>
        <w:pStyle w:val="Heading1"/>
      </w:pPr>
      <w:r>
        <w:t>Appendix A - Current Rule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Rule Name</w:t>
            </w:r>
          </w:p>
        </w:tc>
        <w:tc>
          <w:tcPr>
            <w:tcW w:type="dxa" w:w="3408"/>
            <w:vAlign w:val="center"/>
            <w:shd w:fill="D9EAF7"/>
          </w:tcPr>
          <w:p>
            <w:r/>
            <w:r>
              <w:rPr>
                <w:b/>
                <w:sz w:val="15"/>
              </w:rPr>
              <w:t>Records</w:t>
            </w:r>
          </w:p>
        </w:tc>
        <w:tc>
          <w:tcPr>
            <w:tcW w:type="dxa" w:w="3408"/>
            <w:vAlign w:val="center"/>
            <w:shd w:fill="D9EAF7"/>
          </w:tcPr>
          <w:p>
            <w:r/>
            <w:r>
              <w:rPr>
                <w:b/>
                <w:sz w:val="15"/>
              </w:rPr>
              <w:t>Share</w:t>
            </w:r>
          </w:p>
        </w:tc>
      </w:tr>
      <w:tr>
        <w:tc>
          <w:tcPr>
            <w:tcW w:type="dxa" w:w="3408"/>
            <w:vAlign w:val="center"/>
          </w:tcPr>
          <w:p>
            <w:r/>
            <w:r>
              <w:rPr>
                <w:b w:val="0"/>
                <w:sz w:val="15"/>
              </w:rPr>
              <w:t>23 - NATIONALITY - COUNTRY COMBINATION (SEND TRANS</w:t>
            </w:r>
          </w:p>
        </w:tc>
        <w:tc>
          <w:tcPr>
            <w:tcW w:type="dxa" w:w="3408"/>
            <w:vAlign w:val="center"/>
          </w:tcPr>
          <w:p>
            <w:r/>
            <w:r>
              <w:rPr>
                <w:b w:val="0"/>
                <w:sz w:val="15"/>
              </w:rPr>
              <w:t>640</w:t>
            </w:r>
          </w:p>
        </w:tc>
        <w:tc>
          <w:tcPr>
            <w:tcW w:type="dxa" w:w="3408"/>
            <w:vAlign w:val="center"/>
          </w:tcPr>
          <w:p>
            <w:r/>
            <w:r>
              <w:rPr>
                <w:b w:val="0"/>
                <w:sz w:val="15"/>
              </w:rPr>
              <w:t>28.5%</w:t>
            </w:r>
          </w:p>
        </w:tc>
      </w:tr>
      <w:tr>
        <w:tc>
          <w:tcPr>
            <w:tcW w:type="dxa" w:w="3408"/>
            <w:vAlign w:val="center"/>
          </w:tcPr>
          <w:p>
            <w:r/>
            <w:r>
              <w:rPr>
                <w:b w:val="0"/>
                <w:sz w:val="15"/>
              </w:rPr>
              <w:t>42 - REMITTANCE - NON RESIDENT</w:t>
            </w:r>
          </w:p>
        </w:tc>
        <w:tc>
          <w:tcPr>
            <w:tcW w:type="dxa" w:w="3408"/>
            <w:vAlign w:val="center"/>
          </w:tcPr>
          <w:p>
            <w:r/>
            <w:r>
              <w:rPr>
                <w:b w:val="0"/>
                <w:sz w:val="15"/>
              </w:rPr>
              <w:t>365</w:t>
            </w:r>
          </w:p>
        </w:tc>
        <w:tc>
          <w:tcPr>
            <w:tcW w:type="dxa" w:w="3408"/>
            <w:vAlign w:val="center"/>
          </w:tcPr>
          <w:p>
            <w:r/>
            <w:r>
              <w:rPr>
                <w:b w:val="0"/>
                <w:sz w:val="15"/>
              </w:rPr>
              <w:t>16.3%</w:t>
            </w:r>
          </w:p>
        </w:tc>
      </w:tr>
      <w:tr>
        <w:tc>
          <w:tcPr>
            <w:tcW w:type="dxa" w:w="3408"/>
            <w:vAlign w:val="center"/>
          </w:tcPr>
          <w:p>
            <w:r/>
            <w:r>
              <w:rPr>
                <w:b w:val="0"/>
                <w:sz w:val="15"/>
              </w:rPr>
              <w:t>53 - RULE TRANSACTIONS BREACHED AMOUNT 55K</w:t>
            </w:r>
          </w:p>
        </w:tc>
        <w:tc>
          <w:tcPr>
            <w:tcW w:type="dxa" w:w="3408"/>
            <w:vAlign w:val="center"/>
          </w:tcPr>
          <w:p>
            <w:r/>
            <w:r>
              <w:rPr>
                <w:b w:val="0"/>
                <w:sz w:val="15"/>
              </w:rPr>
              <w:t>336</w:t>
            </w:r>
          </w:p>
        </w:tc>
        <w:tc>
          <w:tcPr>
            <w:tcW w:type="dxa" w:w="3408"/>
            <w:vAlign w:val="center"/>
          </w:tcPr>
          <w:p>
            <w:r/>
            <w:r>
              <w:rPr>
                <w:b w:val="0"/>
                <w:sz w:val="15"/>
              </w:rPr>
              <w:t>15.0%</w:t>
            </w:r>
          </w:p>
        </w:tc>
      </w:tr>
      <w:tr>
        <w:tc>
          <w:tcPr>
            <w:tcW w:type="dxa" w:w="3408"/>
            <w:vAlign w:val="center"/>
          </w:tcPr>
          <w:p>
            <w:r/>
            <w:r>
              <w:rPr>
                <w:b w:val="0"/>
                <w:sz w:val="15"/>
              </w:rPr>
              <w:t>107 - AMOUNT EXCEEDS 30%</w:t>
            </w:r>
          </w:p>
        </w:tc>
        <w:tc>
          <w:tcPr>
            <w:tcW w:type="dxa" w:w="3408"/>
            <w:vAlign w:val="center"/>
          </w:tcPr>
          <w:p>
            <w:r/>
            <w:r>
              <w:rPr>
                <w:b w:val="0"/>
                <w:sz w:val="15"/>
              </w:rPr>
              <w:t>331</w:t>
            </w:r>
          </w:p>
        </w:tc>
        <w:tc>
          <w:tcPr>
            <w:tcW w:type="dxa" w:w="3408"/>
            <w:vAlign w:val="center"/>
          </w:tcPr>
          <w:p>
            <w:r/>
            <w:r>
              <w:rPr>
                <w:b w:val="0"/>
                <w:sz w:val="15"/>
              </w:rPr>
              <w:t>14.8%</w:t>
            </w:r>
          </w:p>
        </w:tc>
      </w:tr>
      <w:tr>
        <w:tc>
          <w:tcPr>
            <w:tcW w:type="dxa" w:w="3408"/>
            <w:vAlign w:val="center"/>
          </w:tcPr>
          <w:p>
            <w:r/>
            <w:r>
              <w:rPr>
                <w:b w:val="0"/>
                <w:sz w:val="15"/>
              </w:rPr>
              <w:t>91 - PEP CUSTOMER</w:t>
            </w:r>
          </w:p>
        </w:tc>
        <w:tc>
          <w:tcPr>
            <w:tcW w:type="dxa" w:w="3408"/>
            <w:vAlign w:val="center"/>
          </w:tcPr>
          <w:p>
            <w:r/>
            <w:r>
              <w:rPr>
                <w:b w:val="0"/>
                <w:sz w:val="15"/>
              </w:rPr>
              <w:t>122</w:t>
            </w:r>
          </w:p>
        </w:tc>
        <w:tc>
          <w:tcPr>
            <w:tcW w:type="dxa" w:w="3408"/>
            <w:vAlign w:val="center"/>
          </w:tcPr>
          <w:p>
            <w:r/>
            <w:r>
              <w:rPr>
                <w:b w:val="0"/>
                <w:sz w:val="15"/>
              </w:rPr>
              <w:t>5.4%</w:t>
            </w:r>
          </w:p>
        </w:tc>
      </w:tr>
      <w:tr>
        <w:tc>
          <w:tcPr>
            <w:tcW w:type="dxa" w:w="3408"/>
            <w:vAlign w:val="center"/>
          </w:tcPr>
          <w:p>
            <w:r/>
            <w:r>
              <w:rPr>
                <w:b w:val="0"/>
                <w:sz w:val="15"/>
              </w:rPr>
              <w:t>56 - HIGH RISK COUNTRY - CUMULATIVE</w:t>
            </w:r>
          </w:p>
        </w:tc>
        <w:tc>
          <w:tcPr>
            <w:tcW w:type="dxa" w:w="3408"/>
            <w:vAlign w:val="center"/>
          </w:tcPr>
          <w:p>
            <w:r/>
            <w:r>
              <w:rPr>
                <w:b w:val="0"/>
                <w:sz w:val="15"/>
              </w:rPr>
              <w:t>116</w:t>
            </w:r>
          </w:p>
        </w:tc>
        <w:tc>
          <w:tcPr>
            <w:tcW w:type="dxa" w:w="3408"/>
            <w:vAlign w:val="center"/>
          </w:tcPr>
          <w:p>
            <w:r/>
            <w:r>
              <w:rPr>
                <w:b w:val="0"/>
                <w:sz w:val="15"/>
              </w:rPr>
              <w:t>5.2%</w:t>
            </w:r>
          </w:p>
        </w:tc>
      </w:tr>
      <w:tr>
        <w:tc>
          <w:tcPr>
            <w:tcW w:type="dxa" w:w="3408"/>
            <w:vAlign w:val="center"/>
          </w:tcPr>
          <w:p>
            <w:r/>
            <w:r>
              <w:rPr>
                <w:b w:val="0"/>
                <w:sz w:val="15"/>
              </w:rPr>
              <w:t>84 - TRANSACTIONS BREACHED AMOUNT 55K WITH IN A 90 DAYS</w:t>
            </w:r>
          </w:p>
        </w:tc>
        <w:tc>
          <w:tcPr>
            <w:tcW w:type="dxa" w:w="3408"/>
            <w:vAlign w:val="center"/>
          </w:tcPr>
          <w:p>
            <w:r/>
            <w:r>
              <w:rPr>
                <w:b w:val="0"/>
                <w:sz w:val="15"/>
              </w:rPr>
              <w:t>102</w:t>
            </w:r>
          </w:p>
        </w:tc>
        <w:tc>
          <w:tcPr>
            <w:tcW w:type="dxa" w:w="3408"/>
            <w:vAlign w:val="center"/>
          </w:tcPr>
          <w:p>
            <w:r/>
            <w:r>
              <w:rPr>
                <w:b w:val="0"/>
                <w:sz w:val="15"/>
              </w:rPr>
              <w:t>4.5%</w:t>
            </w:r>
          </w:p>
        </w:tc>
      </w:tr>
      <w:tr>
        <w:tc>
          <w:tcPr>
            <w:tcW w:type="dxa" w:w="3408"/>
            <w:vAlign w:val="center"/>
          </w:tcPr>
          <w:p>
            <w:r/>
            <w:r>
              <w:rPr>
                <w:b w:val="0"/>
                <w:sz w:val="15"/>
              </w:rPr>
              <w:t>4 - HIGH VALUE TRANSACTIONS</w:t>
            </w:r>
          </w:p>
        </w:tc>
        <w:tc>
          <w:tcPr>
            <w:tcW w:type="dxa" w:w="3408"/>
            <w:vAlign w:val="center"/>
          </w:tcPr>
          <w:p>
            <w:r/>
            <w:r>
              <w:rPr>
                <w:b w:val="0"/>
                <w:sz w:val="15"/>
              </w:rPr>
              <w:t>52</w:t>
            </w:r>
          </w:p>
        </w:tc>
        <w:tc>
          <w:tcPr>
            <w:tcW w:type="dxa" w:w="3408"/>
            <w:vAlign w:val="center"/>
          </w:tcPr>
          <w:p>
            <w:r/>
            <w:r>
              <w:rPr>
                <w:b w:val="0"/>
                <w:sz w:val="15"/>
              </w:rPr>
              <w:t>2.3%</w:t>
            </w:r>
          </w:p>
        </w:tc>
      </w:tr>
      <w:tr>
        <w:tc>
          <w:tcPr>
            <w:tcW w:type="dxa" w:w="3408"/>
            <w:vAlign w:val="center"/>
          </w:tcPr>
          <w:p>
            <w:r/>
            <w:r>
              <w:rPr>
                <w:b w:val="0"/>
                <w:sz w:val="15"/>
              </w:rPr>
              <w:t>96 - MULTIPLE BENEFICIARIES (ONE TO MANY) SEND</w:t>
            </w:r>
          </w:p>
        </w:tc>
        <w:tc>
          <w:tcPr>
            <w:tcW w:type="dxa" w:w="3408"/>
            <w:vAlign w:val="center"/>
          </w:tcPr>
          <w:p>
            <w:r/>
            <w:r>
              <w:rPr>
                <w:b w:val="0"/>
                <w:sz w:val="15"/>
              </w:rPr>
              <w:t>39</w:t>
            </w:r>
          </w:p>
        </w:tc>
        <w:tc>
          <w:tcPr>
            <w:tcW w:type="dxa" w:w="3408"/>
            <w:vAlign w:val="center"/>
          </w:tcPr>
          <w:p>
            <w:r/>
            <w:r>
              <w:rPr>
                <w:b w:val="0"/>
                <w:sz w:val="15"/>
              </w:rPr>
              <w:t>1.7%</w:t>
            </w:r>
          </w:p>
        </w:tc>
      </w:tr>
      <w:tr>
        <w:tc>
          <w:tcPr>
            <w:tcW w:type="dxa" w:w="3408"/>
            <w:vAlign w:val="center"/>
          </w:tcPr>
          <w:p>
            <w:r/>
            <w:r>
              <w:rPr>
                <w:b w:val="0"/>
                <w:sz w:val="15"/>
              </w:rPr>
              <w:t>44 - MULTIPLE SENDERS (MANY TO ONE)</w:t>
            </w:r>
          </w:p>
        </w:tc>
        <w:tc>
          <w:tcPr>
            <w:tcW w:type="dxa" w:w="3408"/>
            <w:vAlign w:val="center"/>
          </w:tcPr>
          <w:p>
            <w:r/>
            <w:r>
              <w:rPr>
                <w:b w:val="0"/>
                <w:sz w:val="15"/>
              </w:rPr>
              <w:t>34</w:t>
            </w:r>
          </w:p>
        </w:tc>
        <w:tc>
          <w:tcPr>
            <w:tcW w:type="dxa" w:w="3408"/>
            <w:vAlign w:val="center"/>
          </w:tcPr>
          <w:p>
            <w:r/>
            <w:r>
              <w:rPr>
                <w:b w:val="0"/>
                <w:sz w:val="15"/>
              </w:rPr>
              <w:t>1.5%</w:t>
            </w:r>
          </w:p>
        </w:tc>
      </w:tr>
      <w:tr>
        <w:tc>
          <w:tcPr>
            <w:tcW w:type="dxa" w:w="3408"/>
            <w:vAlign w:val="center"/>
          </w:tcPr>
          <w:p>
            <w:r/>
            <w:r>
              <w:rPr>
                <w:b w:val="0"/>
                <w:sz w:val="15"/>
              </w:rPr>
              <w:t>97 - SPLITTING OF TRANSACTIONS</w:t>
            </w:r>
          </w:p>
        </w:tc>
        <w:tc>
          <w:tcPr>
            <w:tcW w:type="dxa" w:w="3408"/>
            <w:vAlign w:val="center"/>
          </w:tcPr>
          <w:p>
            <w:r/>
            <w:r>
              <w:rPr>
                <w:b w:val="0"/>
                <w:sz w:val="15"/>
              </w:rPr>
              <w:t>33</w:t>
            </w:r>
          </w:p>
        </w:tc>
        <w:tc>
          <w:tcPr>
            <w:tcW w:type="dxa" w:w="3408"/>
            <w:vAlign w:val="center"/>
          </w:tcPr>
          <w:p>
            <w:r/>
            <w:r>
              <w:rPr>
                <w:b w:val="0"/>
                <w:sz w:val="15"/>
              </w:rPr>
              <w:t>1.5%</w:t>
            </w:r>
          </w:p>
        </w:tc>
      </w:tr>
      <w:tr>
        <w:tc>
          <w:tcPr>
            <w:tcW w:type="dxa" w:w="3408"/>
            <w:vAlign w:val="center"/>
          </w:tcPr>
          <w:p>
            <w:r/>
            <w:r>
              <w:rPr>
                <w:b w:val="0"/>
                <w:sz w:val="15"/>
              </w:rPr>
              <w:t>127 - SEND TO HIGH RISK COUNTRY</w:t>
            </w:r>
          </w:p>
        </w:tc>
        <w:tc>
          <w:tcPr>
            <w:tcW w:type="dxa" w:w="3408"/>
            <w:vAlign w:val="center"/>
          </w:tcPr>
          <w:p>
            <w:r/>
            <w:r>
              <w:rPr>
                <w:b w:val="0"/>
                <w:sz w:val="15"/>
              </w:rPr>
              <w:t>24</w:t>
            </w:r>
          </w:p>
        </w:tc>
        <w:tc>
          <w:tcPr>
            <w:tcW w:type="dxa" w:w="3408"/>
            <w:vAlign w:val="center"/>
          </w:tcPr>
          <w:p>
            <w:r/>
            <w:r>
              <w:rPr>
                <w:b w:val="0"/>
                <w:sz w:val="15"/>
              </w:rPr>
              <w:t>1.1%</w:t>
            </w:r>
          </w:p>
        </w:tc>
      </w:tr>
      <w:tr>
        <w:tc>
          <w:tcPr>
            <w:tcW w:type="dxa" w:w="3408"/>
            <w:vAlign w:val="center"/>
          </w:tcPr>
          <w:p>
            <w:r/>
            <w:r>
              <w:rPr>
                <w:b w:val="0"/>
                <w:sz w:val="15"/>
              </w:rPr>
              <w:t>20 - HIGH VALUE TRANSACTIONS - CUMULATIVE</w:t>
            </w:r>
          </w:p>
        </w:tc>
        <w:tc>
          <w:tcPr>
            <w:tcW w:type="dxa" w:w="3408"/>
            <w:vAlign w:val="center"/>
          </w:tcPr>
          <w:p>
            <w:r/>
            <w:r>
              <w:rPr>
                <w:b w:val="0"/>
                <w:sz w:val="15"/>
              </w:rPr>
              <w:t>15</w:t>
            </w:r>
          </w:p>
        </w:tc>
        <w:tc>
          <w:tcPr>
            <w:tcW w:type="dxa" w:w="3408"/>
            <w:vAlign w:val="center"/>
          </w:tcPr>
          <w:p>
            <w:r/>
            <w:r>
              <w:rPr>
                <w:b w:val="0"/>
                <w:sz w:val="15"/>
              </w:rPr>
              <w:t>0.7%</w:t>
            </w:r>
          </w:p>
        </w:tc>
      </w:tr>
      <w:tr>
        <w:tc>
          <w:tcPr>
            <w:tcW w:type="dxa" w:w="3408"/>
            <w:vAlign w:val="center"/>
          </w:tcPr>
          <w:p>
            <w:r/>
            <w:r>
              <w:rPr>
                <w:b w:val="0"/>
                <w:sz w:val="15"/>
              </w:rPr>
              <w:t>100 - MANY CUSTOMERS RECEIVING FUNDS FROM A COMMON SENDER</w:t>
            </w:r>
          </w:p>
        </w:tc>
        <w:tc>
          <w:tcPr>
            <w:tcW w:type="dxa" w:w="3408"/>
            <w:vAlign w:val="center"/>
          </w:tcPr>
          <w:p>
            <w:r/>
            <w:r>
              <w:rPr>
                <w:b w:val="0"/>
                <w:sz w:val="15"/>
              </w:rPr>
              <w:t>11</w:t>
            </w:r>
          </w:p>
        </w:tc>
        <w:tc>
          <w:tcPr>
            <w:tcW w:type="dxa" w:w="3408"/>
            <w:vAlign w:val="center"/>
          </w:tcPr>
          <w:p>
            <w:r/>
            <w:r>
              <w:rPr>
                <w:b w:val="0"/>
                <w:sz w:val="15"/>
              </w:rPr>
              <w:t>0.5%</w:t>
            </w:r>
          </w:p>
        </w:tc>
      </w:tr>
      <w:tr>
        <w:tc>
          <w:tcPr>
            <w:tcW w:type="dxa" w:w="3408"/>
            <w:vAlign w:val="center"/>
          </w:tcPr>
          <w:p>
            <w:r/>
            <w:r>
              <w:rPr>
                <w:b w:val="0"/>
                <w:sz w:val="15"/>
              </w:rPr>
              <w:t>104 - NEW CLIENT HIGH VALUE TRANSACTION</w:t>
            </w:r>
          </w:p>
        </w:tc>
        <w:tc>
          <w:tcPr>
            <w:tcW w:type="dxa" w:w="3408"/>
            <w:vAlign w:val="center"/>
          </w:tcPr>
          <w:p>
            <w:r/>
            <w:r>
              <w:rPr>
                <w:b w:val="0"/>
                <w:sz w:val="15"/>
              </w:rPr>
              <w:t>10</w:t>
            </w:r>
          </w:p>
        </w:tc>
        <w:tc>
          <w:tcPr>
            <w:tcW w:type="dxa" w:w="3408"/>
            <w:vAlign w:val="center"/>
          </w:tcPr>
          <w:p>
            <w:r/>
            <w:r>
              <w:rPr>
                <w:b w:val="0"/>
                <w:sz w:val="15"/>
              </w:rPr>
              <w:t>0.4%</w:t>
            </w:r>
          </w:p>
        </w:tc>
      </w:tr>
      <w:tr>
        <w:tc>
          <w:tcPr>
            <w:tcW w:type="dxa" w:w="3408"/>
            <w:vAlign w:val="center"/>
          </w:tcPr>
          <w:p>
            <w:r/>
            <w:r>
              <w:rPr>
                <w:b w:val="0"/>
                <w:sz w:val="15"/>
              </w:rPr>
              <w:t>101 - MULTIPLE CURRENCIES</w:t>
            </w:r>
          </w:p>
        </w:tc>
        <w:tc>
          <w:tcPr>
            <w:tcW w:type="dxa" w:w="3408"/>
            <w:vAlign w:val="center"/>
          </w:tcPr>
          <w:p>
            <w:r/>
            <w:r>
              <w:rPr>
                <w:b w:val="0"/>
                <w:sz w:val="15"/>
              </w:rPr>
              <w:t>7</w:t>
            </w:r>
          </w:p>
        </w:tc>
        <w:tc>
          <w:tcPr>
            <w:tcW w:type="dxa" w:w="3408"/>
            <w:vAlign w:val="center"/>
          </w:tcPr>
          <w:p>
            <w:r/>
            <w:r>
              <w:rPr>
                <w:b w:val="0"/>
                <w:sz w:val="15"/>
              </w:rPr>
              <w:t>0.3%</w:t>
            </w:r>
          </w:p>
        </w:tc>
      </w:tr>
      <w:tr>
        <w:tc>
          <w:tcPr>
            <w:tcW w:type="dxa" w:w="3408"/>
            <w:vAlign w:val="center"/>
          </w:tcPr>
          <w:p>
            <w:r/>
            <w:r>
              <w:rPr>
                <w:b w:val="0"/>
                <w:sz w:val="15"/>
              </w:rPr>
              <w:t>88 - RECEIVE FROM HIGH RISK COUNTRY</w:t>
            </w:r>
          </w:p>
        </w:tc>
        <w:tc>
          <w:tcPr>
            <w:tcW w:type="dxa" w:w="3408"/>
            <w:vAlign w:val="center"/>
          </w:tcPr>
          <w:p>
            <w:r/>
            <w:r>
              <w:rPr>
                <w:b w:val="0"/>
                <w:sz w:val="15"/>
              </w:rPr>
              <w:t>4</w:t>
            </w:r>
          </w:p>
        </w:tc>
        <w:tc>
          <w:tcPr>
            <w:tcW w:type="dxa" w:w="3408"/>
            <w:vAlign w:val="center"/>
          </w:tcPr>
          <w:p>
            <w:r/>
            <w:r>
              <w:rPr>
                <w:b w:val="0"/>
                <w:sz w:val="15"/>
              </w:rPr>
              <w:t>0.2%</w:t>
            </w:r>
          </w:p>
        </w:tc>
      </w:tr>
      <w:tr>
        <w:tc>
          <w:tcPr>
            <w:tcW w:type="dxa" w:w="3408"/>
            <w:vAlign w:val="center"/>
          </w:tcPr>
          <w:p>
            <w:r/>
            <w:r>
              <w:rPr>
                <w:b w:val="0"/>
                <w:sz w:val="15"/>
              </w:rPr>
              <w:t>114 - EXCHANGE HOUSE TRANSACTIONS COMPARISON</w:t>
            </w:r>
          </w:p>
        </w:tc>
        <w:tc>
          <w:tcPr>
            <w:tcW w:type="dxa" w:w="3408"/>
            <w:vAlign w:val="center"/>
          </w:tcPr>
          <w:p>
            <w:r/>
            <w:r>
              <w:rPr>
                <w:b w:val="0"/>
                <w:sz w:val="15"/>
              </w:rPr>
              <w:t>3</w:t>
            </w:r>
          </w:p>
        </w:tc>
        <w:tc>
          <w:tcPr>
            <w:tcW w:type="dxa" w:w="3408"/>
            <w:vAlign w:val="center"/>
          </w:tcPr>
          <w:p>
            <w:r/>
            <w:r>
              <w:rPr>
                <w:b w:val="0"/>
                <w:sz w:val="15"/>
              </w:rPr>
              <w:t>0.1%</w:t>
            </w:r>
          </w:p>
        </w:tc>
      </w:tr>
    </w:tbl>
    <w:p>
      <w:pPr>
        <w:pStyle w:val="Heading1"/>
      </w:pPr>
      <w:r>
        <w:t>Appendix B - Key Data-Science Rules</w:t>
      </w:r>
    </w:p>
    <w:p>
      <w:pPr>
        <w:pStyle w:val="ListBullet"/>
      </w:pPr>
      <w:r>
        <w:t>Never manufacture true/false labels from operational status without validated business semantics.</w:t>
      </w:r>
    </w:p>
    <w:p>
      <w:pPr>
        <w:pStyle w:val="ListBullet"/>
      </w:pPr>
      <w:r>
        <w:t>Never use maker/checker comments as live inference features when they are created after alert review.</w:t>
      </w:r>
    </w:p>
    <w:p>
      <w:pPr>
        <w:pStyle w:val="ListBullet"/>
      </w:pPr>
      <w:r>
        <w:t>Never perform random row-level splits on repeated customers or transactions.</w:t>
      </w:r>
    </w:p>
    <w:p>
      <w:pPr>
        <w:pStyle w:val="ListBullet"/>
      </w:pPr>
      <w:r>
        <w:t>Never rely on a field that is 100% missing in the current sample.</w:t>
      </w:r>
    </w:p>
    <w:p>
      <w:pPr>
        <w:pStyle w:val="ListBullet"/>
      </w:pPr>
      <w:r>
        <w:t>Never convert anomaly score directly into a compliance probability without calibration data.</w:t>
      </w:r>
    </w:p>
    <w:p>
      <w:pPr>
        <w:pStyle w:val="ListBullet"/>
      </w:pPr>
      <w:r>
        <w:t>Every production score must be tied to model version, feature version and input schema version.</w:t>
      </w:r>
    </w:p>
    <w:p>
      <w:pPr>
        <w:pStyle w:val="ListBullet"/>
      </w:pPr>
      <w:r>
        <w:t>All automated handling must be introduced only after prospective shadow-mode validation and compliance approval.</w:t>
      </w:r>
    </w:p>
    <w:p/>
    <w:p>
      <w:pPr>
        <w:jc w:val="center"/>
      </w:pPr>
      <w:r>
        <w:rPr>
          <w:b/>
        </w:rPr>
        <w:t>End of Report</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Alert Intelligence Engine | Data Science Feasibility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