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 Health &amp; Safety Policy</w:t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1381125</wp:posOffset>
                  </wp:positionH>
                  <wp:positionV relativeFrom="paragraph">
                    <wp:posOffset>0</wp:posOffset>
                  </wp:positionV>
                  <wp:extent cx="2471738" cy="507023"/>
                  <wp:effectExtent b="0" l="0" r="0" t="0"/>
                  <wp:wrapTopAndBottom distB="114300" distT="114300"/>
                  <wp:docPr descr="057915ed-314b-41c0-8625-84597ba7800e.jpg" id="1" name="image02.jpg"/>
                  <a:graphic>
                    <a:graphicData uri="http://schemas.openxmlformats.org/drawingml/2006/picture">
                      <pic:pic>
                        <pic:nvPicPr>
                          <pic:cNvPr descr="057915ed-314b-41c0-8625-84597ba7800e.jpg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5070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 Charity Number 1167146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This policy and guidance will be reviewed annually or if there are any changes in the related legislation or when an incident dictates.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This will ensure that this document is current and fit for purpose.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This Policy was approved by the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Management Team and Senior Team Members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1st May 2016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General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Organisation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Responsibilities for health and 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6"/>
        <w:keepNext w:val="0"/>
        <w:keepLines w:val="0"/>
        <w:spacing w:after="40" w:before="200" w:lineRule="auto"/>
        <w:contextualSpacing w:val="0"/>
      </w:pPr>
      <w:bookmarkStart w:colFirst="0" w:colLast="0" w:name="_wnepvxd010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Style w:val="Heading6"/>
        <w:keepNext w:val="0"/>
        <w:keepLines w:val="0"/>
        <w:spacing w:after="40" w:before="200" w:lineRule="auto"/>
        <w:contextualSpacing w:val="0"/>
        <w:jc w:val="center"/>
      </w:pPr>
      <w:bookmarkStart w:colFirst="0" w:colLast="0" w:name="_9ycm3i4uesy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40"/>
          <w:szCs w:val="40"/>
          <w:rtl w:val="0"/>
        </w:rPr>
        <w:t xml:space="preserve">Health &amp; Safety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our policy to ensure, as far as is reasonably practicable, the safety of all volunteers and any other persons who may be directly affected by the activities of Coffee4Craig.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Coffee4Craig will: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to achieve compliance with legal requirements through good occupational health and safety performance;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adequate resources and equipment to implement this policy;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and maintain a safe and healthy working environment for all volunteers;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significant risks arising from work activities under our control are eliminated or adequately controlled;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implement appropriate occupational health and safety procedures, and safe working practices for each activity;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management of health and safety as a specific responsibility of all volunteers;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this policy is understood and implemented throughout the organisation;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 employees/volunteers in health and safety decisions through consultation and co-operation;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workplaces under our control in a condition that is safe and without risk to health and safety;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Regularly review compliance with the policy;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sufficient information, instruction and supervision to enable all employees/volunteers to avoid hazards and contribute to their own health and safety while carrying out activities;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employees/volunteers receive appropriate training where necessary, and are competent to carry out their designated responsibilities.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Organisation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Co-Founder/CEO Overall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 Joan Sylvia Lancaster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Fiona Grace Lancaster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Operational Coordinator, Wales Branch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Sian Bethan Williams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Team Members, Manchester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Etchells SK Team Leader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Gary Etchells SK Team Leader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 Wood SK Team Leader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Corilie Tomlinson SK Team Leader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Edmunds SK Team Leader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Sherilyn Edmunds SK Team Leader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 Moore Fundraising Manager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Metcalfe Events Manager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Samantha Quincey Administrative Manager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 Daly Finance Manager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Team Members, Cardiff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Julie Jones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 for health and safety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responsibility for implementing Health and Safety while a volunteer is carrying out regular activities and for which a current and complete risk assessment has been done for that activity.</w:t>
      </w:r>
    </w:p>
    <w:p w:rsidR="00000000" w:rsidDel="00000000" w:rsidP="00000000" w:rsidRDefault="00000000" w:rsidRPr="00000000">
      <w:pPr>
        <w:ind w:left="800" w:hanging="4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volunteering for Coffee4Craig each volunteer is responsible for their own health and safety and is responsible for the wellbeing of the clients/guests and other volunteers around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will be reviewed every 12 months or as needed if before such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 Hendrix Lancaster,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833438" cy="1482167"/>
                  <wp:effectExtent b="-324364" l="324364" r="324364" t="-324364"/>
                  <wp:docPr descr="HendrixPreSign.jpg" id="2" name="image03.png"/>
                  <a:graphic>
                    <a:graphicData uri="http://schemas.openxmlformats.org/drawingml/2006/picture">
                      <pic:pic>
                        <pic:nvPicPr>
                          <pic:cNvPr descr="HendrixPreSign.jpg"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33438" cy="14821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May 2016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png"/></Relationships>
</file>