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pct" w:w="100%"/>
            <w:shd w:fill="0B1730" w:val="clear"/>
            <w:tcMar>
              <w:top w:type="dxa" w:w="0"/>
              <w:left w:type="dxa" w:w="900"/>
              <w:bottom w:type="dxa" w:w="0"/>
              <w:right w:type="dxa" w:w="900"/>
            </w:tcMar>
            <w:vAlign w:val="center"/>
          </w:tcPr>
          <w:p>
            <w:pPr>
              <w:spacing w:after="900"/>
            </w:pPr>
          </w:p>
          <w:p>
            <w:pPr>
              <w:spacing w:after="100"/>
              <w:jc w:val="left"/>
            </w:pPr>
            <w:r>
              <w:rPr>
                <w:rFonts w:ascii="Calibri" w:cs="Calibri" w:eastAsia="Calibri" w:hAnsi="Calibri"/>
                <w:b/>
                <w:bCs/>
                <w:color w:val="8DC63F"/>
                <w:sz w:val="60"/>
                <w:szCs w:val="60"/>
              </w:rPr>
              <w:t xml:space="preserve">📱  MOBILE SALES</w:t>
            </w:r>
          </w:p>
          <w:p>
            <w:pPr>
              <w:spacing w:after="500"/>
              <w:jc w:val="left"/>
            </w:pPr>
            <w:r>
              <w:rPr>
                <w:rFonts w:ascii="Calibri" w:cs="Calibri" w:eastAsia="Calibri" w:hAnsi="Calibri"/>
                <w:b/>
                <w:bCs/>
                <w:color w:val="FFFFFF"/>
                <w:sz w:val="60"/>
                <w:szCs w:val="60"/>
              </w:rPr>
              <w:t xml:space="preserve">PERFORMANCE REPORT</w:t>
            </w:r>
          </w:p>
          <w:p>
            <w:pPr>
              <w:pBdr>
                <w:top w:val="single" w:color="8DC63F" w:sz="8" w:space="10"/>
              </w:pBdr>
              <w:spacing w:after="500"/>
            </w:pPr>
          </w:p>
          <w:p>
            <w:pPr>
              <w:spacing w:after="160"/>
            </w:pPr>
            <w:r>
              <w:rPr>
                <w:rFonts w:ascii="Calibri" w:cs="Calibri" w:eastAsia="Calibri" w:hAnsi="Calibri"/>
                <w:color w:val="FFFFFF"/>
                <w:sz w:val="24"/>
                <w:szCs w:val="24"/>
              </w:rPr>
              <w:t xml:space="preserve">Analysis Period:  October 2021 – October 2024</w:t>
            </w:r>
          </w:p>
          <w:p>
            <w:pPr>
              <w:spacing w:after="160"/>
            </w:pPr>
            <w:r>
              <w:rPr>
                <w:rFonts w:ascii="Calibri" w:cs="Calibri" w:eastAsia="Calibri" w:hAnsi="Calibri"/>
                <w:color w:val="C9D6E8"/>
                <w:sz w:val="22"/>
                <w:szCs w:val="22"/>
              </w:rPr>
              <w:t xml:space="preserve">Coverage:  19,150 units  •  3,835 transactions  •  19 cities  •  5 brands</w:t>
            </w:r>
          </w:p>
          <w:p>
            <w:pPr>
              <w:spacing w:after="900"/>
            </w:pPr>
            <w:r>
              <w:rPr>
                <w:rFonts w:ascii="Calibri" w:cs="Calibri" w:eastAsia="Calibri" w:hAnsi="Calibri"/>
                <w:color w:val="C9D6E8"/>
                <w:sz w:val="22"/>
                <w:szCs w:val="22"/>
              </w:rPr>
              <w:t xml:space="preserve">Source:  Mobile Sales Power BI Dashboard &amp; transaction-level sales data</w:t>
            </w:r>
          </w:p>
          <w:p>
            <w:pPr>
              <w:spacing w:after="40"/>
            </w:pPr>
            <w:r>
              <w:rPr>
                <w:rFonts w:ascii="Calibri" w:cs="Calibri" w:eastAsia="Calibri" w:hAnsi="Calibri"/>
                <w:b/>
                <w:bCs/>
                <w:color w:val="8DC63F"/>
                <w:sz w:val="20"/>
                <w:szCs w:val="20"/>
              </w:rPr>
              <w:t xml:space="preserve">Prepared: September 14, 2026</w:t>
            </w:r>
          </w:p>
        </w:tc>
      </w:tr>
    </w:tbl>
    <w:p>
      <w:pPr>
        <w:sectPr>
          <w:pgSz w:w="12240" w:h="15840" w:orient="portrait"/>
          <w:pgMar w:top="0" w:right="0" w:bottom="0" w:left="0" w:header="708" w:footer="708" w:gutter="0"/>
          <w:pgNumType/>
          <w:docGrid w:linePitch="360"/>
        </w:sectPr>
      </w:pPr>
    </w:p>
    <w:p>
      <w:pPr>
        <w:pStyle w:val="Heading1"/>
        <w:pBdr>
          <w:bottom w:val="single" w:color="8DC63F" w:sz="12" w:space="4"/>
        </w:pBdr>
        <w:spacing w:after="200" w:before="400"/>
      </w:pPr>
      <w:r>
        <w:rPr>
          <w:rFonts w:ascii="Calibri" w:cs="Calibri" w:eastAsia="Calibri" w:hAnsi="Calibri"/>
          <w:b/>
          <w:bCs/>
          <w:color w:val="12224A"/>
          <w:sz w:val="30"/>
          <w:szCs w:val="30"/>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shd w:fill="12224A" w:val="clear"/>
            <w:tcMar>
              <w:top w:type="dxa" w:w="160"/>
              <w:left w:type="dxa" w:w="120"/>
              <w:bottom w:type="dxa" w:w="160"/>
              <w:right w:type="dxa" w:w="120"/>
            </w:tcMar>
            <w:vAlign w:val="center"/>
          </w:tcPr>
          <w:p>
            <w:pPr>
              <w:spacing w:after="60"/>
              <w:jc w:val="center"/>
            </w:pPr>
            <w:r>
              <w:rPr>
                <w:rFonts w:ascii="Calibri" w:cs="Calibri" w:eastAsia="Calibri" w:hAnsi="Calibri"/>
                <w:b/>
                <w:bCs/>
                <w:color w:val="8DC63F"/>
                <w:sz w:val="30"/>
                <w:szCs w:val="30"/>
              </w:rPr>
              <w:t xml:space="preserve">₹769.2M</w:t>
            </w:r>
          </w:p>
          <w:p>
            <w:pPr>
              <w:jc w:val="center"/>
            </w:pPr>
            <w:r>
              <w:rPr>
                <w:rFonts w:ascii="Calibri" w:cs="Calibri" w:eastAsia="Calibri" w:hAnsi="Calibri"/>
                <w:color w:val="FFFFFF"/>
                <w:sz w:val="18"/>
                <w:szCs w:val="18"/>
              </w:rPr>
              <w:t xml:space="preserve">Total Sales</w:t>
            </w:r>
          </w:p>
        </w:tc>
        <w:tc>
          <w:tcPr>
            <w:tcW w:type="pct" w:w="25%"/>
            <w:shd w:fill="12224A" w:val="clear"/>
            <w:tcMar>
              <w:top w:type="dxa" w:w="160"/>
              <w:left w:type="dxa" w:w="120"/>
              <w:bottom w:type="dxa" w:w="160"/>
              <w:right w:type="dxa" w:w="120"/>
            </w:tcMar>
            <w:vAlign w:val="center"/>
          </w:tcPr>
          <w:p>
            <w:pPr>
              <w:spacing w:after="60"/>
              <w:jc w:val="center"/>
            </w:pPr>
            <w:r>
              <w:rPr>
                <w:rFonts w:ascii="Calibri" w:cs="Calibri" w:eastAsia="Calibri" w:hAnsi="Calibri"/>
                <w:b/>
                <w:bCs/>
                <w:color w:val="8DC63F"/>
                <w:sz w:val="30"/>
                <w:szCs w:val="30"/>
              </w:rPr>
              <w:t xml:space="preserve">19,150</w:t>
            </w:r>
          </w:p>
          <w:p>
            <w:pPr>
              <w:jc w:val="center"/>
            </w:pPr>
            <w:r>
              <w:rPr>
                <w:rFonts w:ascii="Calibri" w:cs="Calibri" w:eastAsia="Calibri" w:hAnsi="Calibri"/>
                <w:color w:val="FFFFFF"/>
                <w:sz w:val="18"/>
                <w:szCs w:val="18"/>
              </w:rPr>
              <w:t xml:space="preserve">Units Sold</w:t>
            </w:r>
          </w:p>
        </w:tc>
        <w:tc>
          <w:tcPr>
            <w:tcW w:type="pct" w:w="25%"/>
            <w:shd w:fill="12224A" w:val="clear"/>
            <w:tcMar>
              <w:top w:type="dxa" w:w="160"/>
              <w:left w:type="dxa" w:w="120"/>
              <w:bottom w:type="dxa" w:w="160"/>
              <w:right w:type="dxa" w:w="120"/>
            </w:tcMar>
            <w:vAlign w:val="center"/>
          </w:tcPr>
          <w:p>
            <w:pPr>
              <w:spacing w:after="60"/>
              <w:jc w:val="center"/>
            </w:pPr>
            <w:r>
              <w:rPr>
                <w:rFonts w:ascii="Calibri" w:cs="Calibri" w:eastAsia="Calibri" w:hAnsi="Calibri"/>
                <w:b/>
                <w:bCs/>
                <w:color w:val="8DC63F"/>
                <w:sz w:val="30"/>
                <w:szCs w:val="30"/>
              </w:rPr>
              <w:t xml:space="preserve">3,835</w:t>
            </w:r>
          </w:p>
          <w:p>
            <w:pPr>
              <w:jc w:val="center"/>
            </w:pPr>
            <w:r>
              <w:rPr>
                <w:rFonts w:ascii="Calibri" w:cs="Calibri" w:eastAsia="Calibri" w:hAnsi="Calibri"/>
                <w:color w:val="FFFFFF"/>
                <w:sz w:val="18"/>
                <w:szCs w:val="18"/>
              </w:rPr>
              <w:t xml:space="preserve">Transactions</w:t>
            </w:r>
          </w:p>
        </w:tc>
        <w:tc>
          <w:tcPr>
            <w:tcW w:type="pct" w:w="25%"/>
            <w:shd w:fill="12224A" w:val="clear"/>
            <w:tcMar>
              <w:top w:type="dxa" w:w="160"/>
              <w:left w:type="dxa" w:w="120"/>
              <w:bottom w:type="dxa" w:w="160"/>
              <w:right w:type="dxa" w:w="120"/>
            </w:tcMar>
            <w:vAlign w:val="center"/>
          </w:tcPr>
          <w:p>
            <w:pPr>
              <w:spacing w:after="60"/>
              <w:jc w:val="center"/>
            </w:pPr>
            <w:r>
              <w:rPr>
                <w:rFonts w:ascii="Calibri" w:cs="Calibri" w:eastAsia="Calibri" w:hAnsi="Calibri"/>
                <w:b/>
                <w:bCs/>
                <w:color w:val="8DC63F"/>
                <w:sz w:val="30"/>
                <w:szCs w:val="30"/>
              </w:rPr>
              <w:t xml:space="preserve">₹40,114</w:t>
            </w:r>
          </w:p>
          <w:p>
            <w:pPr>
              <w:jc w:val="center"/>
            </w:pPr>
            <w:r>
              <w:rPr>
                <w:rFonts w:ascii="Calibri" w:cs="Calibri" w:eastAsia="Calibri" w:hAnsi="Calibri"/>
                <w:color w:val="FFFFFF"/>
                <w:sz w:val="18"/>
                <w:szCs w:val="18"/>
              </w:rPr>
              <w:t xml:space="preserve">Avg. Price/Unit</w:t>
            </w:r>
          </w:p>
        </w:tc>
      </w:tr>
    </w:tbl>
    <w:p>
      <w:pPr>
        <w:spacing w:after="200"/>
      </w:pPr>
    </w:p>
    <w:p>
      <w:pPr>
        <w:spacing w:after="160" w:line="276"/>
      </w:pPr>
      <w:r>
        <w:rPr>
          <w:rFonts w:ascii="Calibri" w:cs="Calibri" w:eastAsia="Calibri" w:hAnsi="Calibri"/>
          <w:color w:val="222222"/>
          <w:sz w:val="21"/>
          <w:szCs w:val="21"/>
        </w:rPr>
        <w:t xml:space="preserve">Between October 2021 and October 2024, mobile sales across the tracked network generated ₹769.2 million in revenue from 19,150 units sold across 3,835 transactions, at an average selling price of ₹40,114 per unit. Performance is broadly balanced across the five brands tracked (Apple, Samsung, OnePlus, Vivo and Xiaomi), while revenue is heavily concentrated in two cities — Delhi and Mumbai — which together account for 43% of total sales.</w:t>
      </w:r>
    </w:p>
    <w:p>
      <w:pPr>
        <w:spacing w:after="160" w:line="276"/>
      </w:pPr>
      <w:r>
        <w:rPr>
          <w:rFonts w:ascii="Calibri" w:cs="Calibri" w:eastAsia="Calibri" w:hAnsi="Calibri"/>
          <w:color w:val="222222"/>
          <w:sz w:val="21"/>
          <w:szCs w:val="21"/>
        </w:rPr>
        <w:t xml:space="preserve">Customer sentiment is positive overall (average rating 3.69/5, with 61% of transactions rated "Good"), though nearly 1 in 5 transactions (22%) received a "Poor" rating — a segment worth investigating further. The sections below break down performance by brand, model, city, payment method and time period, using the underlying dashboard and transaction data, and close with a set of actionable recommendations.</w:t>
      </w:r>
    </w:p>
    <w:p>
      <w:pPr>
        <w:pStyle w:val="Heading1"/>
        <w:pBdr>
          <w:bottom w:val="single" w:color="8DC63F" w:sz="12" w:space="4"/>
        </w:pBdr>
        <w:spacing w:after="200" w:before="400"/>
      </w:pPr>
      <w:r>
        <w:rPr>
          <w:rFonts w:ascii="Calibri" w:cs="Calibri" w:eastAsia="Calibri" w:hAnsi="Calibri"/>
          <w:b/>
          <w:bCs/>
          <w:color w:val="12224A"/>
          <w:sz w:val="30"/>
          <w:szCs w:val="30"/>
        </w:rPr>
        <w:t xml:space="preserve">Dashboard Snapshot</w:t>
      </w:r>
    </w:p>
    <w:p>
      <w:pPr>
        <w:spacing w:after="160" w:line="276"/>
      </w:pPr>
      <w:r>
        <w:rPr>
          <w:rFonts w:ascii="Calibri" w:cs="Calibri" w:eastAsia="Calibri" w:hAnsi="Calibri"/>
          <w:color w:val="222222"/>
          <w:sz w:val="21"/>
          <w:szCs w:val="21"/>
        </w:rPr>
        <w:t xml:space="preserve">The Power BI dashboard below consolidates the full dataset (all models, payment methods and brands) and anchors the analysis that follows.</w:t>
      </w:r>
    </w:p>
    <w:p>
      <w:pPr>
        <w:spacing w:after="6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spacing w:after="300" w:before="60"/>
        <w:jc w:val="center"/>
      </w:pPr>
      <w:r>
        <w:rPr>
          <w:rFonts w:ascii="Calibri" w:cs="Calibri" w:eastAsia="Calibri" w:hAnsi="Calibri"/>
          <w:i/>
          <w:iCs/>
          <w:color w:val="5A5A5A"/>
          <w:sz w:val="18"/>
          <w:szCs w:val="18"/>
        </w:rPr>
        <w:t xml:space="preserve">Figure 1 — Mobile Sales Dashboard: overview of sales, quantity, transactions, geography, seasonality, ratings, payment mix and top models.</w:t>
      </w:r>
    </w:p>
    <w:p>
      <w:pPr>
        <w:pStyle w:val="Heading1"/>
        <w:pBdr>
          <w:bottom w:val="single" w:color="8DC63F" w:sz="12" w:space="4"/>
        </w:pBdr>
        <w:spacing w:after="200" w:before="400"/>
      </w:pPr>
      <w:r>
        <w:rPr>
          <w:rFonts w:ascii="Calibri" w:cs="Calibri" w:eastAsia="Calibri" w:hAnsi="Calibri"/>
          <w:b/>
          <w:bCs/>
          <w:color w:val="12224A"/>
          <w:sz w:val="30"/>
          <w:szCs w:val="30"/>
        </w:rPr>
        <w:t xml:space="preserve">Sales Performance by Brand</w:t>
      </w:r>
    </w:p>
    <w:p>
      <w:pPr>
        <w:spacing w:after="160" w:line="276"/>
      </w:pPr>
      <w:r>
        <w:rPr>
          <w:rFonts w:ascii="Calibri" w:cs="Calibri" w:eastAsia="Calibri" w:hAnsi="Calibri"/>
          <w:color w:val="222222"/>
          <w:sz w:val="21"/>
          <w:szCs w:val="21"/>
        </w:rPr>
        <w:t xml:space="preserve">Apple narrowly leads on total revenue, but the top four brands are separated by less than 6% of total sales — this is a competitive, non-dominated market rather than one led by a single brand.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1350"/>
        <w:gridCol w:w="1350"/>
        <w:gridCol w:w="1440"/>
        <w:gridCol w:w="1080"/>
      </w:tblGrid>
      <w:tr>
        <w:trPr>
          <w:tblHeader/>
        </w:trPr>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Brand</w:t>
            </w:r>
          </w:p>
        </w:tc>
        <w:tc>
          <w:tcPr>
            <w:tcW w:type="pct" w:w="2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15%"/>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Units Sold</w:t>
            </w:r>
          </w:p>
        </w:tc>
        <w:tc>
          <w:tcPr>
            <w:tcW w:type="pct" w:w="15%"/>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c>
          <w:tcPr>
            <w:tcW w:type="pct" w:w="16%"/>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Avg. Order Value (₹)</w:t>
            </w:r>
          </w:p>
        </w:tc>
        <w:tc>
          <w:tcPr>
            <w:tcW w:type="pct" w:w="1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Avg. Rating</w:t>
            </w:r>
          </w:p>
        </w:tc>
      </w:tr>
      <w:tr>
        <w:tc>
          <w:tcPr>
            <w:tcW w:type="pct" w:w="22%"/>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Apple</w:t>
            </w:r>
          </w:p>
        </w:tc>
        <w:tc>
          <w:tcPr>
            <w:tcW w:type="pct" w:w="2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161,615,771</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3,932</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783</w:t>
            </w:r>
          </w:p>
        </w:tc>
        <w:tc>
          <w:tcPr>
            <w:tcW w:type="pct" w:w="1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206,406</w:t>
            </w:r>
          </w:p>
        </w:tc>
        <w:tc>
          <w:tcPr>
            <w:tcW w:type="pct" w:w="1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3.71</w:t>
            </w:r>
          </w:p>
        </w:tc>
      </w:tr>
      <w:tr>
        <w:tc>
          <w:tcPr>
            <w:tcW w:type="pct" w:w="22%"/>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Samsung</w:t>
            </w:r>
          </w:p>
        </w:tc>
        <w:tc>
          <w:tcPr>
            <w:tcW w:type="pct" w:w="2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160,038,103</w:t>
            </w:r>
          </w:p>
        </w:tc>
        <w:tc>
          <w:tcPr>
            <w:tcW w:type="pct" w:w="15%"/>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3,923</w:t>
            </w:r>
          </w:p>
        </w:tc>
        <w:tc>
          <w:tcPr>
            <w:tcW w:type="pct" w:w="15%"/>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775</w:t>
            </w:r>
          </w:p>
        </w:tc>
        <w:tc>
          <w:tcPr>
            <w:tcW w:type="pct" w:w="1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206,501</w:t>
            </w:r>
          </w:p>
        </w:tc>
        <w:tc>
          <w:tcPr>
            <w:tcW w:type="pct" w:w="1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3.70</w:t>
            </w:r>
          </w:p>
        </w:tc>
      </w:tr>
      <w:tr>
        <w:tc>
          <w:tcPr>
            <w:tcW w:type="pct" w:w="22%"/>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OnePlus</w:t>
            </w:r>
          </w:p>
        </w:tc>
        <w:tc>
          <w:tcPr>
            <w:tcW w:type="pct" w:w="2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153,719,470</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3,830</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768</w:t>
            </w:r>
          </w:p>
        </w:tc>
        <w:tc>
          <w:tcPr>
            <w:tcW w:type="pct" w:w="1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200,156</w:t>
            </w:r>
          </w:p>
        </w:tc>
        <w:tc>
          <w:tcPr>
            <w:tcW w:type="pct" w:w="1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3.68</w:t>
            </w:r>
          </w:p>
        </w:tc>
      </w:tr>
      <w:tr>
        <w:tc>
          <w:tcPr>
            <w:tcW w:type="pct" w:w="22%"/>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Vivo</w:t>
            </w:r>
          </w:p>
        </w:tc>
        <w:tc>
          <w:tcPr>
            <w:tcW w:type="pct" w:w="2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150,078,449</w:t>
            </w:r>
          </w:p>
        </w:tc>
        <w:tc>
          <w:tcPr>
            <w:tcW w:type="pct" w:w="15%"/>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3,801</w:t>
            </w:r>
          </w:p>
        </w:tc>
        <w:tc>
          <w:tcPr>
            <w:tcW w:type="pct" w:w="15%"/>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766</w:t>
            </w:r>
          </w:p>
        </w:tc>
        <w:tc>
          <w:tcPr>
            <w:tcW w:type="pct" w:w="1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195,925</w:t>
            </w:r>
          </w:p>
        </w:tc>
        <w:tc>
          <w:tcPr>
            <w:tcW w:type="pct" w:w="1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3.65</w:t>
            </w:r>
          </w:p>
        </w:tc>
      </w:tr>
      <w:tr>
        <w:tc>
          <w:tcPr>
            <w:tcW w:type="pct" w:w="22%"/>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Xiaomi</w:t>
            </w:r>
          </w:p>
        </w:tc>
        <w:tc>
          <w:tcPr>
            <w:tcW w:type="pct" w:w="2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143,753,373</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3,664</w:t>
            </w:r>
          </w:p>
        </w:tc>
        <w:tc>
          <w:tcPr>
            <w:tcW w:type="pct" w:w="15%"/>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743</w:t>
            </w:r>
          </w:p>
        </w:tc>
        <w:tc>
          <w:tcPr>
            <w:tcW w:type="pct" w:w="1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193,477</w:t>
            </w:r>
          </w:p>
        </w:tc>
        <w:tc>
          <w:tcPr>
            <w:tcW w:type="pct" w:w="1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3.72</w:t>
            </w:r>
          </w:p>
        </w:tc>
      </w:tr>
    </w:tbl>
    <w:p>
      <w:pPr>
        <w:spacing w:after="160"/>
      </w:pPr>
    </w:p>
    <w:p>
      <w:pPr>
        <w:pStyle w:val="ListParagraph"/>
        <w:numPr>
          <w:ilvl w:val="0"/>
          <w:numId w:val="1"/>
        </w:numPr>
        <w:spacing w:after="90" w:line="268"/>
      </w:pPr>
      <w:r>
        <w:rPr>
          <w:rFonts w:ascii="Calibri" w:cs="Calibri" w:eastAsia="Calibri" w:hAnsi="Calibri"/>
          <w:color w:val="222222"/>
          <w:sz w:val="21"/>
          <w:szCs w:val="21"/>
        </w:rPr>
        <w:t xml:space="preserve">Apple and Samsung command the highest average order values (~₹206K), consistent with their premium positioning.</w:t>
      </w:r>
    </w:p>
    <w:p>
      <w:pPr>
        <w:pStyle w:val="ListParagraph"/>
        <w:numPr>
          <w:ilvl w:val="0"/>
          <w:numId w:val="1"/>
        </w:numPr>
        <w:spacing w:after="90" w:line="268"/>
      </w:pPr>
      <w:r>
        <w:rPr>
          <w:rFonts w:ascii="Calibri" w:cs="Calibri" w:eastAsia="Calibri" w:hAnsi="Calibri"/>
          <w:color w:val="222222"/>
          <w:sz w:val="21"/>
          <w:szCs w:val="21"/>
        </w:rPr>
        <w:t xml:space="preserve">Xiaomi has the lowest sales and volume, yet the highest average customer rating (3.72) — satisfaction is not the constraint on its growth.</w:t>
      </w:r>
    </w:p>
    <w:p>
      <w:pPr>
        <w:pStyle w:val="ListParagraph"/>
        <w:numPr>
          <w:ilvl w:val="0"/>
          <w:numId w:val="1"/>
        </w:numPr>
        <w:spacing w:after="90" w:line="268"/>
      </w:pPr>
      <w:r>
        <w:rPr>
          <w:rFonts w:ascii="Calibri" w:cs="Calibri" w:eastAsia="Calibri" w:hAnsi="Calibri"/>
          <w:color w:val="222222"/>
          <w:sz w:val="21"/>
          <w:szCs w:val="21"/>
        </w:rPr>
        <w:t xml:space="preserve">Vivo sits mid-table on revenue but has the second-lowest average rating (3.65), a combination worth monitoring.</w:t>
      </w:r>
    </w:p>
    <w:p>
      <w:pPr>
        <w:pStyle w:val="Heading1"/>
        <w:pBdr>
          <w:bottom w:val="single" w:color="8DC63F" w:sz="12" w:space="4"/>
        </w:pBdr>
        <w:spacing w:after="200" w:before="400"/>
      </w:pPr>
      <w:r>
        <w:rPr>
          <w:rFonts w:ascii="Calibri" w:cs="Calibri" w:eastAsia="Calibri" w:hAnsi="Calibri"/>
          <w:b/>
          <w:bCs/>
          <w:color w:val="12224A"/>
          <w:sz w:val="30"/>
          <w:szCs w:val="30"/>
        </w:rPr>
        <w:t xml:space="preserve">Top-Performing Models</w:t>
      </w:r>
    </w:p>
    <w:p>
      <w:pPr>
        <w:spacing w:after="160" w:line="276"/>
      </w:pPr>
      <w:r>
        <w:rPr>
          <w:rFonts w:ascii="Calibri" w:cs="Calibri" w:eastAsia="Calibri" w:hAnsi="Calibri"/>
          <w:color w:val="222222"/>
          <w:sz w:val="21"/>
          <w:szCs w:val="21"/>
        </w:rPr>
        <w:t xml:space="preserve">At the model level, the iPhone SE is the single best-selling model by revenue, narrowly ahead of the OnePlus Nord and Galaxy Note 20 — all three feature on the dashboard's model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1980"/>
        <w:gridCol w:w="1980"/>
      </w:tblGrid>
      <w:tr>
        <w:trPr>
          <w:tblHeader/>
        </w:trPr>
        <w:tc>
          <w:tcPr>
            <w:tcW w:type="pct" w:w="3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Mobile Model</w:t>
            </w:r>
          </w:p>
        </w:tc>
        <w:tc>
          <w:tcPr>
            <w:tcW w:type="pct" w:w="26%"/>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Units Sold</w:t>
            </w:r>
          </w:p>
        </w:tc>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iPhone SE</w:t>
            </w:r>
          </w:p>
        </w:tc>
        <w:tc>
          <w:tcPr>
            <w:tcW w:type="pct" w:w="2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59,572,004</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1,430</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280</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OnePlus Nord</w:t>
            </w:r>
          </w:p>
        </w:tc>
        <w:tc>
          <w:tcPr>
            <w:tcW w:type="pct" w:w="2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57,888,591</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1,409</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273</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Galaxy Note 20</w:t>
            </w:r>
          </w:p>
        </w:tc>
        <w:tc>
          <w:tcPr>
            <w:tcW w:type="pct" w:w="2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56,005,282</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1,382</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266</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Vivo Y51</w:t>
            </w:r>
          </w:p>
        </w:tc>
        <w:tc>
          <w:tcPr>
            <w:tcW w:type="pct" w:w="2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54,837,667</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1,429</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283</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Galaxy S21</w:t>
            </w:r>
          </w:p>
        </w:tc>
        <w:tc>
          <w:tcPr>
            <w:tcW w:type="pct" w:w="2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53,270,714</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1,305</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260</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iPhone 11</w:t>
            </w:r>
          </w:p>
        </w:tc>
        <w:tc>
          <w:tcPr>
            <w:tcW w:type="pct" w:w="2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51,520,221</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1,263</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265</w:t>
            </w:r>
          </w:p>
        </w:tc>
      </w:tr>
    </w:tbl>
    <w:p>
      <w:pPr>
        <w:pStyle w:val="Heading1"/>
        <w:pBdr>
          <w:bottom w:val="single" w:color="8DC63F" w:sz="12" w:space="4"/>
        </w:pBdr>
        <w:spacing w:after="200" w:before="400"/>
      </w:pPr>
      <w:r>
        <w:rPr>
          <w:rFonts w:ascii="Calibri" w:cs="Calibri" w:eastAsia="Calibri" w:hAnsi="Calibri"/>
          <w:b/>
          <w:bCs/>
          <w:color w:val="12224A"/>
          <w:sz w:val="30"/>
          <w:szCs w:val="30"/>
        </w:rPr>
        <w:t xml:space="preserve">Geographic Performance</w:t>
      </w:r>
    </w:p>
    <w:p>
      <w:pPr>
        <w:spacing w:after="160" w:line="276"/>
      </w:pPr>
      <w:r>
        <w:rPr>
          <w:rFonts w:ascii="Calibri" w:cs="Calibri" w:eastAsia="Calibri" w:hAnsi="Calibri"/>
          <w:color w:val="222222"/>
          <w:sz w:val="21"/>
          <w:szCs w:val="21"/>
        </w:rPr>
        <w:t xml:space="preserve">Sales are heavily concentrated: Delhi and Mumbai together generate 43% of total revenue from just 2 of the 19 cities in the dataset. The remaining 17 cities each contribute between 3.0% and 4.0% of sales — a long, fairly even 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2160"/>
        <w:gridCol w:w="1620"/>
        <w:gridCol w:w="2160"/>
      </w:tblGrid>
      <w:tr>
        <w:trPr>
          <w:tblHeader/>
        </w:trPr>
        <w:tc>
          <w:tcPr>
            <w:tcW w:type="pct" w:w="34%"/>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City</w:t>
            </w:r>
          </w:p>
        </w:tc>
        <w:tc>
          <w:tcPr>
            <w:tcW w:type="pct" w:w="24%"/>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18%"/>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Share of Total</w:t>
            </w:r>
          </w:p>
        </w:tc>
        <w:tc>
          <w:tcPr>
            <w:tcW w:type="pct" w:w="24%"/>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r>
      <w:tr>
        <w:tc>
          <w:tcPr>
            <w:tcW w:type="pct" w:w="3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Delhi</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203,883,500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26.5%</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1,008</w:t>
            </w:r>
          </w:p>
        </w:tc>
      </w:tr>
      <w:tr>
        <w:tc>
          <w:tcPr>
            <w:tcW w:type="pct" w:w="34%"/>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Mumbai</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127,191,300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16.5%</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654</w:t>
            </w:r>
          </w:p>
        </w:tc>
      </w:tr>
      <w:tr>
        <w:tc>
          <w:tcPr>
            <w:tcW w:type="pct" w:w="3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Ranchi</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31,018,770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4.0%</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153</w:t>
            </w:r>
          </w:p>
        </w:tc>
      </w:tr>
      <w:tr>
        <w:tc>
          <w:tcPr>
            <w:tcW w:type="pct" w:w="34%"/>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Chennai</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30,759,530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4.0%</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125</w:t>
            </w:r>
          </w:p>
        </w:tc>
      </w:tr>
      <w:tr>
        <w:tc>
          <w:tcPr>
            <w:tcW w:type="pct" w:w="3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Rajkot</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27,326,700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3.6%</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126</w:t>
            </w:r>
          </w:p>
        </w:tc>
      </w:tr>
      <w:tr>
        <w:tc>
          <w:tcPr>
            <w:tcW w:type="pct" w:w="34%"/>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Jodhpur</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27,172,940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3.5%</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127</w:t>
            </w:r>
          </w:p>
        </w:tc>
      </w:tr>
      <w:tr>
        <w:tc>
          <w:tcPr>
            <w:tcW w:type="pct" w:w="3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Other 13 cities (combined)</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321,852,000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41.9%</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1,642</w:t>
            </w:r>
          </w:p>
        </w:tc>
      </w:tr>
    </w:tbl>
    <w:p>
      <w:pPr>
        <w:spacing w:after="160"/>
      </w:pPr>
    </w:p>
    <w:p>
      <w:pPr>
        <w:pStyle w:val="ListParagraph"/>
        <w:numPr>
          <w:ilvl w:val="0"/>
          <w:numId w:val="1"/>
        </w:numPr>
        <w:spacing w:after="90" w:line="268"/>
      </w:pPr>
      <w:r>
        <w:rPr>
          <w:rFonts w:ascii="Calibri" w:cs="Calibri" w:eastAsia="Calibri" w:hAnsi="Calibri"/>
          <w:color w:val="222222"/>
          <w:sz w:val="21"/>
          <w:szCs w:val="21"/>
        </w:rPr>
        <w:t xml:space="preserve">Delhi alone accounts for over a quarter of national revenue and more than a quarter of all transactions — it is the single most important market to protect and grow.</w:t>
      </w:r>
    </w:p>
    <w:p>
      <w:pPr>
        <w:pStyle w:val="ListParagraph"/>
        <w:numPr>
          <w:ilvl w:val="0"/>
          <w:numId w:val="1"/>
        </w:numPr>
        <w:spacing w:after="90" w:line="268"/>
      </w:pPr>
      <w:r>
        <w:rPr>
          <w:rFonts w:ascii="Calibri" w:cs="Calibri" w:eastAsia="Calibri" w:hAnsi="Calibri"/>
          <w:color w:val="222222"/>
          <w:sz w:val="21"/>
          <w:szCs w:val="21"/>
        </w:rPr>
        <w:t xml:space="preserve">No secondary city has broken out from the mid-tier pack (Ranchi through Jodhpur cluster within 1 percentage point of each other), suggesting expansion investment could target any of several comparable markets.</w:t>
      </w:r>
    </w:p>
    <w:p>
      <w:pPr>
        <w:pStyle w:val="Heading1"/>
        <w:pBdr>
          <w:bottom w:val="single" w:color="8DC63F" w:sz="12" w:space="4"/>
        </w:pBdr>
        <w:spacing w:after="200" w:before="400"/>
      </w:pPr>
      <w:r>
        <w:rPr>
          <w:rFonts w:ascii="Calibri" w:cs="Calibri" w:eastAsia="Calibri" w:hAnsi="Calibri"/>
          <w:b/>
          <w:bCs/>
          <w:color w:val="12224A"/>
          <w:sz w:val="30"/>
          <w:szCs w:val="30"/>
        </w:rPr>
        <w:t xml:space="preserve">Payment Method Trends</w:t>
      </w:r>
    </w:p>
    <w:p>
      <w:pPr>
        <w:spacing w:after="160" w:line="276"/>
      </w:pPr>
      <w:r>
        <w:rPr>
          <w:rFonts w:ascii="Calibri" w:cs="Calibri" w:eastAsia="Calibri" w:hAnsi="Calibri"/>
          <w:color w:val="222222"/>
          <w:sz w:val="21"/>
          <w:szCs w:val="21"/>
        </w:rPr>
        <w:t xml:space="preserve">Transaction volume is almost evenly split across the four payment methods, with UPI slightly ahead. Debit Card transactions, however, carry the highest average order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620"/>
        <w:gridCol w:w="1440"/>
        <w:gridCol w:w="1980"/>
      </w:tblGrid>
      <w:tr>
        <w:trPr>
          <w:tblHeader/>
        </w:trPr>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Payment Method</w:t>
            </w:r>
          </w:p>
        </w:tc>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18%"/>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c>
          <w:tcPr>
            <w:tcW w:type="pct" w:w="16%"/>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Share of Txns</w:t>
            </w:r>
          </w:p>
        </w:tc>
        <w:tc>
          <w:tcPr>
            <w:tcW w:type="pct" w:w="22%"/>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Avg. Order Value (₹)</w:t>
            </w:r>
          </w:p>
        </w:tc>
      </w:tr>
      <w:tr>
        <w:tc>
          <w:tcPr>
            <w:tcW w:type="pct" w:w="22%"/>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UPI</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201,673,800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1,011</w:t>
            </w:r>
          </w:p>
        </w:tc>
        <w:tc>
          <w:tcPr>
            <w:tcW w:type="pct" w:w="1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26.4%</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199,479</w:t>
            </w:r>
          </w:p>
        </w:tc>
      </w:tr>
      <w:tr>
        <w:tc>
          <w:tcPr>
            <w:tcW w:type="pct" w:w="22%"/>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Debit Card</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195,738,800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948</w:t>
            </w:r>
          </w:p>
        </w:tc>
        <w:tc>
          <w:tcPr>
            <w:tcW w:type="pct" w:w="1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24.7%</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206,476</w:t>
            </w:r>
          </w:p>
        </w:tc>
      </w:tr>
      <w:tr>
        <w:tc>
          <w:tcPr>
            <w:tcW w:type="pct" w:w="22%"/>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Credit Card</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186,698,500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947</w:t>
            </w:r>
          </w:p>
        </w:tc>
        <w:tc>
          <w:tcPr>
            <w:tcW w:type="pct" w:w="1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24.7%</w:t>
            </w:r>
          </w:p>
        </w:tc>
        <w:tc>
          <w:tcPr>
            <w:tcW w:type="pct" w:w="22%"/>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197,147</w:t>
            </w:r>
          </w:p>
        </w:tc>
      </w:tr>
      <w:tr>
        <w:tc>
          <w:tcPr>
            <w:tcW w:type="pct" w:w="22%"/>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Cash</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185,094,000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929</w:t>
            </w:r>
          </w:p>
        </w:tc>
        <w:tc>
          <w:tcPr>
            <w:tcW w:type="pct" w:w="1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24.2%</w:t>
            </w:r>
          </w:p>
        </w:tc>
        <w:tc>
          <w:tcPr>
            <w:tcW w:type="pct" w:w="22%"/>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199,240</w:t>
            </w:r>
          </w:p>
        </w:tc>
      </w:tr>
    </w:tbl>
    <w:p>
      <w:pPr>
        <w:pStyle w:val="Heading1"/>
        <w:pBdr>
          <w:bottom w:val="single" w:color="8DC63F" w:sz="12" w:space="4"/>
        </w:pBdr>
        <w:spacing w:after="200" w:before="400"/>
      </w:pPr>
      <w:r>
        <w:rPr>
          <w:rFonts w:ascii="Calibri" w:cs="Calibri" w:eastAsia="Calibri" w:hAnsi="Calibri"/>
          <w:b/>
          <w:bCs/>
          <w:color w:val="12224A"/>
          <w:sz w:val="30"/>
          <w:szCs w:val="30"/>
        </w:rPr>
        <w:t xml:space="preserve">Seasonal &amp; Weekly Patterns</w:t>
      </w:r>
    </w:p>
    <w:p>
      <w:pPr>
        <w:spacing w:after="160" w:line="276"/>
      </w:pPr>
      <w:r>
        <w:rPr>
          <w:rFonts w:ascii="Calibri" w:cs="Calibri" w:eastAsia="Calibri" w:hAnsi="Calibri"/>
          <w:color w:val="222222"/>
          <w:sz w:val="21"/>
          <w:szCs w:val="21"/>
        </w:rPr>
        <w:t xml:space="preserve">Monthly sales show a repeating peak-trough pattern: January, March, May and July each generate ₹68–70M, while February and September consistently dip to ₹57–59M — roughly a 17% swing between the strongest and weakest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00"/>
      </w:tblGrid>
      <w:tr>
        <w:trPr>
          <w:tblHeader/>
        </w:trPr>
        <w:tc>
          <w:tcPr>
            <w:tcW w:type="pct" w:w="3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Month</w:t>
            </w:r>
          </w:p>
        </w:tc>
        <w:tc>
          <w:tcPr>
            <w:tcW w:type="pct" w:w="4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3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Units Sold</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January</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68,281,301</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1,672</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February</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58,769,665</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1,451</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March</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68,971,956</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1,696</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April</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62,464,153</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1,528</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May</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68,119,488</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1,625</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June</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61,816,232</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1,597</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July</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69,644,083</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1,700</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August</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61,564,989</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1,592</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September</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56,899,972</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1,521</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October</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64,740,720</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1,577</w:t>
            </w:r>
          </w:p>
        </w:tc>
      </w:tr>
      <w:tr>
        <w:tc>
          <w:tcPr>
            <w:tcW w:type="pct" w:w="3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November</w:t>
            </w:r>
          </w:p>
        </w:tc>
        <w:tc>
          <w:tcPr>
            <w:tcW w:type="pct" w:w="4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63,752,242</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1,582</w:t>
            </w:r>
          </w:p>
        </w:tc>
      </w:tr>
      <w:tr>
        <w:tc>
          <w:tcPr>
            <w:tcW w:type="pct" w:w="3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December</w:t>
            </w:r>
          </w:p>
        </w:tc>
        <w:tc>
          <w:tcPr>
            <w:tcW w:type="pct" w:w="4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64,180,187</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1,609</w:t>
            </w:r>
          </w:p>
        </w:tc>
      </w:tr>
    </w:tbl>
    <w:p>
      <w:pPr>
        <w:spacing w:after="160"/>
      </w:pPr>
    </w:p>
    <w:p>
      <w:pPr>
        <w:spacing w:after="160" w:line="276"/>
      </w:pPr>
      <w:r>
        <w:rPr>
          <w:rFonts w:ascii="Calibri" w:cs="Calibri" w:eastAsia="Calibri" w:hAnsi="Calibri"/>
          <w:color w:val="222222"/>
          <w:sz w:val="21"/>
          <w:szCs w:val="21"/>
        </w:rPr>
        <w:t xml:space="preserve">By day of week, Saturday (₹114.6M) and Monday (₹113.5M) are the strongest, while Wednesday (₹104.9M) is the weakest — but the spread across all seven days is under 10%, so weekday effects are secondary to the monthly cycle.</w:t>
      </w:r>
    </w:p>
    <w:p>
      <w:pPr>
        <w:pStyle w:val="Heading1"/>
        <w:pBdr>
          <w:bottom w:val="single" w:color="8DC63F" w:sz="12" w:space="4"/>
        </w:pBdr>
        <w:spacing w:after="200" w:before="400"/>
      </w:pPr>
      <w:r>
        <w:rPr>
          <w:rFonts w:ascii="Calibri" w:cs="Calibri" w:eastAsia="Calibri" w:hAnsi="Calibri"/>
          <w:b/>
          <w:bCs/>
          <w:color w:val="12224A"/>
          <w:sz w:val="30"/>
          <w:szCs w:val="30"/>
        </w:rPr>
        <w:t xml:space="preserve">Customer Satisfaction</w:t>
      </w:r>
    </w:p>
    <w:p>
      <w:pPr>
        <w:spacing w:after="160" w:line="276"/>
      </w:pPr>
      <w:r>
        <w:rPr>
          <w:rFonts w:ascii="Calibri" w:cs="Calibri" w:eastAsia="Calibri" w:hAnsi="Calibri"/>
          <w:color w:val="222222"/>
          <w:sz w:val="21"/>
          <w:szCs w:val="21"/>
        </w:rPr>
        <w:t xml:space="preserve">Overall sentiment is positive: the average customer rating is 3.69 out of 5, and 61% of all transactions were rated "Good" (4–5 stars).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pct" w:w="4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Rating Band</w:t>
            </w:r>
          </w:p>
        </w:tc>
        <w:tc>
          <w:tcPr>
            <w:tcW w:type="pct" w:w="3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c>
          <w:tcPr>
            <w:tcW w:type="pct" w:w="30%"/>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Share of Total</w:t>
            </w:r>
          </w:p>
        </w:tc>
      </w:tr>
      <w:tr>
        <w:tc>
          <w:tcPr>
            <w:tcW w:type="pct" w:w="4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Good (4–5 stars)</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2,331</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60.8%</w:t>
            </w:r>
          </w:p>
        </w:tc>
      </w:tr>
      <w:tr>
        <w:tc>
          <w:tcPr>
            <w:tcW w:type="pct" w:w="4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Average (3 stars)</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652</w:t>
            </w:r>
          </w:p>
        </w:tc>
        <w:tc>
          <w:tcPr>
            <w:tcW w:type="pct" w:w="30%"/>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17.0%</w:t>
            </w:r>
          </w:p>
        </w:tc>
      </w:tr>
      <w:tr>
        <w:tc>
          <w:tcPr>
            <w:tcW w:type="pct" w:w="40%"/>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Poor (1–2 stars)</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852</w:t>
            </w:r>
          </w:p>
        </w:tc>
        <w:tc>
          <w:tcPr>
            <w:tcW w:type="pct" w:w="30%"/>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22.2%</w:t>
            </w:r>
          </w:p>
        </w:tc>
      </w:tr>
    </w:tbl>
    <w:p>
      <w:pPr>
        <w:spacing w:after="160"/>
      </w:pPr>
    </w:p>
    <w:p>
      <w:pPr>
        <w:spacing w:after="160" w:line="276"/>
      </w:pPr>
      <w:r>
        <w:rPr>
          <w:rFonts w:ascii="Calibri" w:cs="Calibri" w:eastAsia="Calibri" w:hAnsi="Calibri"/>
          <w:color w:val="B94A3D"/>
          <w:sz w:val="21"/>
          <w:szCs w:val="21"/>
        </w:rPr>
        <w:t xml:space="preserve">The 22% "Poor" segment (852 transactions) is the main watch item — it is larger than the "Average" band and represents nearly 1 in 5 customers reporting a negative experience.</w:t>
      </w:r>
    </w:p>
    <w:p>
      <w:r>
        <w:br w:type="page"/>
      </w:r>
    </w:p>
    <w:p>
      <w:pPr>
        <w:pStyle w:val="Heading1"/>
        <w:pBdr>
          <w:bottom w:val="single" w:color="8DC63F" w:sz="12" w:space="4"/>
        </w:pBdr>
        <w:spacing w:after="200" w:before="400"/>
      </w:pPr>
      <w:r>
        <w:rPr>
          <w:rFonts w:ascii="Calibri" w:cs="Calibri" w:eastAsia="Calibri" w:hAnsi="Calibri"/>
          <w:b/>
          <w:bCs/>
          <w:color w:val="12224A"/>
          <w:sz w:val="30"/>
          <w:szCs w:val="30"/>
        </w:rPr>
        <w:t xml:space="preserve">Year-over-Year Context</w:t>
      </w:r>
    </w:p>
    <w:p>
      <w:pPr>
        <w:spacing w:after="160" w:line="276"/>
      </w:pPr>
      <w:r>
        <w:rPr>
          <w:rFonts w:ascii="Calibri" w:cs="Calibri" w:eastAsia="Calibri" w:hAnsi="Calibri"/>
          <w:color w:val="222222"/>
          <w:sz w:val="21"/>
          <w:szCs w:val="21"/>
        </w:rPr>
        <w:t xml:space="preserve">The dataset spans four calendar years, but only 2022 and 2023 are complete years — 2021 contains Oct–Dec only, and 2024 contains Jan–Oct only. Direct year totals should be read with that in mind rather than as like-for-like annual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2340"/>
        <w:gridCol w:w="1620"/>
        <w:gridCol w:w="1620"/>
        <w:gridCol w:w="2160"/>
      </w:tblGrid>
      <w:tr>
        <w:trPr>
          <w:tblHeader/>
        </w:trPr>
        <w:tc>
          <w:tcPr>
            <w:tcW w:type="pct" w:w="14%"/>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Year</w:t>
            </w:r>
          </w:p>
        </w:tc>
        <w:tc>
          <w:tcPr>
            <w:tcW w:type="pct" w:w="26%"/>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Total Sales (₹)</w:t>
            </w:r>
          </w:p>
        </w:tc>
        <w:tc>
          <w:tcPr>
            <w:tcW w:type="pct" w:w="18%"/>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Units Sold</w:t>
            </w:r>
          </w:p>
        </w:tc>
        <w:tc>
          <w:tcPr>
            <w:tcW w:type="pct" w:w="18%"/>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Transactions</w:t>
            </w:r>
          </w:p>
        </w:tc>
        <w:tc>
          <w:tcPr>
            <w:tcW w:type="pct" w:w="24%"/>
            <w:shd w:fill="1222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Coverage</w:t>
            </w:r>
          </w:p>
        </w:tc>
      </w:tr>
      <w:tr>
        <w:tc>
          <w:tcPr>
            <w:tcW w:type="pct" w:w="1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2021</w:t>
            </w:r>
          </w:p>
        </w:tc>
        <w:tc>
          <w:tcPr>
            <w:tcW w:type="pct" w:w="2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58,815,520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1,471</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296</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Oct–Dec only (partial)</w:t>
            </w:r>
          </w:p>
        </w:tc>
      </w:tr>
      <w:tr>
        <w:tc>
          <w:tcPr>
            <w:tcW w:type="pct" w:w="14%"/>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2022</w:t>
            </w:r>
          </w:p>
        </w:tc>
        <w:tc>
          <w:tcPr>
            <w:tcW w:type="pct" w:w="2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261,989,800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6,434</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1,281</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Full year</w:t>
            </w:r>
          </w:p>
        </w:tc>
      </w:tr>
      <w:tr>
        <w:tc>
          <w:tcPr>
            <w:tcW w:type="pct" w:w="14%"/>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2023</w:t>
            </w:r>
          </w:p>
        </w:tc>
        <w:tc>
          <w:tcPr>
            <w:tcW w:type="pct" w:w="26%"/>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253,314,200</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6,364</w:t>
            </w:r>
          </w:p>
        </w:tc>
        <w:tc>
          <w:tcPr>
            <w:tcW w:type="pct" w:w="18%"/>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1,285</w:t>
            </w:r>
          </w:p>
        </w:tc>
        <w:tc>
          <w:tcPr>
            <w:tcW w:type="pct" w:w="24%"/>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Full year</w:t>
            </w:r>
          </w:p>
        </w:tc>
      </w:tr>
      <w:tr>
        <w:tc>
          <w:tcPr>
            <w:tcW w:type="pct" w:w="14%"/>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22222"/>
                <w:sz w:val="19"/>
                <w:szCs w:val="19"/>
              </w:rPr>
              <w:t xml:space="preserve">2024</w:t>
            </w:r>
          </w:p>
        </w:tc>
        <w:tc>
          <w:tcPr>
            <w:tcW w:type="pct" w:w="26%"/>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195,085,400</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4,881</w:t>
            </w:r>
          </w:p>
        </w:tc>
        <w:tc>
          <w:tcPr>
            <w:tcW w:type="pct" w:w="18%"/>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973</w:t>
            </w:r>
          </w:p>
        </w:tc>
        <w:tc>
          <w:tcPr>
            <w:tcW w:type="pct" w:w="24%"/>
            <w:shd w:fill="F2F2F2" w:val="clear"/>
            <w:tcMar>
              <w:top w:type="dxa" w:w="80"/>
              <w:left w:type="dxa" w:w="110"/>
              <w:bottom w:type="dxa" w:w="80"/>
              <w:right w:type="dxa" w:w="110"/>
            </w:tcMar>
            <w:vAlign w:val="center"/>
          </w:tcPr>
          <w:p>
            <w:pPr>
              <w:jc w:val="right"/>
            </w:pPr>
            <w:r>
              <w:rPr>
                <w:rFonts w:ascii="Calibri" w:cs="Calibri" w:eastAsia="Calibri" w:hAnsi="Calibri"/>
                <w:b w:val="false"/>
                <w:bCs w:val="false"/>
                <w:color w:val="222222"/>
                <w:sz w:val="19"/>
                <w:szCs w:val="19"/>
              </w:rPr>
              <w:t xml:space="preserve">Jan–Oct only (partial)</w:t>
            </w:r>
          </w:p>
        </w:tc>
      </w:tr>
    </w:tbl>
    <w:p>
      <w:pPr>
        <w:spacing w:after="160"/>
      </w:pPr>
    </w:p>
    <w:p>
      <w:pPr>
        <w:spacing w:after="160" w:line="276"/>
      </w:pPr>
      <w:r>
        <w:rPr>
          <w:rFonts w:ascii="Calibri" w:cs="Calibri" w:eastAsia="Calibri" w:hAnsi="Calibri"/>
          <w:color w:val="222222"/>
          <w:sz w:val="21"/>
          <w:szCs w:val="21"/>
        </w:rPr>
        <w:t xml:space="preserve">The dashboard's own "Same Period Last Year" view (below) is built to control for this by comparing matching quarters/months rather than raw annual totals, and is the more reliable lens for trend-reading.</w:t>
      </w:r>
    </w:p>
    <w:p>
      <w:pPr>
        <w:spacing w:after="6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81375"/>
                    </a:xfrm>
                    <a:prstGeom prst="rect">
                      <a:avLst/>
                    </a:prstGeom>
                  </pic:spPr>
                </pic:pic>
              </a:graphicData>
            </a:graphic>
          </wp:inline>
        </w:drawing>
      </w:r>
    </w:p>
    <w:p>
      <w:pPr>
        <w:spacing w:after="300" w:before="60"/>
        <w:jc w:val="center"/>
      </w:pPr>
      <w:r>
        <w:rPr>
          <w:rFonts w:ascii="Calibri" w:cs="Calibri" w:eastAsia="Calibri" w:hAnsi="Calibri"/>
          <w:i/>
          <w:iCs/>
          <w:color w:val="5A5A5A"/>
          <w:sz w:val="18"/>
          <w:szCs w:val="18"/>
        </w:rPr>
        <w:t xml:space="preserve">Figure 2 — Total Sales vs. Same Period Last Year, by year, month and quarter.</w:t>
      </w:r>
    </w:p>
    <w:p>
      <w:pPr>
        <w:spacing w:after="6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57525"/>
                    </a:xfrm>
                    <a:prstGeom prst="rect">
                      <a:avLst/>
                    </a:prstGeom>
                  </pic:spPr>
                </pic:pic>
              </a:graphicData>
            </a:graphic>
          </wp:inline>
        </w:drawing>
      </w:r>
    </w:p>
    <w:p>
      <w:pPr>
        <w:spacing w:after="300" w:before="60"/>
        <w:jc w:val="center"/>
      </w:pPr>
      <w:r>
        <w:rPr>
          <w:rFonts w:ascii="Calibri" w:cs="Calibri" w:eastAsia="Calibri" w:hAnsi="Calibri"/>
          <w:i/>
          <w:iCs/>
          <w:color w:val="5A5A5A"/>
          <w:sz w:val="18"/>
          <w:szCs w:val="18"/>
        </w:rPr>
        <w:t xml:space="preserve">Figure 3 — Month-to-Date report view, used for in-period tracking against the current month's pace.</w:t>
      </w:r>
    </w:p>
    <w:p>
      <w:pPr>
        <w:pStyle w:val="Heading1"/>
        <w:pBdr>
          <w:bottom w:val="single" w:color="8DC63F" w:sz="12" w:space="4"/>
        </w:pBdr>
        <w:spacing w:after="200" w:before="400"/>
      </w:pPr>
      <w:r>
        <w:rPr>
          <w:rFonts w:ascii="Calibri" w:cs="Calibri" w:eastAsia="Calibri" w:hAnsi="Calibri"/>
          <w:b/>
          <w:bCs/>
          <w:color w:val="12224A"/>
          <w:sz w:val="30"/>
          <w:szCs w:val="30"/>
        </w:rPr>
        <w:t xml:space="preserve">Data Quality Note</w:t>
      </w:r>
    </w:p>
    <w:p>
      <w:pPr>
        <w:spacing w:after="160" w:line="276"/>
      </w:pPr>
      <w:r>
        <w:rPr>
          <w:rFonts w:ascii="Calibri" w:cs="Calibri" w:eastAsia="Calibri" w:hAnsi="Calibri"/>
          <w:color w:val="222222"/>
          <w:sz w:val="21"/>
          <w:szCs w:val="21"/>
        </w:rPr>
        <w:t xml:space="preserve">The "Day Name" field in the source data mixes abbreviated and full-text values for the same day (e.g. "Sat" and "Saturday" both appear). These were consolidated before the weekly analysis above; the same cleanup is recommended at the source so the live dashboard's day-of-week visuals aren't silently splitting each day into two categories.</w:t>
      </w:r>
    </w:p>
    <w:p>
      <w:r>
        <w:br w:type="page"/>
      </w:r>
    </w:p>
    <w:p>
      <w:pPr>
        <w:pStyle w:val="Heading1"/>
        <w:pBdr>
          <w:bottom w:val="single" w:color="8DC63F" w:sz="12" w:space="4"/>
        </w:pBdr>
        <w:spacing w:after="200" w:before="400"/>
      </w:pPr>
      <w:r>
        <w:rPr>
          <w:rFonts w:ascii="Calibri" w:cs="Calibri" w:eastAsia="Calibri" w:hAnsi="Calibri"/>
          <w:b/>
          <w:bCs/>
          <w:color w:val="12224A"/>
          <w:sz w:val="30"/>
          <w:szCs w:val="30"/>
        </w:rPr>
        <w:t xml:space="preserve">Recommendations</w:t>
      </w:r>
    </w:p>
    <w:p>
      <w:pPr>
        <w:spacing w:after="160" w:line="276"/>
      </w:pPr>
      <w:r>
        <w:rPr>
          <w:rFonts w:ascii="Calibri" w:cs="Calibri" w:eastAsia="Calibri" w:hAnsi="Calibri"/>
          <w:color w:val="222222"/>
          <w:sz w:val="21"/>
          <w:szCs w:val="21"/>
        </w:rPr>
        <w:t xml:space="preserve">Based on the patterns above, the following actions are recommended, roughly in priority order: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1</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Protect and grow the Delhi–Mumbai core</w:t>
            </w:r>
          </w:p>
          <w:p>
            <w:r>
              <w:rPr>
                <w:rFonts w:ascii="Calibri" w:cs="Calibri" w:eastAsia="Calibri" w:hAnsi="Calibri"/>
                <w:color w:val="333333"/>
                <w:sz w:val="20"/>
                <w:szCs w:val="20"/>
              </w:rPr>
              <w:t xml:space="preserve">These two cities drive 43% of revenue. Prioritize inventory availability, delivery SLAs and after-sales support here, since any disruption has an outsized revenue impact.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2</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Run a focused expansion pilot in one mid-tier city</w:t>
            </w:r>
          </w:p>
          <w:p>
            <w:r>
              <w:rPr>
                <w:rFonts w:ascii="Calibri" w:cs="Calibri" w:eastAsia="Calibri" w:hAnsi="Calibri"/>
                <w:color w:val="333333"/>
                <w:sz w:val="20"/>
                <w:szCs w:val="20"/>
              </w:rPr>
              <w:t xml:space="preserve">Ranchi, Chennai, Rajkot and Jodhpur are essentially tied (3.5–4.0% share each). Pick one for a concentrated marketing/distribution push and use it as a test case before rolling out to the rest of the mid-tier cluster.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3</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Investigate the 22% "Poor" rating segment</w:t>
            </w:r>
          </w:p>
          <w:p>
            <w:r>
              <w:rPr>
                <w:rFonts w:ascii="Calibri" w:cs="Calibri" w:eastAsia="Calibri" w:hAnsi="Calibri"/>
                <w:color w:val="333333"/>
                <w:sz w:val="20"/>
                <w:szCs w:val="20"/>
              </w:rPr>
              <w:t xml:space="preserve">Break the 852 poor-rated transactions down by brand, model, city and payment method to find a root cause (product issue, delivery experience, or a specific outlet), and prioritize fixes before scaling volume further.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4</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Use UPI's transaction lead, but protect Debit Card's higher basket size</w:t>
            </w:r>
          </w:p>
          <w:p>
            <w:r>
              <w:rPr>
                <w:rFonts w:ascii="Calibri" w:cs="Calibri" w:eastAsia="Calibri" w:hAnsi="Calibri"/>
                <w:color w:val="333333"/>
                <w:sz w:val="20"/>
                <w:szCs w:val="20"/>
              </w:rPr>
              <w:t xml:space="preserve">UPI drives the most transactions but Debit Card has the highest average order value (₹206K). Test UPI-linked instant discounts to grow volume, paired with EMI/financing offers on Debit/Credit to keep basket sizes up.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5</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Plan inventory and promotions around the Feb/Sep dips</w:t>
            </w:r>
          </w:p>
          <w:p>
            <w:r>
              <w:rPr>
                <w:rFonts w:ascii="Calibri" w:cs="Calibri" w:eastAsia="Calibri" w:hAnsi="Calibri"/>
                <w:color w:val="333333"/>
                <w:sz w:val="20"/>
                <w:szCs w:val="20"/>
              </w:rPr>
              <w:t xml:space="preserve">Both months are consistently ~15–18% below the surrounding months. Align promotional calendars or restocking cycles to smooth this pattern, and confirm whether it correlates with a known seasonal or fiscal-cycle effect.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6</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Re-examine Xiaomi's go-to-market</w:t>
            </w:r>
          </w:p>
          <w:p>
            <w:r>
              <w:rPr>
                <w:rFonts w:ascii="Calibri" w:cs="Calibri" w:eastAsia="Calibri" w:hAnsi="Calibri"/>
                <w:color w:val="333333"/>
                <w:sz w:val="20"/>
                <w:szCs w:val="20"/>
              </w:rPr>
              <w:t xml:space="preserve">Xiaomi has the highest average customer rating (3.72) but the lowest revenue and volume of the five brands. Since satisfaction isn't the bottleneck, review pricing, distribution reach and marketing spend for a likely quick win.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pct" w:w="8%"/>
            <w:shd w:fill="8DC63F" w:val="clear"/>
            <w:tcMar>
              <w:top w:type="dxa" w:w="100"/>
              <w:bottom w:type="dxa" w:w="100"/>
            </w:tcMar>
            <w:vAlign w:val="center"/>
          </w:tcPr>
          <w:p>
            <w:pPr>
              <w:jc w:val="center"/>
            </w:pPr>
            <w:r>
              <w:rPr>
                <w:rFonts w:ascii="Calibri" w:cs="Calibri" w:eastAsia="Calibri" w:hAnsi="Calibri"/>
                <w:b/>
                <w:bCs/>
                <w:color w:val="0B1730"/>
                <w:sz w:val="26"/>
                <w:szCs w:val="26"/>
              </w:rPr>
              <w:t xml:space="preserve">7</w:t>
            </w:r>
          </w:p>
        </w:tc>
        <w:tc>
          <w:tcPr>
            <w:tcW w:type="pct" w:w="92%"/>
            <w:shd w:fill="EAF4D9" w:val="clear"/>
            <w:tcMar>
              <w:top w:type="dxa" w:w="120"/>
              <w:left w:type="dxa" w:w="200"/>
              <w:bottom w:type="dxa" w:w="120"/>
              <w:right w:type="dxa" w:w="200"/>
            </w:tcMar>
          </w:tcPr>
          <w:p>
            <w:pPr>
              <w:spacing w:after="60"/>
            </w:pPr>
            <w:r>
              <w:rPr>
                <w:rFonts w:ascii="Calibri" w:cs="Calibri" w:eastAsia="Calibri" w:hAnsi="Calibri"/>
                <w:b/>
                <w:bCs/>
                <w:color w:val="12224A"/>
                <w:sz w:val="21"/>
                <w:szCs w:val="21"/>
              </w:rPr>
              <w:t xml:space="preserve">Standardize source data fields</w:t>
            </w:r>
          </w:p>
          <w:p>
            <w:r>
              <w:rPr>
                <w:rFonts w:ascii="Calibri" w:cs="Calibri" w:eastAsia="Calibri" w:hAnsi="Calibri"/>
                <w:color w:val="333333"/>
                <w:sz w:val="20"/>
                <w:szCs w:val="20"/>
              </w:rPr>
              <w:t xml:space="preserve">Fix the mixed abbreviated/full-text "Day Name" values at the point of entry (or in ETL) so weekday reporting in the live dashboard doesn't understate any single day by splitting it across two labels.</w:t>
            </w:r>
          </w:p>
        </w:tc>
      </w:tr>
    </w:tbl>
    <w:p>
      <w:pPr>
        <w:spacing w:after="20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Page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b/>
        <w:bCs/>
        <w:color w:val="5A5A5A"/>
        <w:sz w:val="15"/>
        <w:szCs w:val="15"/>
      </w:rPr>
      <w:t xml:space="preserve">MOBILE SALES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5d0301326c9da2ba38cde0e1c21f87081bd3b0.jpg"/><Relationship Id="rId10" Type="http://schemas.openxmlformats.org/officeDocument/2006/relationships/image" Target="media/753a6210f3af77c6470c3b84748bcfcc288dd56b.jpg"/><Relationship Id="rId11" Type="http://schemas.openxmlformats.org/officeDocument/2006/relationships/image" Target="media/e09ec8940876bb35e318fec02a2596e507c6ffd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2026-09-14T15:49:59.169Z</dcterms:created>
  <dcterms:modified xsi:type="dcterms:W3CDTF">2026-09-14T15:49:59.179Z</dcterms:modified>
</cp:coreProperties>
</file>

<file path=docProps/custom.xml><?xml version="1.0" encoding="utf-8"?>
<Properties xmlns="http://schemas.openxmlformats.org/officeDocument/2006/custom-properties" xmlns:vt="http://schemas.openxmlformats.org/officeDocument/2006/docPropsVTypes"/>
</file>