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14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Evaluating ANN and Matrix-Product-State Signals</w:t>
        <w:br/>
        <w:t>in a FinRL PPO Agent</w:t>
      </w:r>
    </w:p>
    <w:p>
      <w:pPr>
        <w:spacing w:after="20"/>
        <w:jc w:val="center"/>
      </w:pPr>
      <w:r>
        <w:rPr>
          <w:rFonts w:ascii="Times New Roman" w:hAnsi="Times New Roman"/>
          <w:b w:val="0"/>
          <w:i w:val="0"/>
          <w:color w:val="000000"/>
          <w:sz w:val="22"/>
        </w:rPr>
        <w:t>Aarav Nagar</w:t>
      </w:r>
    </w:p>
    <w:p>
      <w:pPr>
        <w:spacing w:after="280"/>
        <w:jc w:val="center"/>
      </w:pPr>
      <w:r>
        <w:rPr>
          <w:rFonts w:ascii="Times New Roman" w:hAnsi="Times New Roman"/>
          <w:b w:val="0"/>
          <w:i w:val="0"/>
          <w:color w:val="000000"/>
          <w:sz w:val="21"/>
        </w:rPr>
        <w:t>July 2026</w:t>
      </w:r>
    </w:p>
    <w:p>
      <w:pPr>
        <w:spacing w:after="60"/>
        <w:jc w:val="center"/>
      </w:pPr>
      <w:r>
        <w:rPr>
          <w:rFonts w:ascii="Times New Roman" w:hAnsi="Times New Roman"/>
          <w:b/>
          <w:i w:val="0"/>
          <w:color w:val="000000"/>
          <w:sz w:val="21"/>
        </w:rPr>
        <w:t>Abstract</w:t>
      </w:r>
    </w:p>
    <w:p>
      <w:pPr>
        <w:spacing w:after="180" w:line="252" w:lineRule="auto"/>
        <w:ind w:left="432" w:right="432"/>
        <w:jc w:val="both"/>
      </w:pPr>
      <w:r>
        <w:rPr>
          <w:rFonts w:ascii="Times New Roman" w:hAnsi="Times New Roman"/>
          <w:b w:val="0"/>
          <w:i w:val="0"/>
          <w:color w:val="000000"/>
          <w:sz w:val="19"/>
        </w:rPr>
        <w:t>This study examines whether a quantum-inspired matrix-product-state (MPS) model provides a more useful trading signal than a conventional artificial neural network (ANN). The two models were matched in parameter count and trained on the same inputs and next-day return target. Their predictions were added separately to the state of a FinRL Proximal Policy Optimization (PPO) agent. The MPS produced slightly lower prediction error and higher directional accuracy, but the ANN-based agent achieved a higher mean out-of-sample Sharpe ratio (0.735 compared with 0.694). MPS trailed ANN in all three paired seeds, and a block-bootstrap confidence interval for the annualized return difference included zero. Under this setup, the MPS signal did not improve trading performance.</w:t>
      </w:r>
    </w:p>
    <w:p>
      <w:pPr>
        <w:pStyle w:val="Heading1"/>
      </w:pPr>
      <w:r>
        <w:t>1. Research Question</w:t>
      </w:r>
    </w:p>
    <w:p>
      <w:pPr/>
      <w:r>
        <w:rPr>
          <w:rFonts w:ascii="Times New Roman" w:hAnsi="Times New Roman"/>
          <w:b w:val="0"/>
          <w:i w:val="0"/>
          <w:color w:val="000000"/>
          <w:sz w:val="21"/>
        </w:rPr>
        <w:t>My earlier project compared quantum-inspired neural networks with hybrid ensemble ANNs for stock-market prediction. One question remained: if one model predicts returns slightly better, will a trading agent actually make better decisions when transaction costs and changing market conditions are included?</w:t>
      </w:r>
    </w:p>
    <w:p>
      <w:pPr/>
      <w:r>
        <w:rPr>
          <w:rFonts w:ascii="Times New Roman" w:hAnsi="Times New Roman"/>
          <w:b w:val="0"/>
          <w:i w:val="0"/>
          <w:color w:val="000000"/>
          <w:sz w:val="21"/>
        </w:rPr>
        <w:t>Following Professor Xiao-Yang Liu's suggestion, I tested the prediction models as state signals inside a FinRL benchmark. The experiment asks whether an MPS signal improves out-of-sample trading performance when the data, parameter count, PPO configuration, costs, and random seeds are held constant.</w:t>
      </w:r>
    </w:p>
    <w:p>
      <w:pPr>
        <w:pStyle w:val="Heading1"/>
      </w:pPr>
      <w:r>
        <w:t>2. Experimental Design</w:t>
      </w:r>
    </w:p>
    <w:p>
      <w:pPr>
        <w:pStyle w:val="Heading2"/>
      </w:pPr>
      <w:r>
        <w:t>2.1 Data and time split</w:t>
      </w:r>
    </w:p>
    <w:p>
      <w:pPr/>
      <w:r>
        <w:rPr>
          <w:rFonts w:ascii="Times New Roman" w:hAnsi="Times New Roman"/>
          <w:b w:val="0"/>
          <w:i w:val="0"/>
          <w:color w:val="000000"/>
          <w:sz w:val="21"/>
        </w:rPr>
        <w:t>The experiment used 15 stocks from the processed Nasdaq dataset associated with the FinRL Contest 2025 workflow: AAPL, AMD, AMGN, AMZN, COST, FANG, GILD, HON, INTC, MSFT, NFLX, NVDA, PEP, SBUX, and XEL.</w:t>
      </w:r>
    </w:p>
    <w:p>
      <w:pPr/>
      <w:r>
        <w:rPr>
          <w:rFonts w:ascii="Times New Roman" w:hAnsi="Times New Roman"/>
          <w:b w:val="0"/>
          <w:i w:val="0"/>
          <w:color w:val="000000"/>
          <w:sz w:val="21"/>
        </w:rPr>
        <w:t>The ANN and MPS models were fit on 2013-2017 data and validated on 2018. PPO was trained on 2013-2018 and evaluated out of sample on 2019-2023. No test-period return target was used to fit either prediction model or PPO policy. The data were checksum-pinned, and the environment used FinRL commit 2334a5fe6d30629157f13c3b0319e1637e15e123.</w:t>
      </w:r>
    </w:p>
    <w:p>
      <w:pPr>
        <w:pStyle w:val="Heading2"/>
      </w:pPr>
      <w:r>
        <w:t>2.2 Prediction models</w:t>
      </w:r>
    </w:p>
    <w:p>
      <w:pPr/>
      <w:r>
        <w:rPr>
          <w:rFonts w:ascii="Times New Roman" w:hAnsi="Times New Roman"/>
          <w:b w:val="0"/>
          <w:i w:val="0"/>
          <w:color w:val="000000"/>
          <w:sz w:val="21"/>
        </w:rPr>
        <w:t>Both models used the same 13 market features and predicted the same standardized next-day return. The ANN used fully connected layers of 13-16-8-1. The MPS used a trigonometric local feature map and bond dimension 4. Each model contained exactly 369 trainable parameters. The MPS was simulated on classical hardware; no qubits were used.</w:t>
      </w:r>
    </w:p>
    <w:p>
      <w:pPr>
        <w:pStyle w:val="Heading2"/>
      </w:pPr>
      <w:r>
        <w:t>2.3 PPO state construction</w:t>
      </w:r>
    </w:p>
    <w:p>
      <w:pPr>
        <w:pStyle w:val="Caption"/>
      </w:pPr>
      <w:r>
        <w:rPr>
          <w:rFonts w:ascii="Times New Roman" w:hAnsi="Times New Roman"/>
          <w:b w:val="0"/>
          <w:i/>
          <w:color w:val="000000"/>
          <w:sz w:val="19"/>
        </w:rPr>
        <w:t>Table 1. State construction for the three PPO conditions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900"/>
        <w:gridCol w:w="6260"/>
        <w:gridCol w:w="1200"/>
      </w:tblGrid>
      <w:tr>
        <w:trPr>
          <w:tblHeader w:val="true"/>
        </w:trPr>
        <w:tc>
          <w:tcPr>
            <w:tcW w:type="dxa" w:w="1900"/>
            <w:shd w:fill="E7E6E6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Condition</w:t>
            </w:r>
          </w:p>
        </w:tc>
        <w:tc>
          <w:tcPr>
            <w:tcW w:type="dxa" w:w="6260"/>
            <w:shd w:fill="E7E6E6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State supplied to PPO</w:t>
            </w:r>
          </w:p>
        </w:tc>
        <w:tc>
          <w:tcPr>
            <w:tcW w:type="dxa" w:w="1200"/>
            <w:shd w:fill="E7E6E6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Dimension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Base FinRL</w:t>
            </w:r>
          </w:p>
        </w:tc>
        <w:tc>
          <w:tcPr>
            <w:tcW w:type="dxa" w:w="626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Cash, prices, holdings, and 10 indicators per stock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181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ANN signal</w:t>
            </w:r>
          </w:p>
        </w:tc>
        <w:tc>
          <w:tcPr>
            <w:tcW w:type="dxa" w:w="626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Base state plus one frozen ANN prediction per stock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196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MPS signal</w:t>
            </w:r>
          </w:p>
        </w:tc>
        <w:tc>
          <w:tcPr>
            <w:tcW w:type="dxa" w:w="626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Base state plus one frozen MPS prediction per stock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196</w:t>
            </w:r>
          </w:p>
        </w:tc>
      </w:tr>
    </w:tbl>
    <w:p>
      <w:pPr>
        <w:spacing w:after="0" w:line="120" w:lineRule="auto"/>
      </w:pPr>
    </w:p>
    <w:p>
      <w:pPr/>
      <w:r>
        <w:rPr>
          <w:rFonts w:ascii="Times New Roman" w:hAnsi="Times New Roman"/>
          <w:b w:val="0"/>
          <w:i w:val="0"/>
          <w:color w:val="000000"/>
          <w:sz w:val="21"/>
        </w:rPr>
        <w:t>The base state contained one cash value, 15 prices, 15 holdings, and 10 indicators for each stock. For the signal conditions, a 15-value prediction vector was appended as one additional indicator block.</w:t>
      </w:r>
    </w:p>
    <w:p>
      <w:pPr>
        <w:spacing w:before="60" w:after="120"/>
        <w:jc w:val="center"/>
      </w:pPr>
      <w:r>
        <w:rPr>
          <w:rFonts w:ascii="Times New Roman" w:hAnsi="Times New Roman"/>
          <w:b w:val="0"/>
          <w:i/>
          <w:color w:val="000000"/>
          <w:sz w:val="20"/>
        </w:rPr>
        <w:t>Base: 1 + 15 + 15 + (10 x 15) = 181 values</w:t>
      </w:r>
    </w:p>
    <w:p>
      <w:pPr>
        <w:spacing w:before="60" w:after="120"/>
        <w:jc w:val="center"/>
      </w:pPr>
      <w:r>
        <w:rPr>
          <w:rFonts w:ascii="Times New Roman" w:hAnsi="Times New Roman"/>
          <w:b w:val="0"/>
          <w:i/>
          <w:color w:val="000000"/>
          <w:sz w:val="20"/>
        </w:rPr>
        <w:t>Signal: 1 + 15 + 15 + (11 x 15) = 196 values</w:t>
      </w:r>
    </w:p>
    <w:p>
      <w:pPr/>
      <w:r>
        <w:rPr>
          <w:rFonts w:ascii="Times New Roman" w:hAnsi="Times New Roman"/>
          <w:b w:val="0"/>
          <w:i w:val="0"/>
          <w:color w:val="000000"/>
          <w:sz w:val="21"/>
        </w:rPr>
        <w:t>The prediction model was frozen during PPO training, so the ANN and MPS agents differed only in the final 15 state values.</w:t>
      </w:r>
    </w:p>
    <w:p>
      <w:pPr>
        <w:pStyle w:val="Heading2"/>
      </w:pPr>
      <w:r>
        <w:t>2.4 Trading setup</w:t>
      </w:r>
    </w:p>
    <w:p>
      <w:pPr/>
      <w:r>
        <w:rPr>
          <w:rFonts w:ascii="Times New Roman" w:hAnsi="Times New Roman"/>
          <w:b w:val="0"/>
          <w:i w:val="0"/>
          <w:color w:val="000000"/>
          <w:sz w:val="21"/>
        </w:rPr>
        <w:t>Each PPO condition used the same two-layer 64-unit policy and value network, 5,000 environment steps, three optimization epochs per update, and seeds 0, 1, and 2. The starting portfolio was $1,000,000. A 0.10% transaction cost was applied to every executed buy and sell. Daily turnover was defined as gross executed notional divided by beginning-of-step portfolio value.</w:t>
      </w:r>
    </w:p>
    <w:p>
      <w:pPr/>
      <w:r>
        <w:rPr>
          <w:rFonts w:ascii="Times New Roman" w:hAnsi="Times New Roman"/>
          <w:b w:val="0"/>
          <w:i w:val="0"/>
          <w:color w:val="000000"/>
          <w:sz w:val="21"/>
        </w:rPr>
        <w:t>The backtest did not model bid-ask spread, slippage, market impact, taxes, liquidity limits, or borrow costs.</w:t>
      </w:r>
    </w:p>
    <w:p>
      <w:pPr>
        <w:pStyle w:val="Heading1"/>
      </w:pPr>
      <w:r>
        <w:t>3. Results</w:t>
      </w:r>
    </w:p>
    <w:p>
      <w:pPr>
        <w:pStyle w:val="Heading2"/>
      </w:pPr>
      <w:r>
        <w:t>3.1 Prediction results</w:t>
      </w:r>
    </w:p>
    <w:p>
      <w:pPr/>
      <w:r>
        <w:rPr>
          <w:rFonts w:ascii="Times New Roman" w:hAnsi="Times New Roman"/>
          <w:b w:val="0"/>
          <w:i w:val="0"/>
          <w:color w:val="000000"/>
          <w:sz w:val="21"/>
        </w:rPr>
        <w:t>The MPS achieved slightly lower mean-squared error and slightly higher directional accuracy. Its information coefficient was slightly negative, however, so the prediction evidence was mixed.</w:t>
      </w:r>
    </w:p>
    <w:p>
      <w:pPr>
        <w:pStyle w:val="Caption"/>
      </w:pPr>
      <w:r>
        <w:rPr>
          <w:rFonts w:ascii="Times New Roman" w:hAnsi="Times New Roman"/>
          <w:b w:val="0"/>
          <w:i/>
          <w:color w:val="000000"/>
          <w:sz w:val="19"/>
        </w:rPr>
        <w:t>Table 2. Out-of-sample prediction results, 2019-2023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150"/>
        <w:gridCol w:w="1400"/>
        <w:gridCol w:w="1500"/>
        <w:gridCol w:w="2700"/>
        <w:gridCol w:w="2610"/>
      </w:tblGrid>
      <w:tr>
        <w:trPr>
          <w:tblHeader w:val="true"/>
        </w:trPr>
        <w:tc>
          <w:tcPr>
            <w:tcW w:type="dxa" w:w="1150"/>
            <w:shd w:fill="E7E6E6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Model</w:t>
            </w:r>
          </w:p>
        </w:tc>
        <w:tc>
          <w:tcPr>
            <w:tcW w:type="dxa" w:w="1400"/>
            <w:shd w:fill="E7E6E6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Parameters</w:t>
            </w:r>
          </w:p>
        </w:tc>
        <w:tc>
          <w:tcPr>
            <w:tcW w:type="dxa" w:w="1500"/>
            <w:shd w:fill="E7E6E6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MSE</w:t>
            </w:r>
          </w:p>
        </w:tc>
        <w:tc>
          <w:tcPr>
            <w:tcW w:type="dxa" w:w="2700"/>
            <w:shd w:fill="E7E6E6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Directional accuracy</w:t>
            </w:r>
          </w:p>
        </w:tc>
        <w:tc>
          <w:tcPr>
            <w:tcW w:type="dxa" w:w="2610"/>
            <w:shd w:fill="E7E6E6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Information coefficient</w:t>
            </w:r>
          </w:p>
        </w:tc>
      </w:tr>
      <w:tr>
        <w:tc>
          <w:tcPr>
            <w:tcW w:type="dxa" w:w="115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ANN</w:t>
            </w:r>
          </w:p>
        </w:tc>
        <w:tc>
          <w:tcPr>
            <w:tcW w:type="dxa" w:w="140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369</w:t>
            </w:r>
          </w:p>
        </w:tc>
        <w:tc>
          <w:tcPr>
            <w:tcW w:type="dxa" w:w="150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1.5101</w:t>
            </w:r>
          </w:p>
        </w:tc>
        <w:tc>
          <w:tcPr>
            <w:tcW w:type="dxa" w:w="270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50.25%</w:t>
            </w:r>
          </w:p>
        </w:tc>
        <w:tc>
          <w:tcPr>
            <w:tcW w:type="dxa" w:w="261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+0.0119</w:t>
            </w:r>
          </w:p>
        </w:tc>
      </w:tr>
      <w:tr>
        <w:tc>
          <w:tcPr>
            <w:tcW w:type="dxa" w:w="115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MPS</w:t>
            </w:r>
          </w:p>
        </w:tc>
        <w:tc>
          <w:tcPr>
            <w:tcW w:type="dxa" w:w="140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369</w:t>
            </w:r>
          </w:p>
        </w:tc>
        <w:tc>
          <w:tcPr>
            <w:tcW w:type="dxa" w:w="150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1.5034</w:t>
            </w:r>
          </w:p>
        </w:tc>
        <w:tc>
          <w:tcPr>
            <w:tcW w:type="dxa" w:w="270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51.06%</w:t>
            </w:r>
          </w:p>
        </w:tc>
        <w:tc>
          <w:tcPr>
            <w:tcW w:type="dxa" w:w="261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-0.0060</w:t>
            </w:r>
          </w:p>
        </w:tc>
      </w:tr>
    </w:tbl>
    <w:p>
      <w:pPr>
        <w:spacing w:after="0" w:line="120" w:lineRule="auto"/>
      </w:pPr>
    </w:p>
    <w:p>
      <w:pPr>
        <w:pStyle w:val="Heading2"/>
      </w:pPr>
      <w:r>
        <w:t>3.2 Trading results</w:t>
      </w:r>
    </w:p>
    <w:p>
      <w:pPr/>
      <w:r>
        <w:rPr>
          <w:rFonts w:ascii="Times New Roman" w:hAnsi="Times New Roman"/>
          <w:b w:val="0"/>
          <w:i w:val="0"/>
          <w:color w:val="000000"/>
          <w:sz w:val="21"/>
        </w:rPr>
        <w:t>The small improvement in two prediction metrics did not carry over to the PPO backtest.</w:t>
      </w:r>
    </w:p>
    <w:p>
      <w:pPr>
        <w:pStyle w:val="Caption"/>
      </w:pPr>
      <w:r>
        <w:rPr>
          <w:rFonts w:ascii="Times New Roman" w:hAnsi="Times New Roman"/>
          <w:b w:val="0"/>
          <w:i/>
          <w:color w:val="000000"/>
          <w:sz w:val="19"/>
        </w:rPr>
        <w:t>Table 3. Mean out-of-sample portfolio results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760"/>
        <w:gridCol w:w="1380"/>
        <w:gridCol w:w="1080"/>
        <w:gridCol w:w="1900"/>
        <w:gridCol w:w="1400"/>
        <w:gridCol w:w="1840"/>
      </w:tblGrid>
      <w:tr>
        <w:trPr>
          <w:tblHeader w:val="true"/>
        </w:trPr>
        <w:tc>
          <w:tcPr>
            <w:tcW w:type="dxa" w:w="1760"/>
            <w:shd w:fill="E7E6E6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Condition</w:t>
            </w:r>
          </w:p>
        </w:tc>
        <w:tc>
          <w:tcPr>
            <w:tcW w:type="dxa" w:w="1380"/>
            <w:shd w:fill="E7E6E6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Total return</w:t>
            </w:r>
          </w:p>
        </w:tc>
        <w:tc>
          <w:tcPr>
            <w:tcW w:type="dxa" w:w="1080"/>
            <w:shd w:fill="E7E6E6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Sharpe</w:t>
            </w:r>
          </w:p>
        </w:tc>
        <w:tc>
          <w:tcPr>
            <w:tcW w:type="dxa" w:w="1900"/>
            <w:shd w:fill="E7E6E6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Maximum drawdown</w:t>
            </w:r>
          </w:p>
        </w:tc>
        <w:tc>
          <w:tcPr>
            <w:tcW w:type="dxa" w:w="1400"/>
            <w:shd w:fill="E7E6E6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Turnover</w:t>
            </w:r>
          </w:p>
        </w:tc>
        <w:tc>
          <w:tcPr>
            <w:tcW w:type="dxa" w:w="1840"/>
            <w:shd w:fill="E7E6E6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Total cost</w:t>
            </w:r>
          </w:p>
        </w:tc>
      </w:tr>
      <w:tr>
        <w:tc>
          <w:tcPr>
            <w:tcW w:type="dxa" w:w="176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Base FinRL</w:t>
            </w:r>
          </w:p>
        </w:tc>
        <w:tc>
          <w:tcPr>
            <w:tcW w:type="dxa" w:w="138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73.24%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0.559</w:t>
            </w:r>
          </w:p>
        </w:tc>
        <w:tc>
          <w:tcPr>
            <w:tcW w:type="dxa" w:w="190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-40.46%</w:t>
            </w:r>
          </w:p>
        </w:tc>
        <w:tc>
          <w:tcPr>
            <w:tcW w:type="dxa" w:w="140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26.43%</w:t>
            </w:r>
          </w:p>
        </w:tc>
        <w:tc>
          <w:tcPr>
            <w:tcW w:type="dxa" w:w="18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$1,375.38</w:t>
            </w:r>
          </w:p>
        </w:tc>
      </w:tr>
      <w:tr>
        <w:tc>
          <w:tcPr>
            <w:tcW w:type="dxa" w:w="176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ANN signal</w:t>
            </w:r>
          </w:p>
        </w:tc>
        <w:tc>
          <w:tcPr>
            <w:tcW w:type="dxa" w:w="138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104.66%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0.735</w:t>
            </w:r>
          </w:p>
        </w:tc>
        <w:tc>
          <w:tcPr>
            <w:tcW w:type="dxa" w:w="190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-27.55%</w:t>
            </w:r>
          </w:p>
        </w:tc>
        <w:tc>
          <w:tcPr>
            <w:tcW w:type="dxa" w:w="140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27.32%</w:t>
            </w:r>
          </w:p>
        </w:tc>
        <w:tc>
          <w:tcPr>
            <w:tcW w:type="dxa" w:w="18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$1,429.65</w:t>
            </w:r>
          </w:p>
        </w:tc>
      </w:tr>
      <w:tr>
        <w:tc>
          <w:tcPr>
            <w:tcW w:type="dxa" w:w="176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MPS signal</w:t>
            </w:r>
          </w:p>
        </w:tc>
        <w:tc>
          <w:tcPr>
            <w:tcW w:type="dxa" w:w="138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94.27%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0.694</w:t>
            </w:r>
          </w:p>
        </w:tc>
        <w:tc>
          <w:tcPr>
            <w:tcW w:type="dxa" w:w="190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-26.79%</w:t>
            </w:r>
          </w:p>
        </w:tc>
        <w:tc>
          <w:tcPr>
            <w:tcW w:type="dxa" w:w="140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24.14%</w:t>
            </w:r>
          </w:p>
        </w:tc>
        <w:tc>
          <w:tcPr>
            <w:tcW w:type="dxa" w:w="18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$1,253.61</w:t>
            </w:r>
          </w:p>
        </w:tc>
      </w:tr>
      <w:tr>
        <w:tc>
          <w:tcPr>
            <w:tcW w:type="dxa" w:w="176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Equal-weight</w:t>
            </w:r>
          </w:p>
        </w:tc>
        <w:tc>
          <w:tcPr>
            <w:tcW w:type="dxa" w:w="138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218.25%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1.115</w:t>
            </w:r>
          </w:p>
        </w:tc>
        <w:tc>
          <w:tcPr>
            <w:tcW w:type="dxa" w:w="190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-28.54%</w:t>
            </w:r>
          </w:p>
        </w:tc>
        <w:tc>
          <w:tcPr>
            <w:tcW w:type="dxa" w:w="140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20.06%</w:t>
            </w:r>
          </w:p>
        </w:tc>
        <w:tc>
          <w:tcPr>
            <w:tcW w:type="dxa" w:w="18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$1,000.00</w:t>
            </w:r>
          </w:p>
        </w:tc>
      </w:tr>
    </w:tbl>
    <w:p>
      <w:pPr>
        <w:spacing w:after="0" w:line="120" w:lineRule="auto"/>
      </w:pPr>
    </w:p>
    <w:p>
      <w:pPr/>
      <w:r>
        <w:rPr>
          <w:rFonts w:ascii="Times New Roman" w:hAnsi="Times New Roman"/>
          <w:b w:val="0"/>
          <w:i w:val="0"/>
          <w:color w:val="000000"/>
          <w:sz w:val="21"/>
        </w:rPr>
        <w:t>The PPO values are means across seeds 0, 1, and 2.</w:t>
      </w:r>
    </w:p>
    <w:p>
      <w:pPr>
        <w:pStyle w:val="Caption"/>
      </w:pPr>
      <w:r>
        <w:rPr>
          <w:rFonts w:ascii="Times New Roman" w:hAnsi="Times New Roman"/>
          <w:b w:val="0"/>
          <w:i/>
          <w:color w:val="000000"/>
          <w:sz w:val="19"/>
        </w:rPr>
        <w:t>Table 4. Paired PPO Sharpe ratios by random seed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500"/>
        <w:gridCol w:w="2100"/>
        <w:gridCol w:w="2100"/>
        <w:gridCol w:w="3660"/>
      </w:tblGrid>
      <w:tr>
        <w:trPr>
          <w:tblHeader w:val="true"/>
        </w:trPr>
        <w:tc>
          <w:tcPr>
            <w:tcW w:type="dxa" w:w="1500"/>
            <w:shd w:fill="E7E6E6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Seed</w:t>
            </w:r>
          </w:p>
        </w:tc>
        <w:tc>
          <w:tcPr>
            <w:tcW w:type="dxa" w:w="2100"/>
            <w:shd w:fill="E7E6E6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ANN signal</w:t>
            </w:r>
          </w:p>
        </w:tc>
        <w:tc>
          <w:tcPr>
            <w:tcW w:type="dxa" w:w="2100"/>
            <w:shd w:fill="E7E6E6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MPS signal</w:t>
            </w:r>
          </w:p>
        </w:tc>
        <w:tc>
          <w:tcPr>
            <w:tcW w:type="dxa" w:w="3660"/>
            <w:shd w:fill="E7E6E6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MPS minus ANN</w:t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</w:t>
            </w:r>
          </w:p>
        </w:tc>
        <w:tc>
          <w:tcPr>
            <w:tcW w:type="dxa" w:w="210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0.790</w:t>
            </w:r>
          </w:p>
        </w:tc>
        <w:tc>
          <w:tcPr>
            <w:tcW w:type="dxa" w:w="210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0.759</w:t>
            </w:r>
          </w:p>
        </w:tc>
        <w:tc>
          <w:tcPr>
            <w:tcW w:type="dxa" w:w="366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-0.032</w:t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210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0.812</w:t>
            </w:r>
          </w:p>
        </w:tc>
        <w:tc>
          <w:tcPr>
            <w:tcW w:type="dxa" w:w="210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0.726</w:t>
            </w:r>
          </w:p>
        </w:tc>
        <w:tc>
          <w:tcPr>
            <w:tcW w:type="dxa" w:w="366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-0.086</w:t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2</w:t>
            </w:r>
          </w:p>
        </w:tc>
        <w:tc>
          <w:tcPr>
            <w:tcW w:type="dxa" w:w="210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0.602</w:t>
            </w:r>
          </w:p>
        </w:tc>
        <w:tc>
          <w:tcPr>
            <w:tcW w:type="dxa" w:w="210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0.596</w:t>
            </w:r>
          </w:p>
        </w:tc>
        <w:tc>
          <w:tcPr>
            <w:tcW w:type="dxa" w:w="366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-0.006</w:t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Mean</w:t>
            </w:r>
          </w:p>
        </w:tc>
        <w:tc>
          <w:tcPr>
            <w:tcW w:type="dxa" w:w="210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0.735</w:t>
            </w:r>
          </w:p>
        </w:tc>
        <w:tc>
          <w:tcPr>
            <w:tcW w:type="dxa" w:w="210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0.694</w:t>
            </w:r>
          </w:p>
        </w:tc>
        <w:tc>
          <w:tcPr>
            <w:tcW w:type="dxa" w:w="366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-0.041</w:t>
            </w:r>
          </w:p>
        </w:tc>
      </w:tr>
    </w:tbl>
    <w:p>
      <w:pPr>
        <w:spacing w:after="0" w:line="120" w:lineRule="auto"/>
      </w:pPr>
    </w:p>
    <w:p>
      <w:pPr/>
      <w:r>
        <w:rPr>
          <w:rFonts w:ascii="Times New Roman" w:hAnsi="Times New Roman"/>
          <w:b w:val="0"/>
          <w:i w:val="0"/>
          <w:color w:val="000000"/>
          <w:sz w:val="21"/>
        </w:rPr>
        <w:t>ANN produced a higher Sharpe in all three paired runs. Because only three seeds were tested, this is descriptive evidence rather than a high-powered significance result. MPS traded less and had a slightly smaller mean drawdown, but it also produced lower return and risk-adjusted performance.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3067396"/>
            <wp:docPr id="1" name="Picture 1" descr="Mean out-of-sample equity curves from 2019 through 2023 for Base FinRL, ANN signal, MPS signal, and equal-weight buy-and-hold. The equal-weight benchmark finishes highest, followed by ANN, MPS, and Base FinRL." title="Fig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ity_curv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067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Times New Roman" w:hAnsi="Times New Roman"/>
          <w:b w:val="0"/>
          <w:i/>
          <w:color w:val="000000"/>
          <w:sz w:val="19"/>
        </w:rPr>
        <w:t>Figure 1. Mean out-of-sample equity curves. Shaded regions show variation across PPO seeds.</w:t>
      </w:r>
    </w:p>
    <w:p>
      <w:pPr>
        <w:pStyle w:val="Heading2"/>
      </w:pPr>
      <w:r>
        <w:t>3.3 Uncertainty and performance across years</w:t>
      </w:r>
    </w:p>
    <w:p>
      <w:pPr/>
      <w:r>
        <w:rPr>
          <w:rFonts w:ascii="Times New Roman" w:hAnsi="Times New Roman"/>
          <w:b w:val="0"/>
          <w:i w:val="0"/>
          <w:color w:val="000000"/>
          <w:sz w:val="21"/>
        </w:rPr>
        <w:t>Daily returns were averaged across seeds and evaluated with a moving 20-trading-day block bootstrap using 2,000 samples. The annualized return difference, MPS minus ANN, was -0.92 percentage points. The 95% interval was -4.63 to +2.63 percentage points, and the bootstrap probability that MPS exceeded ANN was 31.05%. Because the interval includes zero, the experiment does not establish a reliable difference between the two signal agents. This interval describes time-series uncertainty conditional on the three trained seed-mean policies; it does not replace inference across a larger set of independently trained PPO seeds.</w:t>
      </w:r>
    </w:p>
    <w:p>
      <w:pPr>
        <w:pStyle w:val="Caption"/>
      </w:pPr>
      <w:r>
        <w:rPr>
          <w:rFonts w:ascii="Times New Roman" w:hAnsi="Times New Roman"/>
          <w:b w:val="0"/>
          <w:i/>
          <w:color w:val="000000"/>
          <w:sz w:val="19"/>
        </w:rPr>
        <w:t>Table 5. Mean calendar-year returns across PPO seeds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500"/>
        <w:gridCol w:w="2100"/>
        <w:gridCol w:w="2100"/>
        <w:gridCol w:w="3660"/>
      </w:tblGrid>
      <w:tr>
        <w:trPr>
          <w:tblHeader w:val="true"/>
        </w:trPr>
        <w:tc>
          <w:tcPr>
            <w:tcW w:type="dxa" w:w="1500"/>
            <w:shd w:fill="E7E6E6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Year</w:t>
            </w:r>
          </w:p>
        </w:tc>
        <w:tc>
          <w:tcPr>
            <w:tcW w:type="dxa" w:w="2100"/>
            <w:shd w:fill="E7E6E6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ANN signal</w:t>
            </w:r>
          </w:p>
        </w:tc>
        <w:tc>
          <w:tcPr>
            <w:tcW w:type="dxa" w:w="2100"/>
            <w:shd w:fill="E7E6E6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MPS signal</w:t>
            </w:r>
          </w:p>
        </w:tc>
        <w:tc>
          <w:tcPr>
            <w:tcW w:type="dxa" w:w="3660"/>
            <w:shd w:fill="E7E6E6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MPS minus ANN</w:t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2019</w:t>
            </w:r>
          </w:p>
        </w:tc>
        <w:tc>
          <w:tcPr>
            <w:tcW w:type="dxa" w:w="210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15.69%</w:t>
            </w:r>
          </w:p>
        </w:tc>
        <w:tc>
          <w:tcPr>
            <w:tcW w:type="dxa" w:w="210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14.85%</w:t>
            </w:r>
          </w:p>
        </w:tc>
        <w:tc>
          <w:tcPr>
            <w:tcW w:type="dxa" w:w="366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-0.84 pp</w:t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2020</w:t>
            </w:r>
          </w:p>
        </w:tc>
        <w:tc>
          <w:tcPr>
            <w:tcW w:type="dxa" w:w="210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25.85%</w:t>
            </w:r>
          </w:p>
        </w:tc>
        <w:tc>
          <w:tcPr>
            <w:tcW w:type="dxa" w:w="210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26.28%</w:t>
            </w:r>
          </w:p>
        </w:tc>
        <w:tc>
          <w:tcPr>
            <w:tcW w:type="dxa" w:w="366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+0.43 pp</w:t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2021</w:t>
            </w:r>
          </w:p>
        </w:tc>
        <w:tc>
          <w:tcPr>
            <w:tcW w:type="dxa" w:w="210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20.48%</w:t>
            </w:r>
          </w:p>
        </w:tc>
        <w:tc>
          <w:tcPr>
            <w:tcW w:type="dxa" w:w="210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18.70%</w:t>
            </w:r>
          </w:p>
        </w:tc>
        <w:tc>
          <w:tcPr>
            <w:tcW w:type="dxa" w:w="366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-1.78 pp</w:t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2022</w:t>
            </w:r>
          </w:p>
        </w:tc>
        <w:tc>
          <w:tcPr>
            <w:tcW w:type="dxa" w:w="210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-9.24%</w:t>
            </w:r>
          </w:p>
        </w:tc>
        <w:tc>
          <w:tcPr>
            <w:tcW w:type="dxa" w:w="210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-15.79%</w:t>
            </w:r>
          </w:p>
        </w:tc>
        <w:tc>
          <w:tcPr>
            <w:tcW w:type="dxa" w:w="366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-6.55 pp</w:t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2023</w:t>
            </w:r>
          </w:p>
        </w:tc>
        <w:tc>
          <w:tcPr>
            <w:tcW w:type="dxa" w:w="210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30.72%</w:t>
            </w:r>
          </w:p>
        </w:tc>
        <w:tc>
          <w:tcPr>
            <w:tcW w:type="dxa" w:w="210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34.55%</w:t>
            </w:r>
          </w:p>
        </w:tc>
        <w:tc>
          <w:tcPr>
            <w:tcW w:type="dxa" w:w="366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+3.83 pp</w:t>
            </w:r>
          </w:p>
        </w:tc>
      </w:tr>
    </w:tbl>
    <w:p>
      <w:pPr>
        <w:spacing w:after="0" w:line="120" w:lineRule="auto"/>
      </w:pPr>
    </w:p>
    <w:p>
      <w:pPr/>
      <w:r>
        <w:rPr>
          <w:rFonts w:ascii="Times New Roman" w:hAnsi="Times New Roman"/>
          <w:b w:val="0"/>
          <w:i w:val="0"/>
          <w:color w:val="000000"/>
          <w:sz w:val="21"/>
        </w:rPr>
        <w:t>MPS outperformed ANN in 2020 and 2023, while ANN outperformed MPS in 2019, 2021, and 2022. Neither signal agent beat the equal-weight benchmark over the full test period.</w:t>
      </w:r>
    </w:p>
    <w:p>
      <w:pPr>
        <w:pStyle w:val="Heading1"/>
      </w:pPr>
      <w:r>
        <w:t>4. Discussion</w:t>
      </w:r>
    </w:p>
    <w:p>
      <w:pPr/>
      <w:r>
        <w:rPr>
          <w:rFonts w:ascii="Times New Roman" w:hAnsi="Times New Roman"/>
          <w:b w:val="0"/>
          <w:i w:val="0"/>
          <w:color w:val="000000"/>
          <w:sz w:val="21"/>
        </w:rPr>
        <w:t>Under this dataset, time split, parameter budget, PPO configuration, and set of random seeds, the MPS signal did not improve trading performance relative to the ANN signal.</w:t>
      </w:r>
    </w:p>
    <w:p>
      <w:pPr/>
      <w:r>
        <w:rPr>
          <w:rFonts w:ascii="Times New Roman" w:hAnsi="Times New Roman"/>
          <w:b w:val="0"/>
          <w:i w:val="0"/>
          <w:color w:val="000000"/>
          <w:sz w:val="21"/>
        </w:rPr>
        <w:t>The prediction and trading results should be considered separately. The MPS had slightly better MSE and directional accuracy, but the ANN agent produced a higher Sharpe ratio in each paired PPO run. A trading agent responds to a sequence of noisy predictions together with its portfolio state, costs, and earlier actions; a small improvement in one-step prediction is therefore not enough by itself to guarantee a better policy.</w:t>
      </w:r>
    </w:p>
    <w:p>
      <w:pPr/>
      <w:r>
        <w:rPr>
          <w:rFonts w:ascii="Times New Roman" w:hAnsi="Times New Roman"/>
          <w:b w:val="0"/>
          <w:i w:val="0"/>
          <w:color w:val="000000"/>
          <w:sz w:val="21"/>
        </w:rPr>
        <w:t>None of the PPO agents beat the equal-weight buy-and-hold portfolio over this Nasdaq-heavy test period. The study therefore does not claim market-beating performance.</w:t>
      </w:r>
    </w:p>
    <w:p>
      <w:pPr>
        <w:pStyle w:val="Heading1"/>
      </w:pPr>
      <w:r>
        <w:t>5. Limitations and Next Step</w:t>
      </w:r>
    </w:p>
    <w:p>
      <w:pPr/>
      <w:r>
        <w:rPr>
          <w:rFonts w:ascii="Times New Roman" w:hAnsi="Times New Roman"/>
          <w:b w:val="0"/>
          <w:i w:val="0"/>
          <w:color w:val="000000"/>
          <w:sz w:val="21"/>
        </w:rPr>
        <w:t>The study used a single historical split, three PPO seeds, one MPS bond dimension, and a 5,000-step PPO training budget. The 15-stock universe is small and not sector-neutral. Trading activity also became very low later in the test period, suggesting that some policies settled into nearly static positions.</w:t>
      </w:r>
    </w:p>
    <w:p>
      <w:pPr/>
      <w:r>
        <w:rPr>
          <w:rFonts w:ascii="Times New Roman" w:hAnsi="Times New Roman"/>
          <w:b w:val="0"/>
          <w:i w:val="0"/>
          <w:color w:val="000000"/>
          <w:sz w:val="21"/>
        </w:rPr>
        <w:t>Before testing a tensor-network policy architecture, I would strengthen this baseline with 10-20 PPO seeds, a sensitivity sweep over MPS bond dimension, a longer PPO training budget, and rolling or expanding-window retraining. These tests would show whether the current result persists across policy initializations, MPS capacity choices, and market periods. A policy-level comparison would then be easier to interpret.</w:t>
      </w:r>
    </w:p>
    <w:p>
      <w:pPr>
        <w:pStyle w:val="Heading1"/>
      </w:pPr>
      <w:r>
        <w:t>6. Reproducibility</w:t>
      </w:r>
    </w:p>
    <w:p>
      <w:pPr/>
      <w:r>
        <w:rPr>
          <w:rFonts w:ascii="Times New Roman" w:hAnsi="Times New Roman"/>
          <w:b w:val="0"/>
          <w:i w:val="0"/>
          <w:color w:val="000000"/>
          <w:sz w:val="21"/>
        </w:rPr>
        <w:t>The repository contains the experiment pipeline, integrity tests, daily equity curves, per-seed metrics, calendar-year results, bootstrap output, and a run manifest with the dataset checksum, FinRL commit, configuration, and known limitations.</w:t>
      </w:r>
    </w:p>
    <w:p>
      <w:pPr/>
      <w:r>
        <w:rPr>
          <w:rFonts w:ascii="Times New Roman" w:hAnsi="Times New Roman"/>
          <w:b w:val="0"/>
          <w:i w:val="0"/>
          <w:color w:val="000000"/>
          <w:sz w:val="21"/>
        </w:rPr>
        <w:t>The exact Python package versions are recorded in requirements-lock.txt. The reference pipeline forces PPO execution on CPU and uses one PyTorch thread. Wall-clock duration was not recorded for the saved run and is therefore not reported.</w:t>
      </w:r>
    </w:p>
    <w:p>
      <w:pPr>
        <w:spacing w:after="140"/>
      </w:pPr>
      <w:r>
        <w:rPr>
          <w:rFonts w:ascii="Times New Roman" w:hAnsi="Times New Roman"/>
          <w:b/>
          <w:i w:val="0"/>
          <w:color w:val="000000"/>
          <w:sz w:val="21"/>
        </w:rPr>
        <w:t xml:space="preserve">Repository: </w:t>
      </w:r>
      <w:r>
        <w:rPr>
          <w:rFonts w:ascii="Times New Roman" w:hAnsi="Times New Roman"/>
          <w:b w:val="0"/>
          <w:i w:val="0"/>
          <w:color w:val="000000"/>
          <w:sz w:val="21"/>
        </w:rPr>
        <w:t>https://github.com/Aarav-Nagar/QINN-FinRL-Evaluation</w:t>
      </w:r>
    </w:p>
    <w:p>
      <w:pPr>
        <w:pStyle w:val="Heading1"/>
      </w:pPr>
      <w:r>
        <w:t>References</w:t>
      </w:r>
    </w:p>
    <w:p>
      <w:pPr>
        <w:spacing w:after="60" w:line="240" w:lineRule="auto"/>
        <w:ind w:left="360" w:hanging="360"/>
      </w:pPr>
      <w:r>
        <w:rPr>
          <w:rFonts w:ascii="Times New Roman" w:hAnsi="Times New Roman"/>
          <w:b w:val="0"/>
          <w:i w:val="0"/>
          <w:color w:val="000000"/>
          <w:sz w:val="18"/>
        </w:rPr>
        <w:t>1. Biamonte, J., et al. “Quantum Machine Learning.” Nature, vol. 549, 2017, pp. 195-202.</w:t>
      </w:r>
    </w:p>
    <w:p>
      <w:pPr>
        <w:spacing w:after="60" w:line="240" w:lineRule="auto"/>
        <w:ind w:left="360" w:hanging="360"/>
      </w:pPr>
      <w:r>
        <w:rPr>
          <w:rFonts w:ascii="Times New Roman" w:hAnsi="Times New Roman"/>
          <w:b w:val="0"/>
          <w:i w:val="0"/>
          <w:color w:val="000000"/>
          <w:sz w:val="18"/>
        </w:rPr>
        <w:t>2. Liu, X.-Y., and Y. Fang. “Quantum Tensor Networks for Variational Reinforcement Learning.” NeurIPS 2020 Quantum Tensor Networks in Machine Learning Workshop.</w:t>
      </w:r>
    </w:p>
    <w:p>
      <w:pPr>
        <w:spacing w:after="60" w:line="240" w:lineRule="auto"/>
        <w:ind w:left="360" w:hanging="360"/>
      </w:pPr>
      <w:r>
        <w:rPr>
          <w:rFonts w:ascii="Times New Roman" w:hAnsi="Times New Roman"/>
          <w:b w:val="0"/>
          <w:i w:val="0"/>
          <w:color w:val="000000"/>
          <w:sz w:val="18"/>
        </w:rPr>
        <w:t>3. NeurIPS 2020 Quantum Tensor Networks in Machine Learning Workshop. https://tensorworkshop.github.io/NeurIPS2020/accepted_papers.html</w:t>
      </w:r>
    </w:p>
    <w:p>
      <w:pPr>
        <w:spacing w:after="60" w:line="240" w:lineRule="auto"/>
        <w:ind w:left="360" w:hanging="360"/>
      </w:pPr>
      <w:r>
        <w:rPr>
          <w:rFonts w:ascii="Times New Roman" w:hAnsi="Times New Roman"/>
          <w:b w:val="0"/>
          <w:i w:val="0"/>
          <w:color w:val="000000"/>
          <w:sz w:val="18"/>
        </w:rPr>
        <w:t>4. NeurIPS 2021 Quantum Tensor Networks in Machine Learning Workshop. https://tensorworkshop.github.io/NeurIPS2021/accepted_papers.html</w:t>
      </w:r>
    </w:p>
    <w:p>
      <w:pPr>
        <w:spacing w:after="60" w:line="240" w:lineRule="auto"/>
        <w:ind w:left="360" w:hanging="360"/>
      </w:pPr>
      <w:r>
        <w:rPr>
          <w:rFonts w:ascii="Times New Roman" w:hAnsi="Times New Roman"/>
          <w:b w:val="0"/>
          <w:i w:val="0"/>
          <w:color w:val="000000"/>
          <w:sz w:val="18"/>
        </w:rPr>
        <w:t>5. FinRL Contest 2025. “Task 1: FinRL-DeepSeek for Stock Trading.” https://finrl-contest.readthedocs.io/en/latest/finrl2025/task1.html</w:t>
      </w:r>
    </w:p>
    <w:p>
      <w:pPr>
        <w:spacing w:after="60" w:line="240" w:lineRule="auto"/>
        <w:ind w:left="360" w:hanging="360"/>
      </w:pPr>
      <w:r>
        <w:rPr>
          <w:rFonts w:ascii="Times New Roman" w:hAnsi="Times New Roman"/>
          <w:b w:val="0"/>
          <w:i w:val="0"/>
          <w:color w:val="000000"/>
          <w:sz w:val="18"/>
        </w:rPr>
        <w:t>6. AI4Finance Foundation. FinRL. Commit 2334a5fe6d30629157f13c3b0319e1637e15e123.</w:t>
      </w:r>
    </w:p>
    <w:sectPr w:rsidR="00FC693F" w:rsidRPr="0006063C" w:rsidSect="00034616">
      <w:footerReference w:type="default" r:id="rId9"/>
      <w:pgSz w:w="12240" w:h="15840"/>
      <w:pgMar w:top="1296" w:right="1440" w:bottom="1224" w:left="1440" w:header="504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b w:val="0"/>
        <w:i w:val="0"/>
        <w:color w:val="000000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0" w:line="276" w:lineRule="auto"/>
      <w:jc w:val="both"/>
    </w:pPr>
    <w:rPr>
      <w:rFonts w:ascii="Times New Roman" w:hAnsi="Times New Roman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40" w:lineRule="auto" w:before="80" w:after="60"/>
    </w:pPr>
    <w:rPr>
      <w:rFonts w:ascii="Times New Roman" w:hAnsi="Times New Roman"/>
      <w:b/>
      <w:bCs/>
      <w:i/>
      <w:color w:val="000000"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Evaluating ANN and Matrix-Product-State Signals in a FinRL PPO Agent</dc:title>
  <dc:subject>Technical research report</dc:subject>
  <dc:creator>Aarav Nagar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