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4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Evaluating ANN and Matrix-Product-State Signals</w:t>
        <w:br/>
        <w:t>in a FinRL PPO Agent</w:t>
      </w:r>
    </w:p>
    <w:p>
      <w:pPr>
        <w:spacing w:after="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Aarav Nagar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color w:val="000000"/>
          <w:sz w:val="21"/>
        </w:rPr>
        <w:t>July 2026</w:t>
      </w:r>
    </w:p>
    <w:p>
      <w:pPr>
        <w:spacing w:after="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Abstract</w:t>
      </w:r>
    </w:p>
    <w:p>
      <w:pPr>
        <w:spacing w:after="180" w:line="252" w:lineRule="auto"/>
        <w:ind w:left="432" w:right="432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This study examines whether a quantum-inspired matrix-product-state (MPS) model provides a more useful trading signal than a conventional artificial neural network (ANN). The two models were matched in parameter count and trained on the same inputs and next-day return target. Their predictions were added separately to the state of a FinRL Proximal Policy Optimization (PPO) agent. The MPS produced slightly lower prediction error and higher directional accuracy, but the ANN-based agent achieved a higher mean out-of-sample Sharpe ratio (0.735 compared with 0.694). MPS trailed ANN in all three paired seeds, and a block-bootstrap confidence interval for the annualized return difference included zero. Under this setup, the MPS signal did not improve trading performance.</w:t>
      </w:r>
    </w:p>
    <w:p>
      <w:pPr>
        <w:pStyle w:val="Heading1"/>
      </w:pPr>
      <w:r>
        <w:t>1. Research Question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My earlier project compared quantum-inspired neural networks with hybrid ensemble ANNs for stock-market prediction. One question remained: if one model predicts returns slightly better, will a trading agent actually make better decisions when transaction costs and changing market conditions are included?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Following Professor Xiao-Yang Liu's suggestion, I tested the prediction models as state signals inside a FinRL benchmark. The experiment asks whether an MPS signal improves out-of-sample trading performance when the data, parameter count, PPO configuration, costs, and random seeds are held constant.</w:t>
      </w:r>
    </w:p>
    <w:p>
      <w:pPr>
        <w:pStyle w:val="Heading1"/>
      </w:pPr>
      <w:r>
        <w:t>2. Experimental Design</w:t>
      </w:r>
    </w:p>
    <w:p>
      <w:pPr>
        <w:pStyle w:val="Heading2"/>
      </w:pPr>
      <w:r>
        <w:t>2.1 Data and time split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experiment used 15 stocks from the processed Nasdaq dataset associated with the FinRL Contest 2025 workflow: AAPL, AMD, AMGN, AMZN, COST, FANG, GILD, HON, INTC, MSFT, NFLX, NVDA, PEP, SBUX, and XEL.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ANN and MPS models were fit on 2013-2017 data and validated on 2018. PPO was trained on 2013-2018 and evaluated out of sample on 2019-2023. No test-period return target was used to fit either prediction model or PPO policy. The data were checksum-pinned, and the environment used FinRL commit 2334a5fe6d30629157f13c3b0319e1637e15e123.</w:t>
      </w:r>
    </w:p>
    <w:p>
      <w:pPr>
        <w:pStyle w:val="Heading2"/>
      </w:pPr>
      <w:r>
        <w:t>2.2 Prediction models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Both models used the same 13 market features and predicted the same standardized next-day return. The ANN used fully connected layers of 13-16-8-1. The MPS used a trigonometric local feature map and bond dimension 4. Each model contained exactly 369 trainable parameters. The MPS was simulated on classical hardware; no qubits were used.</w:t>
      </w:r>
    </w:p>
    <w:p>
      <w:pPr>
        <w:pStyle w:val="Heading2"/>
      </w:pPr>
      <w:r>
        <w:t>2.3 PPO state construction</w:t>
      </w:r>
    </w:p>
    <w:p>
      <w:pPr>
        <w:pStyle w:val="Caption"/>
      </w:pPr>
      <w:r>
        <w:rPr>
          <w:rFonts w:ascii="Times New Roman" w:hAnsi="Times New Roman"/>
          <w:b w:val="0"/>
          <w:i/>
          <w:color w:val="000000"/>
          <w:sz w:val="19"/>
        </w:rPr>
        <w:t>Table 1. State construction for the three PPO conditions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900"/>
        <w:gridCol w:w="6260"/>
        <w:gridCol w:w="120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Condition</w:t>
            </w:r>
          </w:p>
        </w:tc>
        <w:tc>
          <w:tcPr>
            <w:tcW w:type="dxa" w:w="626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State supplied to PPO</w:t>
            </w:r>
          </w:p>
        </w:tc>
        <w:tc>
          <w:tcPr>
            <w:tcW w:type="dxa" w:w="120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Dimension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Base FinRL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Cash, prices, holdings, and 10 indicators per stock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181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ANN signal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Base state plus one frozen ANN prediction per stock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196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MPS signal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Base state plus one frozen MPS prediction per stock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196</w:t>
            </w:r>
          </w:p>
        </w:tc>
      </w:tr>
    </w:tbl>
    <w:p>
      <w:pPr>
        <w:spacing w:after="0" w:line="120" w:lineRule="auto"/>
      </w:pP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base state contained one cash value, 15 prices, 15 holdings, and 10 indicators for each stock. For the signal conditions, a 15-value prediction vector was appended as one additional indicator block.</w:t>
      </w:r>
    </w:p>
    <w:p>
      <w:pPr>
        <w:spacing w:before="60"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Base: 1 + 15 + 15 + (10 x 15) = 181 values</w:t>
      </w:r>
    </w:p>
    <w:p>
      <w:pPr>
        <w:spacing w:before="60"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Signal: 1 + 15 + 15 + (11 x 15) = 196 values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prediction model was frozen during PPO training, so the ANN and MPS agents differed only in the final 15 state values.</w:t>
      </w:r>
    </w:p>
    <w:p>
      <w:pPr>
        <w:pStyle w:val="Heading2"/>
      </w:pPr>
      <w:r>
        <w:t>2.4 Trading setup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Each PPO condition used the same two-layer 64-unit policy and value network, 5,000 environment steps, three optimization epochs per update, and seeds 0, 1, and 2. The starting portfolio was $1,000,000. A 0.10% transaction cost was applied to every executed buy and sell. Daily turnover was defined as gross executed notional divided by beginning-of-step portfolio value.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backtest did not model bid-ask spread, slippage, market impact, taxes, liquidity limits, or borrow costs.</w:t>
      </w:r>
    </w:p>
    <w:p>
      <w:pPr>
        <w:pStyle w:val="Heading1"/>
      </w:pPr>
      <w:r>
        <w:t>3. Results</w:t>
      </w:r>
    </w:p>
    <w:p>
      <w:pPr>
        <w:pStyle w:val="Heading2"/>
      </w:pPr>
      <w:r>
        <w:t>3.1 Prediction results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MPS achieved slightly lower mean-squared error and slightly higher directional accuracy. Its information coefficient was slightly negative, however, so the prediction evidence was mixed.</w:t>
      </w:r>
    </w:p>
    <w:p>
      <w:pPr>
        <w:pStyle w:val="Caption"/>
      </w:pPr>
      <w:r>
        <w:rPr>
          <w:rFonts w:ascii="Times New Roman" w:hAnsi="Times New Roman"/>
          <w:b w:val="0"/>
          <w:i/>
          <w:color w:val="000000"/>
          <w:sz w:val="19"/>
        </w:rPr>
        <w:t>Table 2. Out-of-sample prediction results, 2019-2023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150"/>
        <w:gridCol w:w="1400"/>
        <w:gridCol w:w="1500"/>
        <w:gridCol w:w="2700"/>
        <w:gridCol w:w="2610"/>
      </w:tblGrid>
      <w:tr>
        <w:trPr>
          <w:tblHeader w:val="true"/>
        </w:trPr>
        <w:tc>
          <w:tcPr>
            <w:tcW w:type="dxa" w:w="115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140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Parameters</w:t>
            </w:r>
          </w:p>
        </w:tc>
        <w:tc>
          <w:tcPr>
            <w:tcW w:type="dxa" w:w="150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MSE</w:t>
            </w:r>
          </w:p>
        </w:tc>
        <w:tc>
          <w:tcPr>
            <w:tcW w:type="dxa" w:w="270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Directional accuracy</w:t>
            </w:r>
          </w:p>
        </w:tc>
        <w:tc>
          <w:tcPr>
            <w:tcW w:type="dxa" w:w="261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Information coefficient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369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1.5101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50.25%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+0.0119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MPS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369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1.5034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51.06%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-0.0060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3.2 Trading results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small improvement in two prediction metrics did not carry over to the PPO backtest.</w:t>
      </w:r>
    </w:p>
    <w:p>
      <w:pPr>
        <w:pStyle w:val="Caption"/>
      </w:pPr>
      <w:r>
        <w:rPr>
          <w:rFonts w:ascii="Times New Roman" w:hAnsi="Times New Roman"/>
          <w:b w:val="0"/>
          <w:i/>
          <w:color w:val="000000"/>
          <w:sz w:val="19"/>
        </w:rPr>
        <w:t>Table 3. Mean out-of-sample portfolio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60"/>
        <w:gridCol w:w="1380"/>
        <w:gridCol w:w="1080"/>
        <w:gridCol w:w="1900"/>
        <w:gridCol w:w="1400"/>
        <w:gridCol w:w="1840"/>
      </w:tblGrid>
      <w:tr>
        <w:trPr>
          <w:tblHeader w:val="true"/>
        </w:trPr>
        <w:tc>
          <w:tcPr>
            <w:tcW w:type="dxa" w:w="176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Condition</w:t>
            </w:r>
          </w:p>
        </w:tc>
        <w:tc>
          <w:tcPr>
            <w:tcW w:type="dxa" w:w="138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Total return</w:t>
            </w:r>
          </w:p>
        </w:tc>
        <w:tc>
          <w:tcPr>
            <w:tcW w:type="dxa" w:w="108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Sharpe</w:t>
            </w:r>
          </w:p>
        </w:tc>
        <w:tc>
          <w:tcPr>
            <w:tcW w:type="dxa" w:w="190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Maximum drawdown</w:t>
            </w:r>
          </w:p>
        </w:tc>
        <w:tc>
          <w:tcPr>
            <w:tcW w:type="dxa" w:w="140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Turnover</w:t>
            </w:r>
          </w:p>
        </w:tc>
        <w:tc>
          <w:tcPr>
            <w:tcW w:type="dxa" w:w="1840"/>
            <w:shd w:fill="E7E6E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Total cost</w:t>
            </w:r>
          </w:p>
        </w:tc>
      </w:tr>
      <w:tr>
        <w:tc>
          <w:tcPr>
            <w:tcW w:type="dxa" w:w="17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Base FinRL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73.24%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0.559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-40.46%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26.43%</w:t>
            </w:r>
          </w:p>
        </w:tc>
        <w:tc>
          <w:tcPr>
            <w:tcW w:type="dxa" w:w="184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$1,375.38</w:t>
            </w:r>
          </w:p>
        </w:tc>
      </w:tr>
      <w:tr>
        <w:tc>
          <w:tcPr>
            <w:tcW w:type="dxa" w:w="17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ANN signal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104.66%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0.735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-27.55%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27.32%</w:t>
            </w:r>
          </w:p>
        </w:tc>
        <w:tc>
          <w:tcPr>
            <w:tcW w:type="dxa" w:w="184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$1,429.65</w:t>
            </w:r>
          </w:p>
        </w:tc>
      </w:tr>
      <w:tr>
        <w:tc>
          <w:tcPr>
            <w:tcW w:type="dxa" w:w="17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MPS signal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94.27%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0.694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-26.79%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24.14%</w:t>
            </w:r>
          </w:p>
        </w:tc>
        <w:tc>
          <w:tcPr>
            <w:tcW w:type="dxa" w:w="184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$1,253.61</w:t>
            </w:r>
          </w:p>
        </w:tc>
      </w:tr>
      <w:tr>
        <w:tc>
          <w:tcPr>
            <w:tcW w:type="dxa" w:w="17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Equal-weight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218.25%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1.115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-28.54%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20.06%</w:t>
            </w:r>
          </w:p>
        </w:tc>
        <w:tc>
          <w:tcPr>
            <w:tcW w:type="dxa" w:w="184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$1,000.00</w:t>
            </w:r>
          </w:p>
        </w:tc>
      </w:tr>
    </w:tbl>
    <w:p>
      <w:pPr>
        <w:spacing w:after="0" w:line="120" w:lineRule="auto"/>
      </w:pP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PPO values are means across three seeds. MPS produced a lower Sharpe than ANN in every paired run: 0.759 compared with 0.790 for seed 0, 0.726 compared with 0.812 for seed 1, and 0.596 compared with 0.602 for seed 2. MPS traded less and had a slightly smaller mean drawdown, but it also produced lower return and risk-adjusted performance.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7396"/>
            <wp:docPr id="1" name="Picture 1" descr="Mean out-of-sample equity curves from 2019 through 2023 for Base FinRL, ANN signal, MPS signal, and equal-weight buy-and-hold. The equal-weight benchmark finishes highest, followed by ANN, MPS, and Base FinRL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Figure 1. Mean out-of-sample equity curves. Shaded regions show variation across PPO seeds.</w:t>
      </w:r>
    </w:p>
    <w:p>
      <w:pPr>
        <w:pStyle w:val="Heading2"/>
      </w:pPr>
      <w:r>
        <w:t>3.3 Uncertainty and performance across years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Daily returns were averaged across seeds and evaluated with a moving 20-trading-day block bootstrap using 2,000 samples. The annualized return difference, MPS minus ANN, was -0.92 percentage points. The 95% interval was -4.63 to +2.63 percentage points, and the bootstrap probability that MPS exceeded ANN was 31.05%. Because the interval includes zero, the experiment does not establish a reliable difference between the two signal agents.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results also varied across calendar years. MPS outperformed ANN in 2020 and 2023, while ANN outperformed MPS in 2019, 2021, and 2022. Neither signal agent beat the equal-weight benchmark over the full test period.</w:t>
      </w:r>
    </w:p>
    <w:p>
      <w:pPr>
        <w:pStyle w:val="Heading1"/>
      </w:pPr>
      <w:r>
        <w:t>4. Discussion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Under this dataset, time split, parameter budget, PPO configuration, and set of random seeds, the MPS signal did not improve trading performance relative to the ANN signal.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prediction and trading results should be considered separately. The MPS had slightly better MSE and directional accuracy, but the ANN agent produced a higher Sharpe ratio in each paired PPO run. A trading agent responds to a sequence of noisy predictions together with its portfolio state, costs, and earlier actions; a small improvement in one-step prediction is therefore not enough by itself to guarantee a better policy.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None of the PPO agents beat the equal-weight buy-and-hold portfolio over this Nasdaq-heavy test period. The study therefore does not claim market-beating performance.</w:t>
      </w:r>
    </w:p>
    <w:p>
      <w:pPr>
        <w:pStyle w:val="Heading1"/>
      </w:pPr>
      <w:r>
        <w:t>5. Limitations and Next Step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study used a single historical split, three PPO seeds, one MPS bond dimension, and a 5,000-step PPO training budget. The 15-stock universe is small and not sector-neutral. Trading activity also became very low later in the test period, suggesting that some policies settled into nearly static positions.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Before testing a tensor-network policy architecture, I would strengthen this baseline with more random seeds, a longer PPO training budget, and rolling or expanding-window retraining. A policy-level comparison would then be easier to interpret.</w:t>
      </w:r>
    </w:p>
    <w:p>
      <w:pPr>
        <w:pStyle w:val="Heading1"/>
      </w:pPr>
      <w:r>
        <w:t>6. Reproducibility</w:t>
      </w:r>
    </w:p>
    <w:p>
      <w:pPr/>
      <w:r>
        <w:rPr>
          <w:rFonts w:ascii="Times New Roman" w:hAnsi="Times New Roman"/>
          <w:b w:val="0"/>
          <w:i w:val="0"/>
          <w:color w:val="000000"/>
          <w:sz w:val="21"/>
        </w:rPr>
        <w:t>The repository contains the experiment pipeline, integrity tests, daily equity curves, per-seed metrics, calendar-year results, bootstrap output, and a run manifest with the dataset checksum, FinRL commit, configuration, and known limitations.</w:t>
      </w:r>
    </w:p>
    <w:p>
      <w:pPr>
        <w:spacing w:after="140"/>
      </w:pPr>
      <w:r>
        <w:rPr>
          <w:rFonts w:ascii="Times New Roman" w:hAnsi="Times New Roman"/>
          <w:b/>
          <w:i w:val="0"/>
          <w:color w:val="000000"/>
          <w:sz w:val="21"/>
        </w:rPr>
        <w:t xml:space="preserve">Repository: </w:t>
      </w:r>
      <w:r>
        <w:rPr>
          <w:rFonts w:ascii="Times New Roman" w:hAnsi="Times New Roman"/>
          <w:b w:val="0"/>
          <w:i w:val="0"/>
          <w:color w:val="000000"/>
          <w:sz w:val="21"/>
        </w:rPr>
        <w:t>https://github.com/Aarav-Nagar/QINN-FinRL-Evaluation</w:t>
      </w:r>
    </w:p>
    <w:p>
      <w:pPr>
        <w:pStyle w:val="Heading1"/>
      </w:pPr>
      <w:r>
        <w:t>References</w:t>
      </w:r>
    </w:p>
    <w:p>
      <w:pPr>
        <w:spacing w:after="60" w:line="240" w:lineRule="auto"/>
        <w:ind w:left="360" w:hanging="360"/>
      </w:pPr>
      <w:r>
        <w:rPr>
          <w:rFonts w:ascii="Times New Roman" w:hAnsi="Times New Roman"/>
          <w:b w:val="0"/>
          <w:i w:val="0"/>
          <w:color w:val="000000"/>
          <w:sz w:val="18"/>
        </w:rPr>
        <w:t>1. Biamonte, J., et al. “Quantum Machine Learning.” Nature, vol. 549, 2017, pp. 195-202.</w:t>
      </w:r>
    </w:p>
    <w:p>
      <w:pPr>
        <w:spacing w:after="60" w:line="240" w:lineRule="auto"/>
        <w:ind w:left="360" w:hanging="360"/>
      </w:pPr>
      <w:r>
        <w:rPr>
          <w:rFonts w:ascii="Times New Roman" w:hAnsi="Times New Roman"/>
          <w:b w:val="0"/>
          <w:i w:val="0"/>
          <w:color w:val="000000"/>
          <w:sz w:val="18"/>
        </w:rPr>
        <w:t>2. Liu, X.-Y., and Y. Fang. “Quantum Tensor Networks for Variational Reinforcement Learning.” NeurIPS 2020 Quantum Tensor Networks in Machine Learning Workshop.</w:t>
      </w:r>
    </w:p>
    <w:p>
      <w:pPr>
        <w:spacing w:after="60" w:line="240" w:lineRule="auto"/>
        <w:ind w:left="360" w:hanging="360"/>
      </w:pPr>
      <w:r>
        <w:rPr>
          <w:rFonts w:ascii="Times New Roman" w:hAnsi="Times New Roman"/>
          <w:b w:val="0"/>
          <w:i w:val="0"/>
          <w:color w:val="000000"/>
          <w:sz w:val="18"/>
        </w:rPr>
        <w:t>3. NeurIPS 2020 Quantum Tensor Networks in Machine Learning Workshop. https://tensorworkshop.github.io/NeurIPS2020/accepted_papers.html</w:t>
      </w:r>
    </w:p>
    <w:p>
      <w:pPr>
        <w:spacing w:after="60" w:line="240" w:lineRule="auto"/>
        <w:ind w:left="360" w:hanging="360"/>
      </w:pPr>
      <w:r>
        <w:rPr>
          <w:rFonts w:ascii="Times New Roman" w:hAnsi="Times New Roman"/>
          <w:b w:val="0"/>
          <w:i w:val="0"/>
          <w:color w:val="000000"/>
          <w:sz w:val="18"/>
        </w:rPr>
        <w:t>4. NeurIPS 2021 Quantum Tensor Networks in Machine Learning Workshop. https://tensorworkshop.github.io/NeurIPS2021/accepted_papers.html</w:t>
      </w:r>
    </w:p>
    <w:p>
      <w:pPr>
        <w:spacing w:after="60" w:line="240" w:lineRule="auto"/>
        <w:ind w:left="360" w:hanging="360"/>
      </w:pPr>
      <w:r>
        <w:rPr>
          <w:rFonts w:ascii="Times New Roman" w:hAnsi="Times New Roman"/>
          <w:b w:val="0"/>
          <w:i w:val="0"/>
          <w:color w:val="000000"/>
          <w:sz w:val="18"/>
        </w:rPr>
        <w:t>5. FinRL Contest 2025. “Task 1: FinRL-DeepSeek for Stock Trading.” https://finrl-contest.readthedocs.io/en/latest/finrl2025/task1.html</w:t>
      </w:r>
    </w:p>
    <w:p>
      <w:pPr>
        <w:spacing w:after="60" w:line="240" w:lineRule="auto"/>
        <w:ind w:left="360" w:hanging="360"/>
      </w:pPr>
      <w:r>
        <w:rPr>
          <w:rFonts w:ascii="Times New Roman" w:hAnsi="Times New Roman"/>
          <w:b w:val="0"/>
          <w:i w:val="0"/>
          <w:color w:val="000000"/>
          <w:sz w:val="18"/>
        </w:rPr>
        <w:t>6. AI4Finance Foundation. FinRL. Commit 2334a5fe6d30629157f13c3b0319e1637e15e123.</w:t>
      </w:r>
    </w:p>
    <w:sectPr w:rsidR="00FC693F" w:rsidRPr="0006063C" w:rsidSect="00034616">
      <w:footerReference w:type="default" r:id="rId9"/>
      <w:pgSz w:w="12240" w:h="15840"/>
      <w:pgMar w:top="1296" w:right="1440" w:bottom="1224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  <w:jc w:val="both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60"/>
    </w:pPr>
    <w:rPr>
      <w:rFonts w:ascii="Times New Roman" w:hAnsi="Times New Roman"/>
      <w:b/>
      <w:bCs/>
      <w:i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ANN and Matrix-Product-State Signals in a FinRL PPO Agent</dc:title>
  <dc:subject>Technical research report</dc:subject>
  <dc:creator>Aarav Nagar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