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/>
          <w:b/>
          <w:i w:val="0"/>
          <w:color w:val="212529"/>
          <w:sz w:val="44"/>
        </w:rPr>
        <w:t>Testing ANN and MPS Signals in FinRL</w:t>
      </w:r>
    </w:p>
    <w:p>
      <w:pPr>
        <w:spacing w:after="360"/>
      </w:pPr>
      <w:r>
        <w:rPr>
          <w:rFonts w:ascii="Calibri" w:hAnsi="Calibri"/>
          <w:b w:val="0"/>
          <w:i w:val="0"/>
          <w:color w:val="595959"/>
          <w:sz w:val="22"/>
        </w:rPr>
        <w:t>Short technical note | Aarav Nagar | July 2026</w:t>
      </w:r>
    </w:p>
    <w:p>
      <w:pPr>
        <w:pStyle w:val="Heading1"/>
      </w:pPr>
      <w:r>
        <w:t>Question</w:t>
      </w:r>
    </w:p>
    <w:p>
      <w:pPr/>
      <w:r>
        <w:rPr>
          <w:rFonts w:ascii="Calibri" w:hAnsi="Calibri"/>
          <w:b w:val="0"/>
          <w:i w:val="0"/>
          <w:color w:val="212529"/>
          <w:sz w:val="22"/>
        </w:rPr>
        <w:t>My earlier project found that a quantum-inspired model could perform slightly better than an ANN on some stock-prediction metrics. Professor Liu suggested testing whether that difference still mattered when the prediction became part of an autonomous trading agent.</w:t>
      </w:r>
    </w:p>
    <w:p>
      <w:pPr/>
      <w:r>
        <w:rPr>
          <w:rFonts w:ascii="Calibri" w:hAnsi="Calibri"/>
          <w:b w:val="0"/>
          <w:i w:val="0"/>
          <w:color w:val="212529"/>
          <w:sz w:val="22"/>
        </w:rPr>
        <w:t>I asked whether an MPS prediction signal improves FinRL trading performance when the data, model size, PPO setup, transaction costs, and random seeds are held constant.</w:t>
      </w:r>
    </w:p>
    <w:p>
      <w:pPr>
        <w:pStyle w:val="Heading1"/>
      </w:pPr>
      <w:r>
        <w:t>Setup</w:t>
      </w:r>
    </w:p>
    <w:p>
      <w:pPr/>
      <w:r>
        <w:rPr>
          <w:rFonts w:ascii="Calibri" w:hAnsi="Calibri"/>
          <w:b w:val="0"/>
          <w:i w:val="0"/>
          <w:color w:val="212529"/>
          <w:sz w:val="22"/>
        </w:rPr>
        <w:t>I used 15 stocks from the processed Nasdaq dataset used in the FinRL Contest 2025 workflow. The prediction models were fit on 2013-2017 data and validated on 2018. PPO was trained on 2013-2018 and tested out of sample on 2019-2023.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6260"/>
        <w:gridCol w:w="1200"/>
      </w:tblGrid>
      <w:tr>
        <w:trPr>
          <w:tblHeader w:val="true"/>
        </w:trPr>
        <w:tc>
          <w:tcPr>
            <w:tcW w:type="dxa" w:w="190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i w:val="0"/>
                <w:color w:val="212529"/>
                <w:sz w:val="19"/>
              </w:rPr>
              <w:t>Condition</w:t>
            </w:r>
          </w:p>
        </w:tc>
        <w:tc>
          <w:tcPr>
            <w:tcW w:type="dxa" w:w="626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i w:val="0"/>
                <w:color w:val="212529"/>
                <w:sz w:val="19"/>
              </w:rPr>
              <w:t>State given to PPO</w:t>
            </w:r>
          </w:p>
        </w:tc>
        <w:tc>
          <w:tcPr>
            <w:tcW w:type="dxa" w:w="120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212529"/>
                <w:sz w:val="19"/>
              </w:rPr>
              <w:t>Size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12529"/>
                <w:sz w:val="19"/>
              </w:rPr>
              <w:t>Base FinRL</w:t>
            </w:r>
          </w:p>
        </w:tc>
        <w:tc>
          <w:tcPr>
            <w:tcW w:type="dxa" w:w="6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12529"/>
                <w:sz w:val="19"/>
              </w:rPr>
              <w:t>Cash, prices, holdings, and 10 indicators per stock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12529"/>
                <w:sz w:val="19"/>
              </w:rPr>
              <w:t>181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12529"/>
                <w:sz w:val="19"/>
              </w:rPr>
              <w:t>ANN signal</w:t>
            </w:r>
          </w:p>
        </w:tc>
        <w:tc>
          <w:tcPr>
            <w:tcW w:type="dxa" w:w="6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12529"/>
                <w:sz w:val="19"/>
              </w:rPr>
              <w:t>Base state plus one ANN prediction per stock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12529"/>
                <w:sz w:val="19"/>
              </w:rPr>
              <w:t>196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12529"/>
                <w:sz w:val="19"/>
              </w:rPr>
              <w:t>MPS signal</w:t>
            </w:r>
          </w:p>
        </w:tc>
        <w:tc>
          <w:tcPr>
            <w:tcW w:type="dxa" w:w="6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12529"/>
                <w:sz w:val="19"/>
              </w:rPr>
              <w:t>Base state plus one MPS prediction per stock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12529"/>
                <w:sz w:val="19"/>
              </w:rPr>
              <w:t>196</w:t>
            </w:r>
          </w:p>
        </w:tc>
      </w:tr>
    </w:tbl>
    <w:p>
      <w:pPr>
        <w:spacing w:after="0"/>
      </w:pPr>
    </w:p>
    <w:p>
      <w:pPr/>
      <w:r>
        <w:rPr>
          <w:rFonts w:ascii="Calibri" w:hAnsi="Calibri"/>
          <w:b w:val="0"/>
          <w:i w:val="0"/>
          <w:color w:val="212529"/>
          <w:sz w:val="22"/>
        </w:rPr>
        <w:t>The base state contains 1 cash value, 15 prices, 15 holdings, and 10 indicators for each stock. For the signal agents, I appended 15 frozen next-day return predictions as one additional indicator block. The prediction model was not updated during PPO training.</w:t>
      </w:r>
    </w:p>
    <w:p>
      <w:pPr/>
      <w:r>
        <w:rPr>
          <w:rFonts w:ascii="Calibri" w:hAnsi="Calibri"/>
          <w:b w:val="0"/>
          <w:i w:val="0"/>
          <w:color w:val="212529"/>
          <w:sz w:val="22"/>
        </w:rPr>
        <w:t>Both models used the same 13 inputs and had 369 trainable parameters. The ANN used 13-16-8-1 fully connected layers. The MPS used a trigonometric feature map with bond dimension 4. It ran on classical hardware and did not use qubits.</w:t>
      </w:r>
    </w:p>
    <w:p>
      <w:pPr/>
      <w:r>
        <w:rPr>
          <w:rFonts w:ascii="Calibri" w:hAnsi="Calibri"/>
          <w:b w:val="0"/>
          <w:i w:val="0"/>
          <w:color w:val="212529"/>
          <w:sz w:val="22"/>
        </w:rPr>
        <w:t>Each PPO condition used seeds 0, 1, and 2, a 5,000-step training budget, a $1,000,000 starting portfolio, and a 0.10% fee on every buy and sell. Turnover was calculated from executed traded notional divided by portfolio value at the start of the step.</w:t>
      </w:r>
    </w:p>
    <w:p>
      <w:r>
        <w:br w:type="page"/>
      </w:r>
    </w:p>
    <w:p>
      <w:pPr>
        <w:pStyle w:val="Heading1"/>
      </w:pPr>
      <w:r>
        <w:t>Results</w:t>
      </w:r>
    </w:p>
    <w:p>
      <w:pPr/>
      <w:r>
        <w:rPr>
          <w:rFonts w:ascii="Calibri" w:hAnsi="Calibri"/>
          <w:b w:val="0"/>
          <w:i w:val="0"/>
          <w:color w:val="212529"/>
          <w:sz w:val="22"/>
        </w:rPr>
        <w:t>The MPS had slightly lower prediction error and higher directional accuracy, although its information coefficient was slightly negative.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60"/>
        <w:gridCol w:w="1560"/>
        <w:gridCol w:w="3120"/>
        <w:gridCol w:w="3120"/>
      </w:tblGrid>
      <w:tr>
        <w:trPr>
          <w:tblHeader w:val="true"/>
        </w:trPr>
        <w:tc>
          <w:tcPr>
            <w:tcW w:type="dxa" w:w="156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i w:val="0"/>
                <w:color w:val="212529"/>
                <w:sz w:val="19"/>
              </w:rPr>
              <w:t>Model</w:t>
            </w:r>
          </w:p>
        </w:tc>
        <w:tc>
          <w:tcPr>
            <w:tcW w:type="dxa" w:w="156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212529"/>
                <w:sz w:val="19"/>
              </w:rPr>
              <w:t>MSE</w:t>
            </w:r>
          </w:p>
        </w:tc>
        <w:tc>
          <w:tcPr>
            <w:tcW w:type="dxa" w:w="312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212529"/>
                <w:sz w:val="19"/>
              </w:rPr>
              <w:t>Directional accuracy</w:t>
            </w:r>
          </w:p>
        </w:tc>
        <w:tc>
          <w:tcPr>
            <w:tcW w:type="dxa" w:w="312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212529"/>
                <w:sz w:val="19"/>
              </w:rPr>
              <w:t>Information coefficient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12529"/>
                <w:sz w:val="19"/>
              </w:rPr>
              <w:t>ANN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12529"/>
                <w:sz w:val="19"/>
              </w:rPr>
              <w:t>1.5101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12529"/>
                <w:sz w:val="19"/>
              </w:rPr>
              <w:t>50.25%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12529"/>
                <w:sz w:val="19"/>
              </w:rPr>
              <w:t>+0.0119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12529"/>
                <w:sz w:val="19"/>
              </w:rPr>
              <w:t>MPS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12529"/>
                <w:sz w:val="19"/>
              </w:rPr>
              <w:t>1.5034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12529"/>
                <w:sz w:val="19"/>
              </w:rPr>
              <w:t>51.06%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12529"/>
                <w:sz w:val="19"/>
              </w:rPr>
              <w:t>-0.0060</w:t>
            </w:r>
          </w:p>
        </w:tc>
      </w:tr>
    </w:tbl>
    <w:p>
      <w:pPr>
        <w:spacing w:after="0"/>
      </w:pPr>
    </w:p>
    <w:p>
      <w:pPr/>
      <w:r>
        <w:rPr>
          <w:rFonts w:ascii="Calibri" w:hAnsi="Calibri"/>
          <w:b w:val="0"/>
          <w:i w:val="0"/>
          <w:color w:val="212529"/>
          <w:sz w:val="22"/>
        </w:rPr>
        <w:t>The small prediction improvement did not carry over to trading.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20"/>
        <w:gridCol w:w="1400"/>
        <w:gridCol w:w="1150"/>
        <w:gridCol w:w="1650"/>
        <w:gridCol w:w="1450"/>
        <w:gridCol w:w="1890"/>
      </w:tblGrid>
      <w:tr>
        <w:trPr>
          <w:tblHeader w:val="true"/>
        </w:trPr>
        <w:tc>
          <w:tcPr>
            <w:tcW w:type="dxa" w:w="182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i w:val="0"/>
                <w:color w:val="212529"/>
                <w:sz w:val="19"/>
              </w:rPr>
              <w:t>Agent</w:t>
            </w:r>
          </w:p>
        </w:tc>
        <w:tc>
          <w:tcPr>
            <w:tcW w:type="dxa" w:w="140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212529"/>
                <w:sz w:val="19"/>
              </w:rPr>
              <w:t>Total return</w:t>
            </w:r>
          </w:p>
        </w:tc>
        <w:tc>
          <w:tcPr>
            <w:tcW w:type="dxa" w:w="115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212529"/>
                <w:sz w:val="19"/>
              </w:rPr>
              <w:t>Sharpe</w:t>
            </w:r>
          </w:p>
        </w:tc>
        <w:tc>
          <w:tcPr>
            <w:tcW w:type="dxa" w:w="165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212529"/>
                <w:sz w:val="19"/>
              </w:rPr>
              <w:t>Max drawdown</w:t>
            </w:r>
          </w:p>
        </w:tc>
        <w:tc>
          <w:tcPr>
            <w:tcW w:type="dxa" w:w="145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212529"/>
                <w:sz w:val="19"/>
              </w:rPr>
              <w:t>Turnover</w:t>
            </w:r>
          </w:p>
        </w:tc>
        <w:tc>
          <w:tcPr>
            <w:tcW w:type="dxa" w:w="189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212529"/>
                <w:sz w:val="19"/>
              </w:rPr>
              <w:t>Total cost</w:t>
            </w:r>
          </w:p>
        </w:tc>
      </w:tr>
      <w:tr>
        <w:tc>
          <w:tcPr>
            <w:tcW w:type="dxa" w:w="18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12529"/>
                <w:sz w:val="19"/>
              </w:rPr>
              <w:t>Base FinRL</w:t>
            </w:r>
          </w:p>
        </w:tc>
        <w:tc>
          <w:tcPr>
            <w:tcW w:type="dxa" w:w="1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12529"/>
                <w:sz w:val="19"/>
              </w:rPr>
              <w:t>73.24%</w:t>
            </w:r>
          </w:p>
        </w:tc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12529"/>
                <w:sz w:val="19"/>
              </w:rPr>
              <w:t>0.559</w:t>
            </w:r>
          </w:p>
        </w:tc>
        <w:tc>
          <w:tcPr>
            <w:tcW w:type="dxa" w:w="16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12529"/>
                <w:sz w:val="19"/>
              </w:rPr>
              <w:t>-40.46%</w:t>
            </w:r>
          </w:p>
        </w:tc>
        <w:tc>
          <w:tcPr>
            <w:tcW w:type="dxa" w:w="14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12529"/>
                <w:sz w:val="19"/>
              </w:rPr>
              <w:t>26.43%</w:t>
            </w:r>
          </w:p>
        </w:tc>
        <w:tc>
          <w:tcPr>
            <w:tcW w:type="dxa" w:w="18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12529"/>
                <w:sz w:val="19"/>
              </w:rPr>
              <w:t>$1,375.38</w:t>
            </w:r>
          </w:p>
        </w:tc>
      </w:tr>
      <w:tr>
        <w:tc>
          <w:tcPr>
            <w:tcW w:type="dxa" w:w="18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12529"/>
                <w:sz w:val="19"/>
              </w:rPr>
              <w:t>ANN signal</w:t>
            </w:r>
          </w:p>
        </w:tc>
        <w:tc>
          <w:tcPr>
            <w:tcW w:type="dxa" w:w="1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12529"/>
                <w:sz w:val="19"/>
              </w:rPr>
              <w:t>104.66%</w:t>
            </w:r>
          </w:p>
        </w:tc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12529"/>
                <w:sz w:val="19"/>
              </w:rPr>
              <w:t>0.735</w:t>
            </w:r>
          </w:p>
        </w:tc>
        <w:tc>
          <w:tcPr>
            <w:tcW w:type="dxa" w:w="16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12529"/>
                <w:sz w:val="19"/>
              </w:rPr>
              <w:t>-27.55%</w:t>
            </w:r>
          </w:p>
        </w:tc>
        <w:tc>
          <w:tcPr>
            <w:tcW w:type="dxa" w:w="14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12529"/>
                <w:sz w:val="19"/>
              </w:rPr>
              <w:t>27.32%</w:t>
            </w:r>
          </w:p>
        </w:tc>
        <w:tc>
          <w:tcPr>
            <w:tcW w:type="dxa" w:w="18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12529"/>
                <w:sz w:val="19"/>
              </w:rPr>
              <w:t>$1,429.65</w:t>
            </w:r>
          </w:p>
        </w:tc>
      </w:tr>
      <w:tr>
        <w:tc>
          <w:tcPr>
            <w:tcW w:type="dxa" w:w="18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12529"/>
                <w:sz w:val="19"/>
              </w:rPr>
              <w:t>MPS signal</w:t>
            </w:r>
          </w:p>
        </w:tc>
        <w:tc>
          <w:tcPr>
            <w:tcW w:type="dxa" w:w="1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12529"/>
                <w:sz w:val="19"/>
              </w:rPr>
              <w:t>94.27%</w:t>
            </w:r>
          </w:p>
        </w:tc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12529"/>
                <w:sz w:val="19"/>
              </w:rPr>
              <w:t>0.694</w:t>
            </w:r>
          </w:p>
        </w:tc>
        <w:tc>
          <w:tcPr>
            <w:tcW w:type="dxa" w:w="16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12529"/>
                <w:sz w:val="19"/>
              </w:rPr>
              <w:t>-26.79%</w:t>
            </w:r>
          </w:p>
        </w:tc>
        <w:tc>
          <w:tcPr>
            <w:tcW w:type="dxa" w:w="14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12529"/>
                <w:sz w:val="19"/>
              </w:rPr>
              <w:t>24.14%</w:t>
            </w:r>
          </w:p>
        </w:tc>
        <w:tc>
          <w:tcPr>
            <w:tcW w:type="dxa" w:w="18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12529"/>
                <w:sz w:val="19"/>
              </w:rPr>
              <w:t>$1,253.61</w:t>
            </w:r>
          </w:p>
        </w:tc>
      </w:tr>
      <w:tr>
        <w:tc>
          <w:tcPr>
            <w:tcW w:type="dxa" w:w="18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12529"/>
                <w:sz w:val="19"/>
              </w:rPr>
              <w:t>Equal-weight</w:t>
            </w:r>
          </w:p>
        </w:tc>
        <w:tc>
          <w:tcPr>
            <w:tcW w:type="dxa" w:w="1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12529"/>
                <w:sz w:val="19"/>
              </w:rPr>
              <w:t>218.25%</w:t>
            </w:r>
          </w:p>
        </w:tc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12529"/>
                <w:sz w:val="19"/>
              </w:rPr>
              <w:t>1.115</w:t>
            </w:r>
          </w:p>
        </w:tc>
        <w:tc>
          <w:tcPr>
            <w:tcW w:type="dxa" w:w="16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12529"/>
                <w:sz w:val="19"/>
              </w:rPr>
              <w:t>-28.54%</w:t>
            </w:r>
          </w:p>
        </w:tc>
        <w:tc>
          <w:tcPr>
            <w:tcW w:type="dxa" w:w="14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12529"/>
                <w:sz w:val="19"/>
              </w:rPr>
              <w:t>20.06%</w:t>
            </w:r>
          </w:p>
        </w:tc>
        <w:tc>
          <w:tcPr>
            <w:tcW w:type="dxa" w:w="18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12529"/>
                <w:sz w:val="19"/>
              </w:rPr>
              <w:t>$1,000.00</w:t>
            </w:r>
          </w:p>
        </w:tc>
      </w:tr>
    </w:tbl>
    <w:p>
      <w:pPr>
        <w:spacing w:after="0"/>
      </w:pPr>
    </w:p>
    <w:p>
      <w:pPr/>
      <w:r>
        <w:rPr>
          <w:rFonts w:ascii="Calibri" w:hAnsi="Calibri"/>
          <w:b w:val="0"/>
          <w:i w:val="0"/>
          <w:color w:val="212529"/>
          <w:sz w:val="22"/>
        </w:rPr>
        <w:t>The PPO values are means across three seeds. MPS had a lower Sharpe than ANN in every paired run: 0.759 versus 0.790 for seed 0, 0.726 versus 0.812 for seed 1, and 0.596 versus 0.602 for seed 2.</w:t>
      </w:r>
    </w:p>
    <w:p>
      <w:pPr/>
      <w:r>
        <w:rPr>
          <w:rFonts w:ascii="Calibri" w:hAnsi="Calibri"/>
          <w:b w:val="0"/>
          <w:i w:val="0"/>
          <w:color w:val="212529"/>
          <w:sz w:val="22"/>
        </w:rPr>
        <w:t>Using a 20-trading-day block bootstrap with 2,000 samples, the MPS-minus-ANN annualized return difference was -0.92 percentage points. Its 95% interval was -4.63 to +2.63 points. Because that interval includes zero, this run does not show a reliable difference between the two signal agents.</w:t>
      </w:r>
    </w:p>
    <w:p>
      <w:pPr/>
      <w:r>
        <w:rPr>
          <w:rFonts w:ascii="Calibri" w:hAnsi="Calibri"/>
          <w:b w:val="0"/>
          <w:i w:val="0"/>
          <w:color w:val="212529"/>
          <w:sz w:val="22"/>
        </w:rPr>
        <w:t>MPS beat ANN in 2020 and 2023, while ANN was better in 2019, 2021, and 2022. Neither signal agent beat the equal-weight benchmark over the full test period.</w:t>
      </w:r>
    </w:p>
    <w:p>
      <w:r>
        <w:br w:type="page"/>
      </w:r>
    </w:p>
    <w:p>
      <w:pPr>
        <w:pStyle w:val="Heading1"/>
      </w:pPr>
      <w:r>
        <w:t>What I learned</w:t>
      </w:r>
    </w:p>
    <w:p>
      <w:pPr/>
      <w:r>
        <w:rPr>
          <w:rFonts w:ascii="Calibri" w:hAnsi="Calibri"/>
          <w:b w:val="0"/>
          <w:i w:val="0"/>
          <w:color w:val="212529"/>
          <w:sz w:val="22"/>
        </w:rPr>
        <w:t>In this setup, the MPS signal did not improve trading performance over the equally sized ANN signal. It did slightly better on two prediction metrics, but the ANN produced a higher Sharpe in all three trading runs. This is the prediction-decision gap that motivated the study.</w:t>
      </w:r>
    </w:p>
    <w:p>
      <w:pPr/>
      <w:r>
        <w:rPr>
          <w:rFonts w:ascii="Calibri" w:hAnsi="Calibri"/>
          <w:b w:val="0"/>
          <w:i w:val="0"/>
          <w:color w:val="212529"/>
          <w:sz w:val="22"/>
        </w:rPr>
        <w:t>The result is limited to this experiment. I used one time split, three PPO seeds, one MPS bond dimension, and a relatively short 5,000-step training budget. The universe is also a 15-stock Nasdaq subset. The cost model includes a fixed transaction fee but not spread, slippage, market impact, or taxes.</w:t>
      </w:r>
    </w:p>
    <w:p>
      <w:pPr/>
      <w:r>
        <w:rPr>
          <w:rFonts w:ascii="Calibri" w:hAnsi="Calibri"/>
          <w:b w:val="0"/>
          <w:i w:val="0"/>
          <w:color w:val="212529"/>
          <w:sz w:val="22"/>
        </w:rPr>
        <w:t>Trading activity became very low later in the test period, suggesting that some policies settled into nearly static positions. Before testing a tensor-network policy architecture, I would repeat the signal experiment with more seeds, longer PPO training, and rolling retraining periods.</w:t>
      </w:r>
    </w:p>
    <w:p>
      <w:pPr>
        <w:pStyle w:val="Heading1"/>
      </w:pPr>
      <w:r>
        <w:t>Reproduction</w:t>
      </w:r>
    </w:p>
    <w:p>
      <w:pPr/>
      <w:r>
        <w:rPr>
          <w:rFonts w:ascii="Calibri" w:hAnsi="Calibri"/>
          <w:b w:val="0"/>
          <w:i w:val="0"/>
          <w:color w:val="212529"/>
          <w:sz w:val="22"/>
        </w:rPr>
        <w:t>The repository includes the full pipeline, tests, daily equity curves, per-seed and yearly metrics, bootstrap output, and a run manifest with the pinned data checksum and FinRL commit.</w:t>
      </w:r>
    </w:p>
    <w:p>
      <w:pPr/>
      <w:r>
        <w:rPr>
          <w:rFonts w:ascii="Calibri" w:hAnsi="Calibri"/>
          <w:b/>
          <w:i w:val="0"/>
          <w:color w:val="212529"/>
          <w:sz w:val="22"/>
        </w:rPr>
        <w:t>Repository:</w:t>
      </w:r>
      <w:r>
        <w:rPr>
          <w:rFonts w:ascii="Calibri" w:hAnsi="Calibri"/>
          <w:b w:val="0"/>
          <w:i w:val="0"/>
          <w:color w:val="212529"/>
          <w:sz w:val="22"/>
        </w:rPr>
        <w:t xml:space="preserve"> https://github.com/Aarav-Nagar/QINN-FinRL-Evaluation</w:t>
      </w:r>
    </w:p>
    <w:p>
      <w:pPr>
        <w:pStyle w:val="Heading1"/>
      </w:pPr>
      <w:r>
        <w:t>References</w:t>
      </w:r>
    </w:p>
    <w:p>
      <w:pPr>
        <w:spacing w:after="60"/>
        <w:ind w:left="259" w:hanging="259"/>
      </w:pPr>
      <w:r>
        <w:rPr>
          <w:rFonts w:ascii="Calibri" w:hAnsi="Calibri"/>
          <w:b w:val="0"/>
          <w:i w:val="0"/>
          <w:color w:val="212529"/>
          <w:sz w:val="19"/>
        </w:rPr>
        <w:t>1. Biamonte, J. et al. “Quantum Machine Learning.” Nature 549, 195-202 (2017).</w:t>
      </w:r>
    </w:p>
    <w:p>
      <w:pPr>
        <w:spacing w:after="60"/>
        <w:ind w:left="259" w:hanging="259"/>
      </w:pPr>
      <w:r>
        <w:rPr>
          <w:rFonts w:ascii="Calibri" w:hAnsi="Calibri"/>
          <w:b w:val="0"/>
          <w:i w:val="0"/>
          <w:color w:val="212529"/>
          <w:sz w:val="19"/>
        </w:rPr>
        <w:t>2. Liu, X.-Y. and Fang, Y. “Quantum Tensor Networks for Variational Reinforcement Learning.” NeurIPS 2020 workshop.</w:t>
      </w:r>
    </w:p>
    <w:p>
      <w:pPr>
        <w:spacing w:after="60"/>
        <w:ind w:left="259" w:hanging="259"/>
      </w:pPr>
      <w:r>
        <w:rPr>
          <w:rFonts w:ascii="Calibri" w:hAnsi="Calibri"/>
          <w:b w:val="0"/>
          <w:i w:val="0"/>
          <w:color w:val="212529"/>
          <w:sz w:val="19"/>
        </w:rPr>
        <w:t>3. FinRL Contest 2025, Task 1: FinRL-DeepSeek for Stock Trading.</w:t>
      </w:r>
    </w:p>
    <w:p>
      <w:pPr>
        <w:spacing w:after="60"/>
        <w:ind w:left="259" w:hanging="259"/>
      </w:pPr>
      <w:r>
        <w:rPr>
          <w:rFonts w:ascii="Calibri" w:hAnsi="Calibri"/>
          <w:b w:val="0"/>
          <w:i w:val="0"/>
          <w:color w:val="212529"/>
          <w:sz w:val="19"/>
        </w:rPr>
        <w:t>4. FinRL commit used here: 2334a5fe6d30629157f13c3b0319e1637e15e123.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595959"/>
        <w:sz w:val="18"/>
      </w:rPr>
      <w:t xml:space="preserve">Page </w:t>
    </w:r>
    <w:r>
      <w:rPr>
        <w:rFonts w:ascii="Calibri" w:hAnsi="Calibri"/>
        <w:b w:val="0"/>
        <w:i w:val="0"/>
        <w:color w:val="595959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b w:val="0"/>
        <w:i w:val="0"/>
        <w:color w:val="595959"/>
        <w:sz w:val="18"/>
      </w:rPr>
      <w:t>ANN and MPS signals in FinRL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/>
      <w:color w:val="212529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Testing ANN and MPS Signals in FinRL</dc:title>
  <dc:subject>Short technical note</dc:subject>
  <dc:creator>Aarav Nagar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